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keepLines/>
        <w:spacing w:before="480" w:after="0"/>
        <w:rPr>
          <w:rFonts w:ascii="Cambria" w:hAnsi="Cambria" w:asciiTheme="minorHAnsi" w:cstheme="minorBidi" w:eastAsiaTheme="minorEastAsia" w:hAnsiTheme="minorHAnsi"/>
          <w:color w:val="auto"/>
          <w:sz w:val="22"/>
          <w:szCs w:val="22"/>
        </w:rPr>
      </w:pPr>
      <w:r>
        <w:rPr>
          <w:rStyle w:val="Strong"/>
          <w:rFonts w:asciiTheme="minorHAnsi" w:cstheme="minorBidi" w:eastAsiaTheme="minorEastAsia" w:hAnsiTheme="minorHAnsi" w:ascii="Cambria" w:hAnsi="Cambria"/>
          <w:b/>
          <w:bCs/>
          <w:color w:val="auto"/>
          <w:sz w:val="22"/>
          <w:szCs w:val="22"/>
        </w:rPr>
        <w:t>Summary: Models for Infectious Disease and Environmental Factors (Influenza Focus)</w:t>
      </w:r>
    </w:p>
    <w:p>
      <w:pPr>
        <w:pStyle w:val="Heading3"/>
        <w:spacing w:before="480" w:after="283"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Style w:val="Strong"/>
          <w:rFonts w:asciiTheme="minorHAnsi" w:cstheme="minorBidi" w:eastAsiaTheme="minorEastAsia" w:hAnsiTheme="minorHAnsi" w:ascii="Cambria" w:hAnsi="Cambria"/>
          <w:b/>
          <w:bCs/>
          <w:color w:val="auto"/>
        </w:rPr>
        <w:t>1. Overview</w:t>
      </w:r>
    </w:p>
    <w:p>
      <w:pPr>
        <w:pStyle w:val="BodyText"/>
        <w:spacing w:before="480" w:after="283"/>
        <w:rPr/>
      </w:pPr>
      <w:r>
        <w:rPr/>
        <w:t xml:space="preserve">This document summarizes the key statistical and machine learning models officially relevant to </w:t>
      </w:r>
      <w:r>
        <w:rPr>
          <w:rStyle w:val="Emphasis"/>
        </w:rPr>
        <w:t>HealthTrace</w:t>
      </w:r>
      <w:r>
        <w:rPr/>
        <w:t xml:space="preserve"> for analyzing and forecasting infectious diseases such as </w:t>
      </w:r>
      <w:r>
        <w:rPr>
          <w:rStyle w:val="Strong"/>
        </w:rPr>
        <w:t>influenza</w:t>
      </w:r>
      <w:r>
        <w:rPr/>
        <w:t xml:space="preserve"> in relation to </w:t>
      </w:r>
      <w:r>
        <w:rPr>
          <w:rStyle w:val="Strong"/>
        </w:rPr>
        <w:t>environmental factors</w:t>
      </w:r>
      <w:r>
        <w:rPr/>
        <w:t xml:space="preserve"> (PM2.5, PM10, NO₂, SO₂, temperature, humidity).</w:t>
        <w:br/>
        <w:t xml:space="preserve">Each model’s purpose, ideal use case, and role within the </w:t>
      </w:r>
      <w:r>
        <w:rPr>
          <w:rStyle w:val="Emphasis"/>
        </w:rPr>
        <w:t>HealthTrace</w:t>
      </w:r>
      <w:r>
        <w:rPr/>
        <w:t xml:space="preserve"> architecture are described according to system specifications (CU18–CU20).</w:t>
      </w:r>
    </w:p>
    <w:p>
      <w:pPr>
        <w:pStyle w:val="HorizontalLine"/>
        <w:spacing w:before="48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spacing w:before="480" w:after="283"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Style w:val="Strong"/>
          <w:rFonts w:asciiTheme="minorHAnsi" w:cstheme="minorBidi" w:eastAsiaTheme="minorEastAsia" w:hAnsiTheme="minorHAnsi" w:ascii="Cambria" w:hAnsi="Cambria"/>
          <w:b/>
          <w:bCs/>
          <w:color w:val="auto"/>
        </w:rPr>
        <w:t>2. Models and Their Uses</w:t>
      </w:r>
    </w:p>
    <w:tbl>
      <w:tblPr>
        <w:tblW w:w="86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22"/>
        <w:gridCol w:w="3068"/>
        <w:gridCol w:w="2750"/>
      </w:tblGrid>
      <w:tr>
        <w:trPr>
          <w:tblHeader w:val="true"/>
        </w:trPr>
        <w:tc>
          <w:tcPr>
            <w:tcW w:w="2822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>
                <w:rStyle w:val="Strong"/>
                <w:b/>
                <w:bCs/>
              </w:rPr>
              <w:t>Model</w:t>
            </w:r>
          </w:p>
        </w:tc>
        <w:tc>
          <w:tcPr>
            <w:tcW w:w="3068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>
                <w:rStyle w:val="Strong"/>
                <w:b/>
                <w:bCs/>
              </w:rPr>
              <w:t>Purpose</w:t>
            </w:r>
          </w:p>
        </w:tc>
        <w:tc>
          <w:tcPr>
            <w:tcW w:w="2750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>
                <w:rStyle w:val="Strong"/>
                <w:b/>
                <w:bCs/>
              </w:rPr>
              <w:t>Best For</w:t>
            </w:r>
          </w:p>
        </w:tc>
      </w:tr>
      <w:tr>
        <w:trPr/>
        <w:tc>
          <w:tcPr>
            <w:tcW w:w="2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GAM / GLM (Generalized Additive / Linear Models)</w:t>
            </w:r>
          </w:p>
        </w:tc>
        <w:tc>
          <w:tcPr>
            <w:tcW w:w="3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Explain how environmental factors (pollution, temperature, humidity) affect disease incidence. Can include lag terms.</w:t>
            </w:r>
          </w:p>
        </w:tc>
        <w:tc>
          <w:tcPr>
            <w:tcW w:w="27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Correlation and interpretation of risk factors (e.g., “10 µg/m³ PM₂.₅ → +3% flu cases”).</w:t>
            </w:r>
          </w:p>
        </w:tc>
      </w:tr>
      <w:tr>
        <w:trPr/>
        <w:tc>
          <w:tcPr>
            <w:tcW w:w="2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ARIMAX (Autoregressive Integrated Moving Average with Exogenous Variables)</w:t>
            </w:r>
          </w:p>
        </w:tc>
        <w:tc>
          <w:tcPr>
            <w:tcW w:w="3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Forecast short-term trends using past disease data and environmental inputs.</w:t>
            </w:r>
          </w:p>
        </w:tc>
        <w:tc>
          <w:tcPr>
            <w:tcW w:w="27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Early warning and prediction dashboards (e.g., forecasting influenza cases next week).</w:t>
            </w:r>
          </w:p>
        </w:tc>
      </w:tr>
      <w:tr>
        <w:trPr/>
        <w:tc>
          <w:tcPr>
            <w:tcW w:w="2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DLNM (Distributed Lag Non-Linear Model)</w:t>
            </w:r>
          </w:p>
        </w:tc>
        <w:tc>
          <w:tcPr>
            <w:tcW w:w="3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Examine how and when exposures (e.g., PM₂.₅ or temperature) affect disease risk over multiple days (lags).</w:t>
            </w:r>
          </w:p>
        </w:tc>
        <w:tc>
          <w:tcPr>
            <w:tcW w:w="27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Environmental epidemiology and delayed exposure–response analysis.</w:t>
            </w:r>
          </w:p>
        </w:tc>
      </w:tr>
      <w:tr>
        <w:trPr/>
        <w:tc>
          <w:tcPr>
            <w:tcW w:w="2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Emphasis"/>
              </w:rPr>
              <w:t>Spatial Models (Moran’s I, Getis-Ord Gi, Spatial Regression)</w:t>
            </w:r>
            <w:r>
              <w:rPr/>
              <w:t>*</w:t>
            </w:r>
          </w:p>
        </w:tc>
        <w:tc>
          <w:tcPr>
            <w:tcW w:w="3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Detect and visualize geographical disease clusters and spatial correlations with pollution levels.</w:t>
            </w:r>
          </w:p>
        </w:tc>
        <w:tc>
          <w:tcPr>
            <w:tcW w:w="27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Mapping disease hotspots and understanding regional risk differences.</w:t>
            </w:r>
          </w:p>
        </w:tc>
      </w:tr>
      <w:tr>
        <w:trPr/>
        <w:tc>
          <w:tcPr>
            <w:tcW w:w="2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Random Forest / Gradient Boosting</w:t>
            </w:r>
          </w:p>
        </w:tc>
        <w:tc>
          <w:tcPr>
            <w:tcW w:w="3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Identify and rank the most important variables influencing disease outcomes.</w:t>
            </w:r>
          </w:p>
        </w:tc>
        <w:tc>
          <w:tcPr>
            <w:tcW w:w="27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Non-linear checks and variable importance analysis supporting interpretability dashboards.</w:t>
            </w:r>
          </w:p>
        </w:tc>
      </w:tr>
    </w:tbl>
    <w:p>
      <w:pPr>
        <w:pStyle w:val="HorizontalLine"/>
        <w:spacing w:before="48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spacing w:before="480" w:after="283"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Style w:val="Strong"/>
          <w:rFonts w:asciiTheme="minorHAnsi" w:cstheme="minorBidi" w:eastAsiaTheme="minorEastAsia" w:hAnsiTheme="minorHAnsi" w:ascii="Cambria" w:hAnsi="Cambria"/>
          <w:b/>
          <w:bCs/>
          <w:color w:val="auto"/>
        </w:rPr>
        <w:t>3. Key Model Differences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480" w:after="283"/>
        <w:ind w:hanging="283" w:left="709"/>
        <w:rPr/>
      </w:pPr>
      <w:r>
        <w:rPr>
          <w:rStyle w:val="Strong"/>
        </w:rPr>
        <w:t>GAM / GLM</w:t>
      </w:r>
      <w:r>
        <w:rPr/>
        <w:t xml:space="preserve"> – Regression models showing how much each environmental factor influences disease incidence. Not true time-series models but can include lag terms to capture delayed effects.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480" w:after="283"/>
        <w:ind w:hanging="283" w:left="709"/>
        <w:rPr/>
      </w:pPr>
      <w:r>
        <w:rPr>
          <w:rStyle w:val="Strong"/>
        </w:rPr>
        <w:t>ARIMAX</w:t>
      </w:r>
      <w:r>
        <w:rPr/>
        <w:t xml:space="preserve"> – True time-series forecasting model assuming mainly linear relationships. Best for short-term predictions and operational dashboards.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480" w:after="283"/>
        <w:ind w:hanging="283" w:left="709"/>
        <w:rPr/>
      </w:pPr>
      <w:r>
        <w:rPr>
          <w:rStyle w:val="Strong"/>
        </w:rPr>
        <w:t>DLNM</w:t>
      </w:r>
      <w:r>
        <w:rPr/>
        <w:t xml:space="preserve"> – Extension of GLM/GAM that models both </w:t>
      </w:r>
      <w:r>
        <w:rPr>
          <w:rStyle w:val="Emphasis"/>
        </w:rPr>
        <w:t>non-linear</w:t>
      </w:r>
      <w:r>
        <w:rPr/>
        <w:t xml:space="preserve"> dose–response relationships and </w:t>
      </w:r>
      <w:r>
        <w:rPr>
          <w:rStyle w:val="Emphasis"/>
        </w:rPr>
        <w:t>distributed lag</w:t>
      </w:r>
      <w:r>
        <w:rPr/>
        <w:t xml:space="preserve"> effects across multiple days.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480" w:after="283"/>
        <w:ind w:hanging="283" w:left="709"/>
        <w:rPr/>
      </w:pPr>
      <w:r>
        <w:rPr>
          <w:rStyle w:val="Strong"/>
        </w:rPr>
        <w:t>Spatial Models</w:t>
      </w:r>
      <w:r>
        <w:rPr/>
        <w:t xml:space="preserve"> – Focused on </w:t>
      </w:r>
      <w:r>
        <w:rPr>
          <w:rStyle w:val="Emphasis"/>
        </w:rPr>
        <w:t>where</w:t>
      </w:r>
      <w:r>
        <w:rPr/>
        <w:t xml:space="preserve"> disease clusters occur, identifying geographic correlations between infections and environmental parameters.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480" w:after="283"/>
        <w:ind w:hanging="283" w:left="709"/>
        <w:rPr/>
      </w:pPr>
      <w:r>
        <w:rPr>
          <w:rStyle w:val="Strong"/>
        </w:rPr>
        <w:t>Random Forest</w:t>
      </w:r>
      <w:r>
        <w:rPr/>
        <w:t xml:space="preserve"> – Machine learning model for detecting non-linear interactions and ranking variable importance, supporting validation of regression findings.</w:t>
      </w:r>
    </w:p>
    <w:p>
      <w:pPr>
        <w:pStyle w:val="HorizontalLine"/>
        <w:spacing w:before="48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spacing w:before="480" w:after="283"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Style w:val="Strong"/>
          <w:rFonts w:asciiTheme="minorHAnsi" w:cstheme="minorBidi" w:eastAsiaTheme="minorEastAsia" w:hAnsiTheme="minorHAnsi" w:ascii="Cambria" w:hAnsi="Cambria"/>
          <w:b/>
          <w:bCs/>
          <w:color w:val="auto"/>
        </w:rPr>
        <w:t>4. Model Selection by Situation (for Influenza)</w:t>
      </w:r>
    </w:p>
    <w:tbl>
      <w:tblPr>
        <w:tblW w:w="86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88"/>
        <w:gridCol w:w="2499"/>
        <w:gridCol w:w="3453"/>
      </w:tblGrid>
      <w:tr>
        <w:trPr>
          <w:tblHeader w:val="true"/>
        </w:trPr>
        <w:tc>
          <w:tcPr>
            <w:tcW w:w="2688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>
                <w:rStyle w:val="Strong"/>
                <w:b/>
                <w:bCs/>
              </w:rPr>
              <w:t>Situation</w:t>
            </w:r>
          </w:p>
        </w:tc>
        <w:tc>
          <w:tcPr>
            <w:tcW w:w="2499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>
                <w:rStyle w:val="Strong"/>
                <w:b/>
                <w:bCs/>
              </w:rPr>
              <w:t>Recommended Model</w:t>
            </w:r>
          </w:p>
        </w:tc>
        <w:tc>
          <w:tcPr>
            <w:tcW w:w="3453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>
                <w:rStyle w:val="Strong"/>
                <w:b/>
                <w:bCs/>
              </w:rPr>
              <w:t>Reason</w:t>
            </w:r>
          </w:p>
        </w:tc>
      </w:tr>
      <w:tr>
        <w:trPr/>
        <w:tc>
          <w:tcPr>
            <w:tcW w:w="26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Find correlation between pollution and influenza</w:t>
            </w:r>
          </w:p>
        </w:tc>
        <w:tc>
          <w:tcPr>
            <w:tcW w:w="24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GAM / GLM (with lag terms)</w:t>
            </w:r>
          </w:p>
        </w:tc>
        <w:tc>
          <w:tcPr>
            <w:tcW w:w="3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Provides interpretable cause–effect relationships.</w:t>
            </w:r>
          </w:p>
        </w:tc>
      </w:tr>
      <w:tr>
        <w:trPr/>
        <w:tc>
          <w:tcPr>
            <w:tcW w:w="26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Predict short-term influenza trends</w:t>
            </w:r>
          </w:p>
        </w:tc>
        <w:tc>
          <w:tcPr>
            <w:tcW w:w="24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Seasonal ARIMAX</w:t>
            </w:r>
          </w:p>
        </w:tc>
        <w:tc>
          <w:tcPr>
            <w:tcW w:w="3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Captures temporal evolution using past cases and external variables.</w:t>
            </w:r>
          </w:p>
        </w:tc>
      </w:tr>
      <w:tr>
        <w:trPr/>
        <w:tc>
          <w:tcPr>
            <w:tcW w:w="26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Analyze delayed effects of pollutants</w:t>
            </w:r>
          </w:p>
        </w:tc>
        <w:tc>
          <w:tcPr>
            <w:tcW w:w="24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DLNM</w:t>
            </w:r>
          </w:p>
        </w:tc>
        <w:tc>
          <w:tcPr>
            <w:tcW w:w="3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Models lagged and non-linear exposure–response relationships.</w:t>
            </w:r>
          </w:p>
        </w:tc>
      </w:tr>
      <w:tr>
        <w:trPr/>
        <w:tc>
          <w:tcPr>
            <w:tcW w:w="26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Map spatial patterns or clusters</w:t>
            </w:r>
          </w:p>
        </w:tc>
        <w:tc>
          <w:tcPr>
            <w:tcW w:w="24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Emphasis"/>
              </w:rPr>
              <w:t>Moran’s I, Getis-Ord Gi, Spatial Regression</w:t>
            </w:r>
            <w:r>
              <w:rPr/>
              <w:t>*</w:t>
            </w:r>
          </w:p>
        </w:tc>
        <w:tc>
          <w:tcPr>
            <w:tcW w:w="3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Highlights regional variations and hotspots.</w:t>
            </w:r>
          </w:p>
        </w:tc>
      </w:tr>
      <w:tr>
        <w:trPr/>
        <w:tc>
          <w:tcPr>
            <w:tcW w:w="26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Identify most relevant environmental factors</w:t>
            </w:r>
          </w:p>
        </w:tc>
        <w:tc>
          <w:tcPr>
            <w:tcW w:w="24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Random Forest / Gradient Boosting</w:t>
            </w:r>
          </w:p>
        </w:tc>
        <w:tc>
          <w:tcPr>
            <w:tcW w:w="3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Produces ranked variable importance to support analytical dashboards.</w:t>
            </w:r>
          </w:p>
        </w:tc>
      </w:tr>
    </w:tbl>
    <w:p>
      <w:pPr>
        <w:pStyle w:val="HorizontalLine"/>
        <w:spacing w:before="48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spacing w:before="480" w:after="283"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Style w:val="Strong"/>
          <w:rFonts w:asciiTheme="minorHAnsi" w:cstheme="minorBidi" w:eastAsiaTheme="minorEastAsia" w:hAnsiTheme="minorHAnsi" w:ascii="Cambria" w:hAnsi="Cambria"/>
          <w:b/>
          <w:bCs/>
          <w:color w:val="auto"/>
        </w:rPr>
        <w:t>5. Key Comparisons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480" w:after="283"/>
        <w:ind w:hanging="283" w:left="709"/>
        <w:rPr/>
      </w:pPr>
      <w:r>
        <w:rPr>
          <w:rStyle w:val="Strong"/>
        </w:rPr>
        <w:t>ARIMAX vs GAM/GLM</w:t>
      </w:r>
      <w:r>
        <w:rPr/>
        <w:t xml:space="preserve"> → ARIMAX forecasts </w:t>
      </w:r>
      <w:r>
        <w:rPr>
          <w:rStyle w:val="Emphasis"/>
        </w:rPr>
        <w:t>what</w:t>
      </w:r>
      <w:r>
        <w:rPr/>
        <w:t xml:space="preserve"> will happen next (predictive); GAM/GLM explains </w:t>
      </w:r>
      <w:r>
        <w:rPr>
          <w:rStyle w:val="Emphasis"/>
        </w:rPr>
        <w:t>why</w:t>
      </w:r>
      <w:r>
        <w:rPr/>
        <w:t xml:space="preserve"> it happens (interpretative).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480" w:after="283"/>
        <w:ind w:hanging="283" w:left="709"/>
        <w:rPr/>
      </w:pPr>
      <w:r>
        <w:rPr>
          <w:rStyle w:val="Strong"/>
        </w:rPr>
        <w:t>DLNM vs Other Regressions</w:t>
      </w:r>
      <w:r>
        <w:rPr/>
        <w:t xml:space="preserve"> → DLNM expands traditional regressions to capture both non-linear dose–response and distributed lag effects, ideal for environmental epidemiology.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480" w:after="283"/>
        <w:ind w:hanging="283" w:left="709"/>
        <w:rPr/>
      </w:pPr>
      <w:r>
        <w:rPr>
          <w:rStyle w:val="Strong"/>
        </w:rPr>
        <w:t>Spatial Models vs Others</w:t>
      </w:r>
      <w:r>
        <w:rPr/>
        <w:t xml:space="preserve"> → Spatial methods focus on </w:t>
      </w:r>
      <w:r>
        <w:rPr>
          <w:rStyle w:val="Emphasis"/>
        </w:rPr>
        <w:t>where</w:t>
      </w:r>
      <w:r>
        <w:rPr/>
        <w:t xml:space="preserve"> disease risks are clustered, complementing time- and exposure-based models.</w:t>
      </w:r>
    </w:p>
    <w:p>
      <w:pPr>
        <w:pStyle w:val="HorizontalLine"/>
        <w:spacing w:before="48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spacing w:before="480" w:after="283"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Style w:val="Strong"/>
          <w:rFonts w:asciiTheme="minorHAnsi" w:cstheme="minorBidi" w:eastAsiaTheme="minorEastAsia" w:hAnsiTheme="minorHAnsi" w:ascii="Cambria" w:hAnsi="Cambria"/>
          <w:b/>
          <w:bCs/>
          <w:color w:val="auto"/>
        </w:rPr>
        <w:t>6. Practical Guidelines for HealthTrace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480" w:after="283"/>
        <w:ind w:hanging="283" w:left="709"/>
        <w:rPr/>
      </w:pPr>
      <w:r>
        <w:rPr>
          <w:rStyle w:val="Strong"/>
        </w:rPr>
        <w:t>Use GAM/GLM</w:t>
      </w:r>
      <w:r>
        <w:rPr/>
        <w:t xml:space="preserve"> for correlation and interpretative analysis within the </w:t>
      </w:r>
      <w:r>
        <w:rPr>
          <w:rStyle w:val="Strong"/>
        </w:rPr>
        <w:t>Environmental Data Correlation Dashboard (CU20)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480" w:after="283"/>
        <w:ind w:hanging="283" w:left="709"/>
        <w:rPr/>
      </w:pPr>
      <w:r>
        <w:rPr>
          <w:rStyle w:val="Strong"/>
        </w:rPr>
        <w:t>Use ARIMAX</w:t>
      </w:r>
      <w:r>
        <w:rPr/>
        <w:t xml:space="preserve"> for short-term forecasting and early-warning features in the </w:t>
      </w:r>
      <w:r>
        <w:rPr>
          <w:rStyle w:val="Strong"/>
        </w:rPr>
        <w:t>Summary and Monitoring Dashboard (CU18)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480" w:after="283"/>
        <w:ind w:hanging="283" w:left="709"/>
        <w:rPr/>
      </w:pPr>
      <w:r>
        <w:rPr>
          <w:rStyle w:val="Strong"/>
        </w:rPr>
        <w:t>Use DLNM</w:t>
      </w:r>
      <w:r>
        <w:rPr/>
        <w:t xml:space="preserve"> to investigate delayed and non-linear exposure–response effects for pollutants and climate variables.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480" w:after="283"/>
        <w:ind w:hanging="283" w:left="709"/>
        <w:rPr/>
      </w:pPr>
      <w:r>
        <w:rPr>
          <w:rStyle w:val="Strong"/>
        </w:rPr>
        <w:t>Use Spatial Models</w:t>
      </w:r>
      <w:r>
        <w:rPr/>
        <w:t xml:space="preserve"> for geographic visualization and cluster detection in the </w:t>
      </w:r>
      <w:r>
        <w:rPr>
          <w:rStyle w:val="Strong"/>
        </w:rPr>
        <w:t>Geo-View Dashboard (CU19)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480" w:after="283"/>
        <w:ind w:hanging="283" w:left="709"/>
        <w:rPr/>
      </w:pPr>
      <w:r>
        <w:rPr>
          <w:rStyle w:val="Strong"/>
        </w:rPr>
        <w:t>Use Random Forest / Gradient Boosting</w:t>
      </w:r>
      <w:r>
        <w:rPr/>
        <w:t xml:space="preserve"> to identify key predictors and validate variable importance across all modules.</w:t>
      </w:r>
    </w:p>
    <w:p>
      <w:pPr>
        <w:pStyle w:val="Normal"/>
        <w:spacing w:before="480" w:after="0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62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LibreOffice/25.2.6.2$Linux_X86_64 LibreOffice_project/520$Build-2</Application>
  <AppVersion>15.0000</AppVersion>
  <Pages>4</Pages>
  <Words>575</Words>
  <Characters>3699</Characters>
  <CharactersWithSpaces>4191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2025-10-21T10:09:09Z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