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sans-serif" w:hAnsi="sans-serif"/>
          <w:b w:val="false"/>
          <w:i w:val="false"/>
          <w:caps w:val="false"/>
          <w:smallCaps w:val="false"/>
          <w:color w:val="202122"/>
          <w:spacing w:val="0"/>
          <w:sz w:val="24"/>
          <w:szCs w:val="24"/>
          <w:lang w:val="en-US" w:eastAsia="it-IT"/>
        </w:rPr>
        <w:t>In nociception, intense chemical (e.g., </w:t>
      </w:r>
      <w:hyperlink r:id="rId2">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capsaicin</w:t>
        </w:r>
      </w:hyperlink>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present in </w:t>
      </w:r>
      <w:hyperlink r:id="rId3">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chili pepper</w:t>
        </w:r>
      </w:hyperlink>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or </w:t>
      </w:r>
      <w:hyperlink r:id="rId4">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cayenne pepper</w:t>
        </w:r>
      </w:hyperlink>
      <w:r>
        <w:rPr>
          <w:rFonts w:eastAsia="Times New Roman" w:cs="Times New Roman" w:ascii="sans-serif" w:hAnsi="sans-serif"/>
          <w:b w:val="false"/>
          <w:i w:val="false"/>
          <w:caps w:val="false"/>
          <w:smallCaps w:val="false"/>
          <w:color w:val="202122"/>
          <w:spacing w:val="0"/>
          <w:sz w:val="24"/>
          <w:szCs w:val="24"/>
          <w:lang w:val="en-US" w:eastAsia="it-IT"/>
        </w:rPr>
        <w:t>), mechanical (e.g., cutting, crushing), or thermal (heat and cold) stimulation of </w:t>
      </w:r>
      <w:hyperlink r:id="rId5">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sensory neurons</w:t>
        </w:r>
      </w:hyperlink>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called </w:t>
      </w:r>
      <w:hyperlink r:id="rId6">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nociceptors</w:t>
        </w:r>
      </w:hyperlink>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produces a signal that travels along a chain of </w:t>
      </w:r>
      <w:hyperlink r:id="rId7">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nerve fibers</w:t>
        </w:r>
      </w:hyperlink>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to the </w:t>
      </w:r>
      <w:hyperlink r:id="rId8">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brain</w:t>
        </w:r>
      </w:hyperlink>
      <w:r>
        <w:rPr>
          <w:rFonts w:eastAsia="Times New Roman" w:cs="Times New Roman" w:ascii="sans-serif" w:hAnsi="sans-serif"/>
          <w:b w:val="false"/>
          <w:i w:val="false"/>
          <w:caps w:val="false"/>
          <w:smallCaps w:val="false"/>
          <w:color w:val="202122"/>
          <w:spacing w:val="0"/>
          <w:sz w:val="24"/>
          <w:szCs w:val="24"/>
          <w:lang w:val="en-US" w:eastAsia="it-IT"/>
        </w:rPr>
        <w:t>.</w:t>
      </w:r>
      <w:r>
        <w:fldChar w:fldCharType="begin"/>
      </w:r>
      <w:r>
        <w:rPr>
          <w:rStyle w:val="Hyperlink"/>
          <w:smallCaps w:val="false"/>
          <w:caps w:val="false"/>
          <w:dstrike w:val="false"/>
          <w:strike w:val="false"/>
          <w:sz w:val="18"/>
          <w:spacing w:val="0"/>
          <w:i w:val="false"/>
          <w:u w:val="none"/>
          <w:b w:val="false"/>
          <w:effect w:val="none"/>
          <w:szCs w:val="24"/>
          <w:rFonts w:eastAsia="Times New Roman" w:cs="Times New Roman" w:ascii="sans-serif" w:hAnsi="sans-serif"/>
          <w:color w:val="3366CC"/>
          <w:lang w:val="en-US" w:eastAsia="it-IT"/>
        </w:rPr>
        <w:instrText xml:space="preserve"> HYPERLINK "https://en.wikipedia.org/wiki/Nociception" \l "cite_note-1"</w:instrText>
      </w:r>
      <w:r>
        <w:rPr>
          <w:rStyle w:val="Hyperlink"/>
          <w:smallCaps w:val="false"/>
          <w:caps w:val="false"/>
          <w:dstrike w:val="false"/>
          <w:strike w:val="false"/>
          <w:sz w:val="18"/>
          <w:spacing w:val="0"/>
          <w:i w:val="false"/>
          <w:u w:val="none"/>
          <w:b w:val="false"/>
          <w:effect w:val="none"/>
          <w:szCs w:val="24"/>
          <w:rFonts w:eastAsia="Times New Roman" w:cs="Times New Roman" w:ascii="sans-serif" w:hAnsi="sans-serif"/>
          <w:color w:val="3366CC"/>
          <w:lang w:val="en-US" w:eastAsia="it-IT"/>
        </w:rPr>
        <w:fldChar w:fldCharType="separate"/>
      </w:r>
      <w:bookmarkStart w:id="0" w:name="cite_ref-1"/>
      <w:bookmarkEnd w:id="0"/>
      <w:r>
        <w:rPr>
          <w:rStyle w:val="Hyperlink"/>
          <w:rFonts w:eastAsia="Times New Roman" w:cs="Times New Roman" w:ascii="sans-serif" w:hAnsi="sans-serif"/>
          <w:b w:val="false"/>
          <w:i w:val="false"/>
          <w:caps w:val="false"/>
          <w:smallCaps w:val="false"/>
          <w:strike w:val="false"/>
          <w:dstrike w:val="false"/>
          <w:color w:val="3366CC"/>
          <w:spacing w:val="0"/>
          <w:sz w:val="18"/>
          <w:szCs w:val="24"/>
          <w:u w:val="none"/>
          <w:effect w:val="none"/>
          <w:lang w:val="en-US" w:eastAsia="it-IT"/>
        </w:rPr>
        <w:t>[1]</w:t>
      </w:r>
      <w:r>
        <w:rPr>
          <w:rStyle w:val="Hyperlink"/>
          <w:smallCaps w:val="false"/>
          <w:caps w:val="false"/>
          <w:dstrike w:val="false"/>
          <w:strike w:val="false"/>
          <w:sz w:val="18"/>
          <w:spacing w:val="0"/>
          <w:i w:val="false"/>
          <w:u w:val="none"/>
          <w:b w:val="false"/>
          <w:effect w:val="none"/>
          <w:szCs w:val="24"/>
          <w:rFonts w:eastAsia="Times New Roman" w:cs="Times New Roman" w:ascii="sans-serif" w:hAnsi="sans-serif"/>
          <w:color w:val="3366CC"/>
          <w:lang w:val="en-US" w:eastAsia="it-IT"/>
        </w:rPr>
        <w:fldChar w:fldCharType="end"/>
      </w:r>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Nociception triggers a variety of physiological and behavioral responses to protect the organism against an aggression, and usually results in a subjective experience, or </w:t>
      </w:r>
      <w:hyperlink r:id="rId9">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perception</w:t>
        </w:r>
      </w:hyperlink>
      <w:r>
        <w:rPr>
          <w:rFonts w:eastAsia="Times New Roman" w:cs="Times New Roman" w:ascii="sans-serif" w:hAnsi="sans-serif"/>
          <w:b w:val="false"/>
          <w:i w:val="false"/>
          <w:caps w:val="false"/>
          <w:smallCaps w:val="false"/>
          <w:color w:val="202122"/>
          <w:spacing w:val="0"/>
          <w:sz w:val="24"/>
          <w:szCs w:val="24"/>
          <w:lang w:val="en-US" w:eastAsia="it-IT"/>
        </w:rPr>
        <w:t>, of pain in </w:t>
      </w:r>
      <w:hyperlink r:id="rId10">
        <w:r>
          <w:rPr>
            <w:rStyle w:val="Hyperlink"/>
            <w:rFonts w:eastAsia="Times New Roman" w:cs="Times New Roman" w:ascii="sans-serif" w:hAnsi="sans-serif"/>
            <w:b w:val="false"/>
            <w:i w:val="false"/>
            <w:caps w:val="false"/>
            <w:smallCaps w:val="false"/>
            <w:strike w:val="false"/>
            <w:dstrike w:val="false"/>
            <w:color w:val="3366CC"/>
            <w:spacing w:val="0"/>
            <w:sz w:val="24"/>
            <w:szCs w:val="24"/>
            <w:u w:val="none"/>
            <w:effect w:val="none"/>
            <w:shd w:fill="FFFFFF" w:val="clear"/>
            <w:lang w:val="en-US" w:eastAsia="it-IT"/>
          </w:rPr>
          <w:t>sentient</w:t>
        </w:r>
      </w:hyperlink>
      <w:r>
        <w:rPr>
          <w:rFonts w:eastAsia="Times New Roman" w:cs="Times New Roman" w:ascii="Times New Roman" w:hAnsi="Times New Roman"/>
          <w:caps w:val="false"/>
          <w:smallCaps w:val="false"/>
          <w:color w:val="202122"/>
          <w:spacing w:val="0"/>
          <w:sz w:val="24"/>
          <w:szCs w:val="24"/>
          <w:lang w:val="en-US" w:eastAsia="it-IT"/>
        </w:rPr>
        <w:t> </w:t>
      </w:r>
      <w:r>
        <w:rPr>
          <w:rFonts w:eastAsia="Times New Roman" w:cs="Times New Roman" w:ascii="sans-serif" w:hAnsi="sans-serif"/>
          <w:b w:val="false"/>
          <w:i w:val="false"/>
          <w:caps w:val="false"/>
          <w:smallCaps w:val="false"/>
          <w:color w:val="202122"/>
          <w:spacing w:val="0"/>
          <w:sz w:val="24"/>
          <w:szCs w:val="24"/>
          <w:lang w:val="en-US" w:eastAsia="it-IT"/>
        </w:rPr>
        <w:t>beings.</w:t>
      </w:r>
    </w:p>
    <w:p>
      <w:pPr>
        <w:pStyle w:val="Normal"/>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sans-serif" w:hAnsi="sans-serif"/>
          <w:b w:val="false"/>
          <w:i w:val="false"/>
          <w:caps w:val="false"/>
          <w:smallCaps w:val="false"/>
          <w:strike w:val="false"/>
          <w:dstrike w:val="false"/>
          <w:color w:val="3366CC"/>
          <w:spacing w:val="0"/>
          <w:sz w:val="18"/>
          <w:szCs w:val="24"/>
          <w:u w:val="none"/>
          <w:effect w:val="none"/>
          <w:lang w:val="en-US" w:eastAsia="it-IT"/>
        </w:rPr>
      </w:r>
    </w:p>
    <w:p>
      <w:pPr>
        <w:pStyle w:val="Heading2"/>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sans-serif" w:hAnsi="sans-serif"/>
          <w:b/>
          <w:i w:val="false"/>
          <w:caps w:val="false"/>
          <w:smallCaps w:val="false"/>
          <w:strike w:val="false"/>
          <w:dstrike w:val="false"/>
          <w:color w:val="3366CC"/>
          <w:spacing w:val="0"/>
          <w:sz w:val="30"/>
          <w:szCs w:val="24"/>
          <w:u w:val="none"/>
          <w:effect w:val="none"/>
          <w:lang w:val="en-US" w:eastAsia="it-IT"/>
        </w:rPr>
        <w:t>Visual Analog Scale</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The Visual Analog Scale (VAS) is a psychometric measurement tool used to assess subjective characteristics or attitudes that cannot be directly measured—most commonly pain intensity. It provides a simple, quantitative way for patients to indicate the severity of their symptoms on a continuous scale, aiding clinicians in tracking changes over time and evaluating treatment outcomes.</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rFonts w:ascii="sans-serif" w:hAnsi="sans-serif"/>
          <w:b/>
          <w:color w:val="3366CC"/>
          <w:sz w:val="27"/>
          <w:szCs w:val="24"/>
          <w:lang w:val="en-US"/>
        </w:rPr>
      </w:pPr>
      <w:r>
        <w:rPr>
          <w:rFonts w:ascii="sans-serif" w:hAnsi="sans-serif"/>
          <w:b/>
          <w:color w:val="3366CC"/>
          <w:sz w:val="27"/>
          <w:szCs w:val="24"/>
          <w:lang w:val="en-US"/>
        </w:rPr>
        <w:t>Key facts</w:t>
      </w:r>
    </w:p>
    <w:p>
      <w:pPr>
        <w:pStyle w:val="BodyText"/>
        <w:widowControl/>
        <w:numPr>
          <w:ilvl w:val="0"/>
          <w:numId w:val="1"/>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sans-serif" w:hAnsi="sans-serif" w:eastAsia="Times New Roman" w:cs="Times New Roman"/>
          <w:color w:val="3366CC"/>
          <w:sz w:val="18"/>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Primary use:</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 Measurement of pain intensity</w:t>
      </w:r>
    </w:p>
    <w:p>
      <w:pPr>
        <w:pStyle w:val="BodyText"/>
        <w:widowControl/>
        <w:numPr>
          <w:ilvl w:val="0"/>
          <w:numId w:val="1"/>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sans-serif" w:hAnsi="sans-serif" w:eastAsia="Times New Roman" w:cs="Times New Roman"/>
          <w:color w:val="3366CC"/>
          <w:sz w:val="18"/>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Scale range:</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 Typically 0–100 mm or 0–10 cm line</w:t>
      </w:r>
    </w:p>
    <w:p>
      <w:pPr>
        <w:pStyle w:val="BodyText"/>
        <w:widowControl/>
        <w:numPr>
          <w:ilvl w:val="0"/>
          <w:numId w:val="1"/>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sans-serif" w:hAnsi="sans-serif" w:eastAsia="Times New Roman" w:cs="Times New Roman"/>
          <w:color w:val="3366CC"/>
          <w:sz w:val="18"/>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Endpoints:</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 “No pain” to “Worst imaginable pain”</w:t>
      </w:r>
    </w:p>
    <w:p>
      <w:pPr>
        <w:pStyle w:val="BodyText"/>
        <w:widowControl/>
        <w:numPr>
          <w:ilvl w:val="0"/>
          <w:numId w:val="1"/>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sans-serif" w:hAnsi="sans-serif" w:eastAsia="Times New Roman" w:cs="Times New Roman"/>
          <w:color w:val="3366CC"/>
          <w:sz w:val="18"/>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Format:</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 Continuous line, usually horizontal</w:t>
      </w:r>
    </w:p>
    <w:p>
      <w:pPr>
        <w:pStyle w:val="BodyText"/>
        <w:widowControl/>
        <w:numPr>
          <w:ilvl w:val="0"/>
          <w:numId w:val="1"/>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sans-serif" w:hAnsi="sans-serif" w:eastAsia="Times New Roman" w:cs="Times New Roman"/>
          <w:color w:val="3366CC"/>
          <w:sz w:val="18"/>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Introduced:</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 Late 1920s; widely adopted in 1970s for pain research</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rFonts w:ascii="sans-serif" w:hAnsi="sans-serif"/>
          <w:b/>
          <w:color w:val="3366CC"/>
          <w:sz w:val="27"/>
          <w:szCs w:val="24"/>
          <w:lang w:val="en-US"/>
        </w:rPr>
      </w:pPr>
      <w:r>
        <w:rPr>
          <w:rFonts w:ascii="sans-serif" w:hAnsi="sans-serif"/>
          <w:b/>
          <w:color w:val="3366CC"/>
          <w:sz w:val="27"/>
          <w:szCs w:val="24"/>
          <w:lang w:val="en-US"/>
        </w:rPr>
        <w:t>Structure and administration</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A standard VAS consists of a straight line anchored by two descriptors at each end representing the extremes of the sensation (for example, “no pain” and “worst possible pain”). Patients mark the point that best represents their experience. The clinician measures the distance in millimeters from the “no pain” end to the mark, giving a numerical pain score.</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rFonts w:ascii="sans-serif" w:hAnsi="sans-serif"/>
          <w:b/>
          <w:color w:val="3366CC"/>
          <w:sz w:val="27"/>
          <w:szCs w:val="24"/>
          <w:lang w:val="en-US"/>
        </w:rPr>
      </w:pPr>
      <w:r>
        <w:rPr>
          <w:rFonts w:ascii="sans-serif" w:hAnsi="sans-serif"/>
          <w:b/>
          <w:color w:val="3366CC"/>
          <w:sz w:val="27"/>
          <w:szCs w:val="24"/>
          <w:lang w:val="en-US"/>
        </w:rPr>
        <w:t>Interpretation and scoring</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The VAS score is interpreted as a continuous variable, often converted to a 0–100 scale. Lower scores indicate less pain. Though there are no universal cut-offs, scores are commonly categorized into mild, moderate, and severe pain ranges. The method’s sensitivity allows for detecting small changes in pain perception, making it useful in both clinical trials and routine care.</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rFonts w:ascii="sans-serif" w:hAnsi="sans-serif"/>
          <w:b/>
          <w:color w:val="3366CC"/>
          <w:sz w:val="27"/>
          <w:szCs w:val="24"/>
          <w:lang w:val="en-US"/>
        </w:rPr>
      </w:pPr>
      <w:r>
        <w:rPr>
          <w:rFonts w:ascii="sans-serif" w:hAnsi="sans-serif"/>
          <w:b/>
          <w:color w:val="3366CC"/>
          <w:sz w:val="27"/>
          <w:szCs w:val="24"/>
          <w:lang w:val="en-US"/>
        </w:rPr>
        <w:t>Advantages and limitations</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0D0D0D"/>
          <w:spacing w:val="0"/>
          <w:sz w:val="24"/>
          <w:szCs w:val="24"/>
          <w:lang w:val="en-US" w:eastAsia="it-IT"/>
        </w:rPr>
        <w:t>The Visual Analog Scale offers simplicity, minimal language bias, and high responsiveness to change. However, it requires patient understanding and fine motor ability, limiting its use among certain populations such as children or individuals with cognitive impairment. Despite these limitations, it remains one of the most validated and widely used tools for assessing subjective pain intensity in clinical research and practice.</w:t>
      </w:r>
    </w:p>
    <w:p>
      <w:pPr>
        <w:pStyle w:val="Normal"/>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sans-serif" w:hAnsi="sans-serif"/>
          <w:b w:val="false"/>
          <w:i w:val="false"/>
          <w:caps w:val="false"/>
          <w:smallCaps w:val="false"/>
          <w:strike w:val="false"/>
          <w:dstrike w:val="false"/>
          <w:color w:val="3366CC"/>
          <w:spacing w:val="0"/>
          <w:sz w:val="18"/>
          <w:szCs w:val="24"/>
          <w:u w:val="none"/>
          <w:effect w:val="none"/>
          <w:lang w:val="en-US" w:eastAsia="it-IT"/>
        </w:rPr>
      </w:r>
    </w:p>
    <w:p>
      <w:pPr>
        <w:pStyle w:val="Normal"/>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sans-serif" w:hAnsi="sans-serif"/>
          <w:b w:val="false"/>
          <w:i w:val="false"/>
          <w:caps w:val="false"/>
          <w:smallCaps w:val="false"/>
          <w:strike w:val="false"/>
          <w:dstrike w:val="false"/>
          <w:color w:val="3366CC"/>
          <w:spacing w:val="0"/>
          <w:sz w:val="18"/>
          <w:szCs w:val="24"/>
          <w:u w:val="none"/>
          <w:effect w:val="none"/>
          <w:lang w:val="en-US" w:eastAsia="it-IT"/>
        </w:rPr>
      </w:r>
    </w:p>
    <w:p>
      <w:pPr>
        <w:pStyle w:val="Normal"/>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sans-serif" w:hAnsi="sans-serif"/>
          <w:b w:val="false"/>
          <w:i w:val="false"/>
          <w:caps w:val="false"/>
          <w:smallCaps w:val="false"/>
          <w:strike w:val="false"/>
          <w:dstrike w:val="false"/>
          <w:color w:val="3366CC"/>
          <w:spacing w:val="0"/>
          <w:sz w:val="18"/>
          <w:szCs w:val="24"/>
          <w:u w:val="none"/>
          <w:effect w:val="none"/>
          <w:lang w:val="en-US" w:eastAsia="it-IT"/>
        </w:rPr>
      </w:r>
    </w:p>
    <w:p>
      <w:pPr>
        <w:pStyle w:val="Heading2"/>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ascii="Times New Roman" w:hAnsi="Times New Roman"/>
          <w:b/>
          <w:sz w:val="30"/>
          <w:szCs w:val="24"/>
          <w:lang w:val="en-US" w:eastAsia="it-IT"/>
        </w:rPr>
        <w:t>Numeric Rating Scale</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bCs/>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The Numeric Rating Scale (NRS) is a clinical tool used to quantify a patient's subjective experience of pain intensity. It is widely adopted in medical and research settings for its simplicity, reliability, and adaptability across diverse patient populations and clinical conditions.</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b/>
          <w:sz w:val="27"/>
          <w:szCs w:val="24"/>
          <w:lang w:val="en-US"/>
        </w:rPr>
      </w:pPr>
      <w:r>
        <w:rPr>
          <w:b/>
          <w:sz w:val="27"/>
          <w:szCs w:val="24"/>
          <w:lang w:val="en-US"/>
        </w:rPr>
        <w:t>Key facts</w:t>
      </w:r>
    </w:p>
    <w:p>
      <w:pPr>
        <w:pStyle w:val="BodyText"/>
        <w:widowControl/>
        <w:numPr>
          <w:ilvl w:val="0"/>
          <w:numId w:val="2"/>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Times New Roman" w:hAnsi="Times New Roman" w:eastAsia="Times New Roman" w:cs="Times New Roman"/>
          <w:b/>
          <w:bCs/>
          <w:sz w:val="24"/>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Scale range:</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 0–10 (sometimes 0–100)</w:t>
      </w:r>
    </w:p>
    <w:p>
      <w:pPr>
        <w:pStyle w:val="BodyText"/>
        <w:widowControl/>
        <w:numPr>
          <w:ilvl w:val="0"/>
          <w:numId w:val="2"/>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Times New Roman" w:hAnsi="Times New Roman" w:eastAsia="Times New Roman" w:cs="Times New Roman"/>
          <w:b/>
          <w:bCs/>
          <w:sz w:val="24"/>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Interpretation:</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 0 = no pain; 10 = worst imaginable pain</w:t>
      </w:r>
    </w:p>
    <w:p>
      <w:pPr>
        <w:pStyle w:val="BodyText"/>
        <w:widowControl/>
        <w:numPr>
          <w:ilvl w:val="0"/>
          <w:numId w:val="2"/>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Times New Roman" w:hAnsi="Times New Roman" w:eastAsia="Times New Roman" w:cs="Times New Roman"/>
          <w:b/>
          <w:bCs/>
          <w:sz w:val="24"/>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Type:</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 Self-reported, unidimensional pain intensity measure</w:t>
      </w:r>
    </w:p>
    <w:p>
      <w:pPr>
        <w:pStyle w:val="BodyText"/>
        <w:widowControl/>
        <w:numPr>
          <w:ilvl w:val="0"/>
          <w:numId w:val="2"/>
        </w:numPr>
        <w:pBdr>
          <w:top w:val="single" w:sz="2" w:space="1" w:color="0D0D0D"/>
          <w:left w:val="single" w:sz="2" w:space="1" w:color="0D0D0D"/>
          <w:bottom w:val="single" w:sz="2" w:space="1" w:color="0D0D0D"/>
          <w:right w:val="single" w:sz="2" w:space="1" w:color="0D0D0D"/>
        </w:pBdr>
        <w:tabs>
          <w:tab w:val="clear" w:pos="708"/>
          <w:tab w:val="left" w:pos="0" w:leader="none"/>
        </w:tabs>
        <w:spacing w:lineRule="auto" w:line="240" w:before="0" w:after="0"/>
        <w:ind w:hanging="0" w:left="0" w:right="0"/>
        <w:rPr>
          <w:rFonts w:ascii="Times New Roman" w:hAnsi="Times New Roman" w:eastAsia="Times New Roman" w:cs="Times New Roman"/>
          <w:b/>
          <w:bCs/>
          <w:sz w:val="24"/>
          <w:szCs w:val="24"/>
          <w:lang w:val="en-US" w:eastAsia="it-IT"/>
        </w:rPr>
      </w:pPr>
      <w:r>
        <w:rPr>
          <w:rStyle w:val="Strong"/>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0D0D0D"/>
          <w:spacing w:val="0"/>
          <w:sz w:val="24"/>
          <w:szCs w:val="24"/>
          <w:lang w:val="en-US" w:eastAsia="it-IT"/>
        </w:rPr>
        <w:t>Use context:</w:t>
      </w: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 Clinical assessment, treatment monitoring, research studies</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b/>
          <w:sz w:val="27"/>
          <w:szCs w:val="24"/>
          <w:lang w:val="en-US"/>
        </w:rPr>
      </w:pPr>
      <w:r>
        <w:rPr>
          <w:b/>
          <w:sz w:val="27"/>
          <w:szCs w:val="24"/>
          <w:lang w:val="en-US"/>
        </w:rPr>
        <w:t>Design and administration</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bCs/>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The NRS asks individuals to rate their current pain by selecting a single number that best represents its intensity. The standard format ranges from 0 to 10, with numeric anchors (“0 = no pain,” “10 = worst possible pain”). It can be delivered verbally, on paper, or digitally, making it versatile for bedside and remote assessment.</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b/>
          <w:sz w:val="27"/>
          <w:szCs w:val="24"/>
          <w:lang w:val="en-US"/>
        </w:rPr>
      </w:pPr>
      <w:r>
        <w:rPr>
          <w:b/>
          <w:sz w:val="27"/>
          <w:szCs w:val="24"/>
          <w:lang w:val="en-US"/>
        </w:rPr>
        <w:t>Clinical utility</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bCs/>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Clinicians use the NRS to evaluate baseline pain, track response to treatment, and guide therapeutic decisions. It provides a rapid and quantifiable measure that complements multidimensional pain scales and can be easily interpreted by healthcare providers across settings such as emergency departments, surgical recovery, and chronic pain clinics.</w:t>
      </w:r>
    </w:p>
    <w:p>
      <w:pPr>
        <w:pStyle w:val="Heading3"/>
        <w:pBdr>
          <w:top w:val="single" w:sz="2" w:space="1" w:color="0D0D0D"/>
          <w:left w:val="single" w:sz="2" w:space="1" w:color="0D0D0D"/>
          <w:bottom w:val="single" w:sz="2" w:space="1" w:color="0D0D0D"/>
          <w:right w:val="single" w:sz="2" w:space="1" w:color="0D0D0D"/>
        </w:pBdr>
        <w:spacing w:lineRule="auto" w:line="372" w:before="240" w:after="60"/>
        <w:ind w:hanging="0" w:left="0" w:right="0"/>
        <w:rPr>
          <w:b/>
          <w:sz w:val="27"/>
          <w:szCs w:val="24"/>
          <w:lang w:val="en-US"/>
        </w:rPr>
      </w:pPr>
      <w:r>
        <w:rPr>
          <w:b/>
          <w:sz w:val="27"/>
          <w:szCs w:val="24"/>
          <w:lang w:val="en-US"/>
        </w:rPr>
        <w:t>Advantages and limitations</w:t>
      </w:r>
    </w:p>
    <w:p>
      <w:pPr>
        <w:pStyle w:val="BodyText"/>
        <w:widowControl/>
        <w:pBdr>
          <w:top w:val="single" w:sz="2" w:space="1" w:color="0D0D0D"/>
          <w:left w:val="single" w:sz="2" w:space="1" w:color="0D0D0D"/>
          <w:bottom w:val="single" w:sz="2" w:space="1" w:color="0D0D0D"/>
          <w:right w:val="single" w:sz="2" w:space="1" w:color="0D0D0D"/>
        </w:pBdr>
        <w:spacing w:lineRule="auto" w:line="240" w:before="0" w:after="60"/>
        <w:ind w:hanging="0" w:left="0" w:right="0"/>
        <w:rPr>
          <w:rFonts w:ascii="ui-sans-serif;apple-system;system-ui;Segoe UI;Helvetica;Apple Color Emoji;Arial;sans-serif;Segoe UI Emoji;Segoe UI Symbol" w:hAnsi="ui-sans-serif;apple-system;system-ui;Segoe UI;Helvetica;Apple Color Emoji;Arial;sans-serif;Segoe UI Emoji;Segoe UI Symbol" w:eastAsia="Times New Roman" w:cs="Times New Roman"/>
          <w:b w:val="false"/>
          <w:bCs/>
          <w:i w:val="false"/>
          <w:caps w:val="false"/>
          <w:smallCaps w:val="false"/>
          <w:color w:val="0D0D0D"/>
          <w:spacing w:val="0"/>
          <w:sz w:val="24"/>
          <w:szCs w:val="24"/>
          <w:lang w:val="en-US" w:eastAsia="it-IT"/>
        </w:rPr>
      </w:pPr>
      <w:r>
        <w:rPr>
          <w:rFonts w:eastAsia="Times New Roman"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szCs w:val="24"/>
          <w:lang w:val="en-US" w:eastAsia="it-IT"/>
        </w:rPr>
        <w:t>Advantages include ease of use, minimal literacy requirements, and good responsiveness to change. However, as a unidimensional scale, it does not capture qualitative aspects such as pain type or emotional impact. The reliability may decrease in populations with cognitive impairment or communication barriers, where alternative scales like the Visual Analog Scale or Faces Pain Scale may be preferred.</w:t>
      </w:r>
    </w:p>
    <w:p>
      <w:pPr>
        <w:pStyle w:val="Heading3"/>
        <w:spacing w:lineRule="auto" w:line="240" w:beforeAutospacing="1" w:afterAutospacing="1"/>
        <w:rPr>
          <w:rFonts w:ascii="Times New Roman" w:hAnsi="Times New Roman" w:eastAsia="Times New Roman" w:cs="Times New Roman"/>
          <w:sz w:val="24"/>
          <w:szCs w:val="24"/>
          <w:lang w:val="en-US" w:eastAsia="it-IT"/>
        </w:rPr>
      </w:pPr>
      <w:r>
        <w:rPr>
          <w:rFonts w:eastAsia="Times New Roman" w:cs="Times New Roman"/>
          <w:sz w:val="24"/>
          <w:szCs w:val="24"/>
          <w:lang w:val="en-US" w:eastAsia="it-IT"/>
        </w:rPr>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ans-serif">
    <w:altName w:val="Arial"/>
    <w:charset w:val="01"/>
    <w:family w:val="auto"/>
    <w:pitch w:val="default"/>
  </w:font>
  <w:font w:name="ui-sans-serif">
    <w:altName w:val="apple-system"/>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4"/>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it-IT" w:eastAsia="en-US" w:bidi="ar-SA"/>
    </w:rPr>
  </w:style>
  <w:style w:type="paragraph" w:styleId="Heading2">
    <w:name w:val="heading 2"/>
    <w:basedOn w:val="Heading"/>
    <w:next w:val="BodyText"/>
    <w:qFormat/>
    <w:pPr>
      <w:spacing w:before="200" w:after="120"/>
      <w:outlineLvl w:val="1"/>
    </w:pPr>
    <w:rPr>
      <w:rFonts w:ascii="Liberation Serif" w:hAnsi="Liberation Serif" w:eastAsia="DejaVu Sans" w:cs="Noto Sans Arabic UI"/>
      <w:b/>
      <w:bCs/>
      <w:sz w:val="36"/>
      <w:szCs w:val="36"/>
    </w:rPr>
  </w:style>
  <w:style w:type="paragraph" w:styleId="Heading3">
    <w:name w:val="heading 3"/>
    <w:basedOn w:val="Normal"/>
    <w:link w:val="Heading3Char"/>
    <w:uiPriority w:val="9"/>
    <w:qFormat/>
    <w:rsid w:val="008c3928"/>
    <w:pPr>
      <w:spacing w:lineRule="auto" w:line="240" w:beforeAutospacing="1" w:afterAutospacing="1"/>
      <w:outlineLvl w:val="2"/>
    </w:pPr>
    <w:rPr>
      <w:rFonts w:ascii="Times New Roman" w:hAnsi="Times New Roman" w:eastAsia="Times New Roman" w:cs="Times New Roman"/>
      <w:b/>
      <w:bCs/>
      <w:sz w:val="27"/>
      <w:szCs w:val="27"/>
      <w:lang w:eastAsia="it-IT"/>
    </w:rPr>
  </w:style>
  <w:style w:type="paragraph" w:styleId="Heading6">
    <w:name w:val="heading 6"/>
    <w:basedOn w:val="Heading"/>
    <w:next w:val="BodyText"/>
    <w:qFormat/>
    <w:pPr>
      <w:spacing w:before="60" w:after="60"/>
      <w:outlineLvl w:val="5"/>
    </w:pPr>
    <w:rPr>
      <w:rFonts w:ascii="Liberation Serif" w:hAnsi="Liberation Serif" w:eastAsia="DejaVu Sans" w:cs="Noto Sans Arabic UI"/>
      <w:b/>
      <w:bCs/>
      <w:sz w:val="14"/>
      <w:szCs w:val="14"/>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8c3928"/>
    <w:rPr>
      <w:rFonts w:ascii="Times New Roman" w:hAnsi="Times New Roman" w:eastAsia="Times New Roman" w:cs="Times New Roman"/>
      <w:b/>
      <w:bCs/>
      <w:sz w:val="27"/>
      <w:szCs w:val="27"/>
      <w:lang w:eastAsia="it-IT"/>
    </w:rPr>
  </w:style>
  <w:style w:type="character" w:styleId="Strong">
    <w:name w:val="Strong"/>
    <w:basedOn w:val="DefaultParagraphFont"/>
    <w:uiPriority w:val="22"/>
    <w:qFormat/>
    <w:rsid w:val="008c3928"/>
    <w:rPr>
      <w:b/>
      <w:bCs/>
    </w:rPr>
  </w:style>
  <w:style w:type="character" w:styleId="Emphasis">
    <w:name w:val="Emphasis"/>
    <w:basedOn w:val="DefaultParagraphFont"/>
    <w:uiPriority w:val="20"/>
    <w:qFormat/>
    <w:rsid w:val="008c3928"/>
    <w:rPr>
      <w:i/>
      <w:iCs/>
    </w:rPr>
  </w:style>
  <w:style w:type="character" w:styleId="truncate" w:customStyle="1">
    <w:name w:val="truncate"/>
    <w:basedOn w:val="DefaultParagraphFont"/>
    <w:qFormat/>
    <w:rsid w:val="00844135"/>
    <w:rPr/>
  </w:style>
  <w:style w:type="character" w:styleId="HTMLCode">
    <w:name w:val="HTML Code"/>
    <w:basedOn w:val="DefaultParagraphFont"/>
    <w:uiPriority w:val="99"/>
    <w:semiHidden/>
    <w:unhideWhenUsed/>
    <w:qFormat/>
    <w:rsid w:val="00844135"/>
    <w:rPr>
      <w:rFonts w:ascii="Courier New" w:hAnsi="Courier New" w:eastAsia="Times New Roman" w:cs="Courier New"/>
      <w:sz w:val="20"/>
      <w:szCs w:val="20"/>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2e30dd"/>
    <w:pPr>
      <w:spacing w:lineRule="auto" w:line="240" w:beforeAutospacing="1" w:afterAutospacing="1"/>
    </w:pPr>
    <w:rPr>
      <w:rFonts w:ascii="Times New Roman" w:hAnsi="Times New Roman" w:eastAsia="Times New Roman" w:cs="Times New Roman"/>
      <w:sz w:val="24"/>
      <w:szCs w:val="24"/>
      <w:lang w:eastAsia="it-IT"/>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Capsaicin" TargetMode="External"/><Relationship Id="rId3" Type="http://schemas.openxmlformats.org/officeDocument/2006/relationships/hyperlink" Target="https://en.wikipedia.org/wiki/Chili_pepper" TargetMode="External"/><Relationship Id="rId4" Type="http://schemas.openxmlformats.org/officeDocument/2006/relationships/hyperlink" Target="https://en.wikipedia.org/wiki/Cayenne_pepper" TargetMode="External"/><Relationship Id="rId5" Type="http://schemas.openxmlformats.org/officeDocument/2006/relationships/hyperlink" Target="https://en.wikipedia.org/wiki/Sensory_neuron" TargetMode="External"/><Relationship Id="rId6" Type="http://schemas.openxmlformats.org/officeDocument/2006/relationships/hyperlink" Target="https://en.wikipedia.org/wiki/Nociceptor" TargetMode="External"/><Relationship Id="rId7" Type="http://schemas.openxmlformats.org/officeDocument/2006/relationships/hyperlink" Target="https://en.wikipedia.org/wiki/Nerve_fiber" TargetMode="External"/><Relationship Id="rId8" Type="http://schemas.openxmlformats.org/officeDocument/2006/relationships/hyperlink" Target="https://en.wikipedia.org/wiki/Brain" TargetMode="External"/><Relationship Id="rId9" Type="http://schemas.openxmlformats.org/officeDocument/2006/relationships/hyperlink" Target="https://en.wikipedia.org/wiki/Perception" TargetMode="External"/><Relationship Id="rId10" Type="http://schemas.openxmlformats.org/officeDocument/2006/relationships/hyperlink" Target="https://en.wikipedia.org/wiki/Sentience"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10179</TotalTime>
  <Application>LibreOffice/25.2.6.2$Linux_X86_64 LibreOffice_project/520$Build-2</Application>
  <AppVersion>15.0000</AppVersion>
  <Pages>3</Pages>
  <Words>615</Words>
  <Characters>3514</Characters>
  <CharactersWithSpaces>4086</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2025-03-17T11:36:00Z</dcterms:created>
  <dc:creator>Amir Mokhtarian</dc:creator>
  <dc:description/>
  <dc:language>en-US</dc:language>
  <cp:lastModifiedBy/>
  <dcterms:modified xsi:type="dcterms:W3CDTF">2026-01-22T11:26:39Z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