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Corruption</w:t>
      </w:r>
      <w:r>
        <w:t xml:space="preserve"> </w:t>
      </w:r>
      <w:r>
        <w:t xml:space="preserve">in</w:t>
      </w:r>
      <w:r>
        <w:t xml:space="preserve"> </w:t>
      </w:r>
      <w:r>
        <w:t xml:space="preserve">the</w:t>
      </w:r>
      <w:r>
        <w:t xml:space="preserve"> </w:t>
      </w:r>
      <w:r>
        <w:t xml:space="preserve">lab</w:t>
      </w:r>
    </w:p>
    <w:p>
      <w:pPr>
        <w:pStyle w:val="Author"/>
      </w:pPr>
      <w:r>
        <w:t xml:space="preserve">Fedor</w:t>
      </w:r>
      <w:r>
        <w:t xml:space="preserve"> </w:t>
      </w:r>
      <w:r>
        <w:t xml:space="preserve">Anna,</w:t>
      </w:r>
      <w:r>
        <w:t xml:space="preserve"> </w:t>
      </w:r>
      <w:r>
        <w:t xml:space="preserve">Mokos</w:t>
      </w:r>
      <w:r>
        <w:t xml:space="preserve"> </w:t>
      </w:r>
      <w:r>
        <w:t xml:space="preserve">Judit</w:t>
      </w:r>
    </w:p>
    <w:p>
      <w:pPr>
        <w:pStyle w:val="Heading1"/>
      </w:pPr>
      <w:bookmarkStart w:id="20" w:name="results"/>
      <w:r>
        <w:t xml:space="preserve">Results</w:t>
      </w:r>
      <w:bookmarkEnd w:id="20"/>
    </w:p>
    <w:p>
      <w:pPr>
        <w:pStyle w:val="Heading2"/>
      </w:pPr>
      <w:bookmarkStart w:id="21" w:name="participants"/>
      <w:r>
        <w:t xml:space="preserve">Participants</w:t>
      </w:r>
      <w:bookmarkEnd w:id="21"/>
    </w:p>
    <w:p>
      <w:pPr>
        <w:pStyle w:val="FirstParagraph"/>
      </w:pPr>
      <w:r>
        <w:t xml:space="preserve">We have excluded 0 participants because XXX. There were 2, 2, 3, 2 number of participants in conditions SH, SD, CH, CD, respectively.</w:t>
      </w:r>
      <w:r>
        <w:br w:type="textWrapping"/>
      </w:r>
      <w:r>
        <w:t xml:space="preserve">Their median age was 20 (range 18 - 23) and 7 were male.</w:t>
      </w:r>
    </w:p>
    <w:p>
      <w:pPr>
        <w:pStyle w:val="Heading2"/>
      </w:pPr>
      <w:bookmarkStart w:id="22" w:name="the-distribution-of-reported-numbers"/>
      <w:r>
        <w:t xml:space="preserve">The distribution of reported numbers</w:t>
      </w:r>
      <w:bookmarkEnd w:id="22"/>
    </w:p>
    <w:p>
      <w:pPr>
        <w:pStyle w:val="FirstParagraph"/>
      </w:pPr>
      <w:r>
        <w:t xml:space="preserve">The following figures (Figure XXX) shows the frequency of value pairs in the four conditions.</w:t>
      </w:r>
      <w:r>
        <w:t xml:space="preserve"> </w:t>
      </w:r>
      <w:r>
        <w:rPr>
          <w:i/>
        </w:rPr>
        <w:t xml:space="preserve">It can be seen that the diagonal (representing doubles) is darker than the rest of the figure in all conditions and that 6-6 pairs are especially dark in conditions with a dishonest partner, as expected.</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Heat%20map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Chi-square tests to see if the reported values of our participants come from a uniform distribution. The results are shown in Table XXX.</w:t>
      </w:r>
      <w:r>
        <w:br w:type="textWrapping"/>
      </w:r>
      <w:r>
        <w:rPr>
          <w:i/>
        </w:rPr>
        <w:t xml:space="preserve">Reported values in conditions with a dishonest partner (SD and CD) are significantly different from the uniform distribution, probably because participants cheated and matched player As’ values, which in turn were sampled from a screwed distribution. Reported values in conditions with an honest partner (SH and CH) do not differ significantly from the uniform distributions, however, these results does not show whether participants cheated. The distribution can be uniform because they did not cheat or because they cheated by matching player As’ values that in turn were sampled from a uniform distribution.</w:t>
      </w:r>
    </w:p>
    <w:p>
      <w:pPr>
        <w:pStyle w:val="BodyText"/>
      </w:pPr>
      <w:r>
        <w:t xml:space="preserve">We have specified simulate.p.value = TRUE, so chisq.test will use a test statistic and P-value based on a Monte Carlo approach. In this case, there is no assumed chi-square distribution for the test statistic, so there is also no df parameter involved.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p.value</w:t>
            </w:r>
          </w:p>
        </w:tc>
      </w:tr>
      <w:tr>
        <w:tc>
          <w:p>
            <w:pPr>
              <w:pStyle w:val="Compact"/>
              <w:jc w:val="left"/>
            </w:pPr>
            <w:r>
              <w:t xml:space="preserve">SH</w:t>
            </w:r>
          </w:p>
        </w:tc>
        <w:tc>
          <w:p>
            <w:pPr>
              <w:pStyle w:val="Compact"/>
              <w:jc w:val="left"/>
            </w:pPr>
            <w:r>
              <w:t xml:space="preserve">NA</w:t>
            </w:r>
          </w:p>
        </w:tc>
        <w:tc>
          <w:p>
            <w:pPr>
              <w:pStyle w:val="Compact"/>
              <w:jc w:val="right"/>
            </w:pPr>
            <w:r>
              <w:t xml:space="preserve">9.5</w:t>
            </w:r>
          </w:p>
        </w:tc>
        <w:tc>
          <w:p>
            <w:pPr>
              <w:pStyle w:val="Compact"/>
              <w:jc w:val="right"/>
            </w:pPr>
            <w:r>
              <w:t xml:space="preserve">0.09</w:t>
            </w:r>
          </w:p>
        </w:tc>
      </w:tr>
      <w:tr>
        <w:tc>
          <w:p>
            <w:pPr>
              <w:pStyle w:val="Compact"/>
              <w:jc w:val="left"/>
            </w:pPr>
            <w:r>
              <w:t xml:space="preserve">SD</w:t>
            </w:r>
          </w:p>
        </w:tc>
        <w:tc>
          <w:p>
            <w:pPr>
              <w:pStyle w:val="Compact"/>
              <w:jc w:val="left"/>
            </w:pPr>
            <w:r>
              <w:t xml:space="preserve">NA</w:t>
            </w:r>
          </w:p>
        </w:tc>
        <w:tc>
          <w:p>
            <w:pPr>
              <w:pStyle w:val="Compact"/>
              <w:jc w:val="right"/>
            </w:pPr>
            <w:r>
              <w:t xml:space="preserve">32.3</w:t>
            </w:r>
          </w:p>
        </w:tc>
        <w:tc>
          <w:p>
            <w:pPr>
              <w:pStyle w:val="Compact"/>
              <w:jc w:val="right"/>
            </w:pPr>
            <w:r>
              <w:t xml:space="preserve">0.00</w:t>
            </w:r>
          </w:p>
        </w:tc>
      </w:tr>
      <w:tr>
        <w:tc>
          <w:p>
            <w:pPr>
              <w:pStyle w:val="Compact"/>
              <w:jc w:val="left"/>
            </w:pPr>
            <w:r>
              <w:t xml:space="preserve">CH</w:t>
            </w:r>
          </w:p>
        </w:tc>
        <w:tc>
          <w:p>
            <w:pPr>
              <w:pStyle w:val="Compact"/>
              <w:jc w:val="left"/>
            </w:pPr>
            <w:r>
              <w:t xml:space="preserve">NA</w:t>
            </w:r>
          </w:p>
        </w:tc>
        <w:tc>
          <w:p>
            <w:pPr>
              <w:pStyle w:val="Compact"/>
              <w:jc w:val="right"/>
            </w:pPr>
            <w:r>
              <w:t xml:space="preserve">11.2</w:t>
            </w:r>
          </w:p>
        </w:tc>
        <w:tc>
          <w:p>
            <w:pPr>
              <w:pStyle w:val="Compact"/>
              <w:jc w:val="right"/>
            </w:pPr>
            <w:r>
              <w:t xml:space="preserve">0.05</w:t>
            </w:r>
          </w:p>
        </w:tc>
      </w:tr>
      <w:tr>
        <w:tc>
          <w:p>
            <w:pPr>
              <w:pStyle w:val="Compact"/>
              <w:jc w:val="left"/>
            </w:pPr>
            <w:r>
              <w:t xml:space="preserve">CD</w:t>
            </w:r>
          </w:p>
        </w:tc>
        <w:tc>
          <w:p>
            <w:pPr>
              <w:pStyle w:val="Compact"/>
              <w:jc w:val="left"/>
            </w:pPr>
            <w:r>
              <w:t xml:space="preserve">NA</w:t>
            </w:r>
          </w:p>
        </w:tc>
        <w:tc>
          <w:p>
            <w:pPr>
              <w:pStyle w:val="Compact"/>
              <w:jc w:val="right"/>
            </w:pPr>
            <w:r>
              <w:t xml:space="preserve">5.6</w:t>
            </w:r>
          </w:p>
        </w:tc>
        <w:tc>
          <w:p>
            <w:pPr>
              <w:pStyle w:val="Compact"/>
              <w:jc w:val="right"/>
            </w:pPr>
            <w:r>
              <w:t xml:space="preserve">0.41</w:t>
            </w:r>
          </w:p>
        </w:tc>
      </w:tr>
    </w:tbl>
    <w:p>
      <w:pPr>
        <w:pStyle w:val="Heading2"/>
      </w:pPr>
      <w:bookmarkStart w:id="27" w:name="the-number-of-doubles"/>
      <w:r>
        <w:t xml:space="preserve">The number of doubles</w:t>
      </w:r>
      <w:bookmarkEnd w:id="27"/>
    </w:p>
    <w:p>
      <w:pPr>
        <w:pStyle w:val="FirstParagraph"/>
      </w:pPr>
      <w:r>
        <w:t xml:space="preserve">The following boxplots (Figure XXX) show the distribution of the number of doubles in each condition, summed for all rounds of the game.</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Box%20plot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tested, whether the number of doubles is higher than its expected value of 3.33 with Wilcoxon signed-rank U test, separately for each condition (Table XXX).</w:t>
      </w:r>
      <w:r>
        <w:t xml:space="preserve"> </w:t>
      </w:r>
      <w:r>
        <w:rPr>
          <w:i/>
        </w:rPr>
        <w:t xml:space="preserve">All tests showed that the number of doubles is significantly higher than expected by chance, meaning that participants cheated in all conditions.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median</w:t>
            </w:r>
          </w:p>
        </w:tc>
      </w:tr>
      <w:tr>
        <w:tc>
          <w:p>
            <w:pPr>
              <w:pStyle w:val="Compact"/>
              <w:jc w:val="left"/>
            </w:pPr>
            <w:r>
              <w:t xml:space="preserve">SH</w:t>
            </w:r>
          </w:p>
        </w:tc>
        <w:tc>
          <w:p>
            <w:pPr>
              <w:pStyle w:val="Compact"/>
              <w:jc w:val="left"/>
            </w:pPr>
            <w:r>
              <w:t xml:space="preserve">SH</w:t>
            </w:r>
          </w:p>
        </w:tc>
        <w:tc>
          <w:p>
            <w:pPr>
              <w:pStyle w:val="Compact"/>
              <w:jc w:val="right"/>
            </w:pPr>
            <w:r>
              <w:t xml:space="preserve">0.75</w:t>
            </w:r>
          </w:p>
        </w:tc>
        <w:tc>
          <w:p>
            <w:pPr>
              <w:pStyle w:val="Compact"/>
              <w:jc w:val="right"/>
            </w:pPr>
            <w:r>
              <w:t xml:space="preserve">1</w:t>
            </w:r>
          </w:p>
        </w:tc>
        <w:tc>
          <w:p>
            <w:pPr>
              <w:pStyle w:val="Compact"/>
              <w:jc w:val="right"/>
            </w:pPr>
            <w:r>
              <w:t xml:space="preserve">2.5</w:t>
            </w:r>
          </w:p>
        </w:tc>
      </w:tr>
      <w:tr>
        <w:tc>
          <w:p>
            <w:pPr>
              <w:pStyle w:val="Compact"/>
              <w:jc w:val="left"/>
            </w:pPr>
            <w:r>
              <w:t xml:space="preserve">SD</w:t>
            </w:r>
          </w:p>
        </w:tc>
        <w:tc>
          <w:p>
            <w:pPr>
              <w:pStyle w:val="Compact"/>
              <w:jc w:val="left"/>
            </w:pPr>
            <w:r>
              <w:t xml:space="preserve">SD</w:t>
            </w:r>
          </w:p>
        </w:tc>
        <w:tc>
          <w:p>
            <w:pPr>
              <w:pStyle w:val="Compact"/>
              <w:jc w:val="right"/>
            </w:pPr>
            <w:r>
              <w:t xml:space="preserve">0.50</w:t>
            </w:r>
          </w:p>
        </w:tc>
        <w:tc>
          <w:p>
            <w:pPr>
              <w:pStyle w:val="Compact"/>
              <w:jc w:val="right"/>
            </w:pPr>
            <w:r>
              <w:t xml:space="preserve">2</w:t>
            </w:r>
          </w:p>
        </w:tc>
        <w:tc>
          <w:p>
            <w:pPr>
              <w:pStyle w:val="Compact"/>
              <w:jc w:val="right"/>
            </w:pPr>
            <w:r>
              <w:t xml:space="preserve">3.5</w:t>
            </w:r>
          </w:p>
        </w:tc>
      </w:tr>
      <w:tr>
        <w:tc>
          <w:p>
            <w:pPr>
              <w:pStyle w:val="Compact"/>
              <w:jc w:val="left"/>
            </w:pPr>
            <w:r>
              <w:t xml:space="preserve">CH</w:t>
            </w:r>
          </w:p>
        </w:tc>
        <w:tc>
          <w:p>
            <w:pPr>
              <w:pStyle w:val="Compact"/>
              <w:jc w:val="left"/>
            </w:pPr>
            <w:r>
              <w:t xml:space="preserve">CH</w:t>
            </w:r>
          </w:p>
        </w:tc>
        <w:tc>
          <w:p>
            <w:pPr>
              <w:pStyle w:val="Compact"/>
              <w:jc w:val="right"/>
            </w:pPr>
            <w:r>
              <w:t xml:space="preserve">0.25</w:t>
            </w:r>
          </w:p>
        </w:tc>
        <w:tc>
          <w:p>
            <w:pPr>
              <w:pStyle w:val="Compact"/>
              <w:jc w:val="right"/>
            </w:pPr>
            <w:r>
              <w:t xml:space="preserve">5</w:t>
            </w:r>
          </w:p>
        </w:tc>
        <w:tc>
          <w:p>
            <w:pPr>
              <w:pStyle w:val="Compact"/>
              <w:jc w:val="right"/>
            </w:pPr>
            <w:r>
              <w:t xml:space="preserve">5.0</w:t>
            </w:r>
          </w:p>
        </w:tc>
      </w:tr>
      <w:tr>
        <w:tc>
          <w:p>
            <w:pPr>
              <w:pStyle w:val="Compact"/>
              <w:jc w:val="left"/>
            </w:pPr>
            <w:r>
              <w:t xml:space="preserve">CD</w:t>
            </w:r>
          </w:p>
        </w:tc>
        <w:tc>
          <w:p>
            <w:pPr>
              <w:pStyle w:val="Compact"/>
              <w:jc w:val="left"/>
            </w:pPr>
            <w:r>
              <w:t xml:space="preserve">CD</w:t>
            </w:r>
          </w:p>
        </w:tc>
        <w:tc>
          <w:p>
            <w:pPr>
              <w:pStyle w:val="Compact"/>
              <w:jc w:val="right"/>
            </w:pPr>
            <w:r>
              <w:t xml:space="preserve">0.50</w:t>
            </w:r>
          </w:p>
        </w:tc>
        <w:tc>
          <w:p>
            <w:pPr>
              <w:pStyle w:val="Compact"/>
              <w:jc w:val="right"/>
            </w:pPr>
            <w:r>
              <w:t xml:space="preserve">2</w:t>
            </w:r>
          </w:p>
        </w:tc>
        <w:tc>
          <w:p>
            <w:pPr>
              <w:pStyle w:val="Compact"/>
              <w:jc w:val="right"/>
            </w:pPr>
            <w:r>
              <w:t xml:space="preserve">4.5</w:t>
            </w:r>
          </w:p>
        </w:tc>
      </w:tr>
    </w:tbl>
    <w:p>
      <w:pPr>
        <w:pStyle w:val="BodyText"/>
      </w:pPr>
      <w:r>
        <w:t xml:space="preserve">We compared the number of doubles in pairs of conditions with two-sample Wilcoxon tests (one-sided Mann-Whitney U tests). The results of testing the effect of dishonest partners vs honest partners in the simple game and in the charity game are shown in Table XXX.</w:t>
      </w:r>
      <w:r>
        <w:t xml:space="preserve"> </w:t>
      </w:r>
      <w:r>
        <w:rPr>
          <w:i/>
        </w:rPr>
        <w:t xml:space="preserve">Both comparisons yielded significant results supporting the moral erosion hypothesis.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SH-SD</w:t>
            </w:r>
          </w:p>
        </w:tc>
        <w:tc>
          <w:p>
            <w:pPr>
              <w:pStyle w:val="Compact"/>
              <w:jc w:val="right"/>
            </w:pPr>
            <w:r>
              <w:t xml:space="preserve">0.5000000</w:t>
            </w:r>
          </w:p>
        </w:tc>
        <w:tc>
          <w:p>
            <w:pPr>
              <w:pStyle w:val="Compact"/>
              <w:jc w:val="right"/>
            </w:pPr>
            <w:r>
              <w:t xml:space="preserve">1.5</w:t>
            </w:r>
          </w:p>
        </w:tc>
      </w:tr>
      <w:tr>
        <w:tc>
          <w:p>
            <w:pPr>
              <w:pStyle w:val="Compact"/>
              <w:jc w:val="left"/>
            </w:pPr>
            <w:r>
              <w:t xml:space="preserve">CH-CD</w:t>
            </w:r>
          </w:p>
        </w:tc>
        <w:tc>
          <w:p>
            <w:pPr>
              <w:pStyle w:val="Compact"/>
              <w:jc w:val="right"/>
            </w:pPr>
            <w:r>
              <w:t xml:space="preserve">0.6195466</w:t>
            </w:r>
          </w:p>
        </w:tc>
        <w:tc>
          <w:p>
            <w:pPr>
              <w:pStyle w:val="Compact"/>
              <w:jc w:val="right"/>
            </w:pPr>
            <w:r>
              <w:t xml:space="preserve">3.0</w:t>
            </w:r>
          </w:p>
        </w:tc>
      </w:tr>
    </w:tbl>
    <w:p>
      <w:pPr>
        <w:pStyle w:val="BodyText"/>
      </w:pPr>
      <w:r>
        <w:t xml:space="preserve">The results of testing the effect of charity vs no charity with honest partner and with dishonest partner are shown in Table XXX.</w:t>
      </w:r>
      <w:r>
        <w:t xml:space="preserve"> </w:t>
      </w:r>
      <w:r>
        <w:rPr>
          <w:i/>
        </w:rPr>
        <w:t xml:space="preserve">Both comparisons yielded significant results supporting the charity hypothesis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SH-CH</w:t>
            </w:r>
          </w:p>
        </w:tc>
        <w:tc>
          <w:p>
            <w:pPr>
              <w:pStyle w:val="Compact"/>
              <w:jc w:val="right"/>
            </w:pPr>
            <w:r>
              <w:t xml:space="preserve">0.2</w:t>
            </w:r>
          </w:p>
        </w:tc>
        <w:tc>
          <w:p>
            <w:pPr>
              <w:pStyle w:val="Compact"/>
              <w:jc w:val="right"/>
            </w:pPr>
            <w:r>
              <w:t xml:space="preserve">1.0</w:t>
            </w:r>
          </w:p>
        </w:tc>
      </w:tr>
      <w:tr>
        <w:tc>
          <w:p>
            <w:pPr>
              <w:pStyle w:val="Compact"/>
              <w:jc w:val="left"/>
            </w:pPr>
            <w:r>
              <w:t xml:space="preserve">SD-CD</w:t>
            </w:r>
          </w:p>
        </w:tc>
        <w:tc>
          <w:p>
            <w:pPr>
              <w:pStyle w:val="Compact"/>
              <w:jc w:val="right"/>
            </w:pPr>
            <w:r>
              <w:t xml:space="preserve">0.5</w:t>
            </w:r>
          </w:p>
        </w:tc>
        <w:tc>
          <w:p>
            <w:pPr>
              <w:pStyle w:val="Compact"/>
              <w:jc w:val="right"/>
            </w:pPr>
            <w:r>
              <w:t xml:space="preserve">1.5</w:t>
            </w:r>
          </w:p>
        </w:tc>
      </w:tr>
    </w:tbl>
    <w:p>
      <w:pPr>
        <w:pStyle w:val="BodyText"/>
      </w:pPr>
      <w:r>
        <w:t xml:space="preserve">Finally, we tested the effect of predictors with linear regression, see Table XXX. The dependent variable was the number of reported doubles (interval) and predictors were game (binary), partner (binary) and fingerratio (interval).</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24.040</w:t>
            </w:r>
          </w:p>
        </w:tc>
        <w:tc>
          <w:p>
            <w:pPr>
              <w:pStyle w:val="Compact"/>
              <w:jc w:val="right"/>
            </w:pPr>
            <w:r>
              <w:t xml:space="preserve">28.050</w:t>
            </w:r>
          </w:p>
        </w:tc>
        <w:tc>
          <w:p>
            <w:pPr>
              <w:pStyle w:val="Compact"/>
              <w:jc w:val="right"/>
            </w:pPr>
            <w:r>
              <w:t xml:space="preserve">0.857</w:t>
            </w:r>
          </w:p>
        </w:tc>
        <w:tc>
          <w:p>
            <w:pPr>
              <w:pStyle w:val="Compact"/>
              <w:jc w:val="right"/>
            </w:pPr>
            <w:r>
              <w:t xml:space="preserve">0.431</w:t>
            </w:r>
          </w:p>
        </w:tc>
      </w:tr>
      <w:tr>
        <w:tc>
          <w:p>
            <w:pPr>
              <w:pStyle w:val="Compact"/>
              <w:jc w:val="left"/>
            </w:pPr>
            <w:r>
              <w:t xml:space="preserve">GameS</w:t>
            </w:r>
          </w:p>
        </w:tc>
        <w:tc>
          <w:p>
            <w:pPr>
              <w:pStyle w:val="Compact"/>
              <w:jc w:val="right"/>
            </w:pPr>
            <w:r>
              <w:t xml:space="preserve">-1.654</w:t>
            </w:r>
          </w:p>
        </w:tc>
        <w:tc>
          <w:p>
            <w:pPr>
              <w:pStyle w:val="Compact"/>
              <w:jc w:val="right"/>
            </w:pPr>
            <w:r>
              <w:t xml:space="preserve">1.113</w:t>
            </w:r>
          </w:p>
        </w:tc>
        <w:tc>
          <w:p>
            <w:pPr>
              <w:pStyle w:val="Compact"/>
              <w:jc w:val="right"/>
            </w:pPr>
            <w:r>
              <w:t xml:space="preserve">-1.485</w:t>
            </w:r>
          </w:p>
        </w:tc>
        <w:tc>
          <w:p>
            <w:pPr>
              <w:pStyle w:val="Compact"/>
              <w:jc w:val="right"/>
            </w:pPr>
            <w:r>
              <w:t xml:space="preserve">0.198</w:t>
            </w:r>
          </w:p>
        </w:tc>
      </w:tr>
      <w:tr>
        <w:tc>
          <w:p>
            <w:pPr>
              <w:pStyle w:val="Compact"/>
              <w:jc w:val="left"/>
            </w:pPr>
            <w:r>
              <w:t xml:space="preserve">PartnerH</w:t>
            </w:r>
          </w:p>
        </w:tc>
        <w:tc>
          <w:p>
            <w:pPr>
              <w:pStyle w:val="Compact"/>
              <w:jc w:val="right"/>
            </w:pPr>
            <w:r>
              <w:t xml:space="preserve">0.392</w:t>
            </w:r>
          </w:p>
        </w:tc>
        <w:tc>
          <w:p>
            <w:pPr>
              <w:pStyle w:val="Compact"/>
              <w:jc w:val="right"/>
            </w:pPr>
            <w:r>
              <w:t xml:space="preserve">1.566</w:t>
            </w:r>
          </w:p>
        </w:tc>
        <w:tc>
          <w:p>
            <w:pPr>
              <w:pStyle w:val="Compact"/>
              <w:jc w:val="right"/>
            </w:pPr>
            <w:r>
              <w:t xml:space="preserve">0.250</w:t>
            </w:r>
          </w:p>
        </w:tc>
        <w:tc>
          <w:p>
            <w:pPr>
              <w:pStyle w:val="Compact"/>
              <w:jc w:val="right"/>
            </w:pPr>
            <w:r>
              <w:t xml:space="preserve">0.812</w:t>
            </w:r>
          </w:p>
        </w:tc>
      </w:tr>
      <w:tr>
        <w:tc>
          <w:p>
            <w:pPr>
              <w:pStyle w:val="Compact"/>
              <w:jc w:val="left"/>
            </w:pPr>
            <w:r>
              <w:t xml:space="preserve">Fingerratio</w:t>
            </w:r>
          </w:p>
        </w:tc>
        <w:tc>
          <w:p>
            <w:pPr>
              <w:pStyle w:val="Compact"/>
              <w:jc w:val="right"/>
            </w:pPr>
            <w:r>
              <w:t xml:space="preserve">-19.205</w:t>
            </w:r>
          </w:p>
        </w:tc>
        <w:tc>
          <w:p>
            <w:pPr>
              <w:pStyle w:val="Compact"/>
              <w:jc w:val="right"/>
            </w:pPr>
            <w:r>
              <w:t xml:space="preserve">28.008</w:t>
            </w:r>
          </w:p>
        </w:tc>
        <w:tc>
          <w:p>
            <w:pPr>
              <w:pStyle w:val="Compact"/>
              <w:jc w:val="right"/>
            </w:pPr>
            <w:r>
              <w:t xml:space="preserve">-0.686</w:t>
            </w:r>
          </w:p>
        </w:tc>
        <w:tc>
          <w:p>
            <w:pPr>
              <w:pStyle w:val="Compact"/>
              <w:jc w:val="right"/>
            </w:pPr>
            <w:r>
              <w:t xml:space="preserve">0.523</w:t>
            </w:r>
          </w:p>
        </w:tc>
      </w:tr>
    </w:tbl>
    <w:p>
      <w:pPr>
        <w:pStyle w:val="BodyText"/>
      </w:pPr>
      <w:r>
        <w:t xml:space="preserve">Residual standard error: 1.651</w:t>
      </w:r>
      <w:r>
        <w:br w:type="textWrapping"/>
      </w:r>
      <w:r>
        <w:t xml:space="preserve">Multiple R-squared: 0.348</w:t>
      </w:r>
      <w:r>
        <w:br w:type="textWrapping"/>
      </w:r>
      <w:r>
        <w:t xml:space="preserve">Adjusted R-squared: -0.044</w:t>
      </w:r>
      <w:r>
        <w:br w:type="textWrapping"/>
      </w:r>
      <w:r>
        <w:t xml:space="preserve">F-statistic: 0.888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Corruption in the lab</dc:title>
  <dc:creator>Fedor Anna, Mokos Judit</dc:creator>
  <cp:keywords/>
  <dcterms:created xsi:type="dcterms:W3CDTF">2019-11-10T12:38:26Z</dcterms:created>
  <dcterms:modified xsi:type="dcterms:W3CDTF">2019-11-10T12:38:26Z</dcterms:modified>
</cp:coreProperties>
</file>

<file path=docProps/custom.xml><?xml version="1.0" encoding="utf-8"?>
<Properties xmlns="http://schemas.openxmlformats.org/officeDocument/2006/custom-properties" xmlns:vt="http://schemas.openxmlformats.org/officeDocument/2006/docPropsVTypes"/>
</file>