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оформления обложек</w:t>
      </w:r>
    </w:p>
    <w:p>
      <w:pPr>
        <w:pStyle w:val="Subtitle"/>
      </w:pPr>
      <w:r>
        <w:t>Рабочий стандарт MOKO Systems · версия 1.1</w:t>
        <w:br/>
        <w:t>Утверждённая система + отдельные метки Python и LabVIEW</w:t>
      </w:r>
    </w:p>
    <w:p>
      <w:pPr>
        <w:pStyle w:val="Heading1"/>
      </w:pPr>
      <w:r>
        <w:t>1. Назначение и приоритеты</w:t>
      </w:r>
    </w:p>
    <w:p>
      <w:r>
        <w:t>Обложка должна быстро объяснять тему ролика, быть читаемой на телефоне и узнаваемой как MOKO. Общая система не означает одинаковую композицию для всех видео.</w:t>
      </w:r>
    </w:p>
    <w:p>
      <w:r>
        <w:t>Приоритеты: точность содержания → узнаваемость человека и продукта → читаемость → различимость рубрик → декоративные эффекты. Не добавлять обещаний и функций, которых нет в ролике.</w:t>
      </w:r>
    </w:p>
    <w:p>
      <w:r>
        <w:t>Корпоративный брендбук задаёт знак и базовые шрифты. Для YouTube утверждено исключение: тёмно-синий технический фон и разные цветовые акценты вместо сплошной чёрно-красной ленты.</w:t>
      </w:r>
    </w:p>
    <w:p>
      <w:pPr>
        <w:pStyle w:val="Heading1"/>
      </w:pPr>
      <w:r>
        <w:t>2. Размер и технический выпуск</w:t>
      </w:r>
    </w:p>
    <w:p>
      <w:r>
        <w:t>Обычные ролики: 1280 × 720, 16:9, RGB/sRGB. Основная выдача — JPG; мастер — PNG и воспроизводимый макет/скрипт. Целевой вес JPG — до 2 МБ. Проверять размер каждого файла, а не полагаться на настройку качества.</w:t>
      </w:r>
    </w:p>
    <w:p>
      <w:r>
        <w:t>Сохранять исходные фотографии, скриншоты и обложки отдельно. Имя готового файла — YouTube_ID.jpg. В реестре обязательно указать исходное название, ссылку, основной плейлист, рубрику и статус.</w:t>
      </w:r>
    </w:p>
    <w:p>
      <w:r>
        <w:t>У Shorts отдельный вертикальный макет 1080 × 1920 и отдельная проверка применения в текущем интерфейсе YouTube. Не считать горизонтальный JPG готовым решением для Shorts.</w:t>
      </w:r>
    </w:p>
    <w:p>
      <w:pPr>
        <w:pStyle w:val="Heading1"/>
      </w:pPr>
      <w:r>
        <w:t>3. Базовая графика</w:t>
      </w:r>
    </w:p>
    <w:p>
      <w:r>
        <w:t>Основной фон обложек: #0B1220. Очень тонкая инженерная сетка допустима, но не должна спорить с текстом. Белый заголовок: #F6F8FC; вторичный текст: #A3AEBE или #C6CEDA.</w:t>
      </w:r>
    </w:p>
    <w:p>
      <w:r>
        <w:t>Свет, тени и цветной круг за объектом умеренные. Избегать кислотного неона, дымки, огня, чрезмерного свечения, тяжёлой обводки портретов и множества декоративных стрелок.</w:t>
      </w:r>
    </w:p>
    <w:p>
      <w:r>
        <w:t>Фирменный знак использовать только из предоставленного logo.svg: #D64545 и #B93636. Не перерисовывать знак генератором и не менять его пропорции.</w:t>
      </w:r>
    </w:p>
    <w:p>
      <w:pPr>
        <w:pStyle w:val="Heading1"/>
      </w:pPr>
      <w:r>
        <w:t>4. Логотип и безопасные поля</w:t>
      </w:r>
    </w:p>
    <w:p>
      <w:r>
        <w:t>В правом верхнем углу единый блок: исходный знак + MOKO / SYSTEMS одной строкой. Эта форма утверждена пользователем. Не возвращать маленькое SYSTEMS под частью слова MOKO.</w:t>
      </w:r>
    </w:p>
    <w:p>
      <w:r>
        <w:t>Для 1280 × 720: правый отступ около 44 px, верх блока около 42 px; текст Inter примерно 25 px; знак примерно 39 × 29 px. Главный критерий — визуально одинаковое положение и масштаб на всех обложках.</w:t>
      </w:r>
    </w:p>
    <w:p>
      <w:r>
        <w:t>В левом верхнем углу — текстовая метка рубрики и небольшой цветной штрих. Уровень верхней метки согласован с логотипом. Заголовкам дать минимум 48 px от левого края.</w:t>
      </w:r>
    </w:p>
    <w:p>
      <w:r>
        <w:t>В нижнем правом углу не ставить номера уроков и ключевые подписи: эта зона может быть перекрыта длительностью ролика. Время ролика не рисовать внутри самого файла.</w:t>
      </w:r>
    </w:p>
    <w:p>
      <w:pPr>
        <w:pStyle w:val="Heading1"/>
      </w:pPr>
      <w:r>
        <w:t>5. Типографика и текст</w:t>
      </w:r>
    </w:p>
    <w:p>
      <w:r>
        <w:t>Основные заголовки — Jost, плотное полужирное/жирное начертание. Вторичные подписи и MOKO / SYSTEMS — Inter. Моноширинное начертание допустимо только для технических меток. Векторного фирменного словесного логотипа нет: подпись набрана текстом.</w:t>
      </w:r>
    </w:p>
    <w:p>
      <w:r>
        <w:t>Главный заголовок обычно 2 строки и 2–5 значимых слов. Одна строка белая, другая может быть цветом рубрики. Ориентир размера 90–120 px, но ширина строки важнее фиксированного кегля.</w:t>
      </w:r>
    </w:p>
    <w:p>
      <w:r>
        <w:t>Длинное официальное название ролика не дублировать. Например: «Плагин MOKO Graph. Добавление графиков…» → «ГРАФИКИ / В MOKO SE». Полное название остаётся в реестре и в YouTube.</w:t>
      </w:r>
    </w:p>
    <w:p>
      <w:r>
        <w:t>Сохранять реальные номера уроков, частей, стримов и годы событий. Не изобретать номер для старого урока без номера. Проверять ё/е, тире, имена продуктов, регистр LabVIEW, Python, MOKO SE, RF-SE.</w:t>
      </w:r>
    </w:p>
    <w:p>
      <w:r>
        <w:t>Предлагаемый текст обложки не является командой переименовать видео. Изменение опубликованных названий — отдельное решение владельца.</w:t>
      </w:r>
    </w:p>
    <w:p>
      <w:pPr>
        <w:pStyle w:val="Heading1"/>
      </w:pPr>
      <w:r>
        <w:t>6. Python и LabVIEW</w:t>
      </w:r>
    </w:p>
    <w:p>
      <w:r>
        <w:t>Python — зелёный #B8EB55 и явная метка PYTHON / MOKO SE. LabVIEW — оранжевый #FF9A48 и метка LABVIEW / РАЗРАБОТКА. Эти цвета продолжают узнаваемое разделение старых учебных серий.</w:t>
      </w:r>
    </w:p>
    <w:p>
      <w:r>
        <w:t>Учебные серии разделены на два плейлиста. Нельзя относить к LabVIEW любой ролик со словом «драйвер»: в курсе Python тоже есть функция Driver. Основание — язык урока, существующая серия и исходная обложка.</w:t>
      </w:r>
    </w:p>
    <w:p>
      <w:r>
        <w:t>Общая разработка тоже может использовать оранжевый, но без метки LABVIEW, если язык не подтверждён. Стрим про плагин не переименовывать в урок LabVIEW автоматически.</w:t>
      </w:r>
    </w:p>
    <w:p>
      <w:r>
        <w:t>Логотип языка — вторичный ориентир, а не одинаковый огромный объект на всех уроках. Главный визуал отражает конкретную задачу: график, дерево, документ, схема или реальный интерфейс.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Рубрика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Акцент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#B8EB55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Утверждённая учебная палитра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LabVIEW / общая разработка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#FF9A48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Различать текстовыми метками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Испытания / электроника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#55C9FF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Различать подрубрикой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Компания / события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#ED6262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Знак остаётся #D64545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MOKO SE — инструкции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#55D6C2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Расширение: проверить на первой партии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Медиа / портфолио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#B69AFF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Расширение: проверить на первой партии</w:t>
            </w:r>
          </w:p>
        </w:tc>
      </w:tr>
    </w:tbl>
    <w:p>
      <w:pPr>
        <w:pStyle w:val="Heading1"/>
      </w:pPr>
      <w:r>
        <w:t>7. Композиции: единая система без однообразия</w:t>
      </w:r>
    </w:p>
    <w:p>
      <w:r>
        <w:t>Использовать несколько схем: текст слева + объект справа; объект слева + текст справа; человек слева + программа справа; человек справа + продукт/событие слева.</w:t>
      </w:r>
    </w:p>
    <w:p>
      <w:r>
        <w:t>Одновременно желательно не более двух крупных смысловых объектов. Для программных видео допустима связка «ведущий + интерфейс», для испытаний — «ведущий + устройство».</w:t>
      </w:r>
    </w:p>
    <w:p>
      <w:r>
        <w:t>Варьировать композицию внутри рубрики, сохраняя шрифты, логотип, цвет и метки. На общем листе из 6–12 обложек проверять, что серия не выглядит одинаковыми карточками с заменённым заголовком.</w:t>
      </w:r>
    </w:p>
    <w:p>
      <w:pPr>
        <w:pStyle w:val="Heading1"/>
      </w:pPr>
      <w:r>
        <w:t>8. Портреты: обработка и ограничения</w:t>
      </w:r>
    </w:p>
    <w:p>
      <w:r>
        <w:t>Утверждённый ориентир — обработка на тесте LED-фары, финальном плагине со снепбеком MOKO и последней версии выставки RF-SE: чёткое лицо, нейтральная кожа, умеренный контраст, холодные тени, мягкий контурный свет в цвет рубрики.</w:t>
      </w:r>
    </w:p>
    <w:p>
      <w:r>
        <w:t>Убирать зеленоватый/желтоватый оттенок, улучшать отделение от фона и аккуратно удалять фон. Не оставлять человека в узкой прямоугольной рамке, не обрезать макушку и не обрывать туловище посреди пустого фона.</w:t>
      </w:r>
    </w:p>
    <w:p>
      <w:r>
        <w:t>Не менять без запроса форму лица, возраст, глаза, бороду, причёску, линию волос, одежду и аксессуары. Генеративная обработка может нарушать сходство — каждый новый портрет обязательно сверять с исходником и показывать владельцу.</w:t>
      </w:r>
    </w:p>
    <w:p>
      <w:r>
        <w:t>Отдельный стоп-лист из согласования: увеличенные залысины, придуманная причёска «ёжик», неудачное вклеивание волос, новые серьги/цепочки, пластиковая кожа и слишком яркий контур.</w:t>
      </w:r>
    </w:p>
    <w:p>
      <w:r>
        <w:t>Для плагина зафиксирован именно утверждённый MOKO-снепбек из revision10: светлая передняя часть, чёрный козырёк, MOKO и красный знак. Последующая версия с полностью серым верхом и изменённой посадкой отклонена. Не считать её эталоном.</w:t>
      </w:r>
    </w:p>
    <w:p>
      <w:r>
        <w:t>Если фото зеркальное, надпись MOKO на кепке в итоговом макете должна читаться нормально. Утверждение одной конкретной стилизованной фотографии не означает согласия автоматически применять любую новую генерацию ко всем лицам.</w:t>
      </w:r>
    </w:p>
    <w:p>
      <w:pPr>
        <w:pStyle w:val="Heading1"/>
      </w:pPr>
      <w:r>
        <w:t>9. Реальные программы, схемы и оборудование</w:t>
      </w:r>
    </w:p>
    <w:p>
      <w:r>
        <w:t>Реальные скриншоты и схемы НЕ перерисовывать генератором. Допустимы обрезка лишних полей, пропорциональное масштабирование и внешнее оформление. Не менять команды, таблицы, данные, кнопки и показания приборов.</w:t>
      </w:r>
    </w:p>
    <w:p>
      <w:r>
        <w:t>Стандарт рамки: матовый тёмный корпус, тонкая внешняя граница, отдельная декоративная строка названия, внутренние отступы, цветной акцент рубрики и лёгкая тень. Скриншот стоит ровно, без перспективного наклона.</w:t>
      </w:r>
    </w:p>
    <w:p>
      <w:r>
        <w:t>Рамка — графический элемент обложки, а не поддельный интерфейс программы. Не добавлять вымышленные функции. Для плагина использовать реальный интерфейс из исходной обложки, для State Machine — реальную схему LabVIEW.</w:t>
      </w:r>
    </w:p>
    <w:p>
      <w:r>
        <w:t>Условные иллюстрации разрешены для общих понятий: дерево данных, документ, код, JSON. Они не должны выдаваться за точный интерфейс или реальную модель прибора.</w:t>
      </w:r>
    </w:p>
    <w:p>
      <w:r>
        <w:t>Если важна конкретная модель устройства, сохранять её фото и маркировку. Для фары текущий утверждённый концепт содержит генеративный объект; при переходе к технически точной финальной версии запросить реальное фото испытываемой фары.</w:t>
      </w:r>
    </w:p>
    <w:p>
      <w:pPr>
        <w:pStyle w:val="Heading1"/>
      </w:pPr>
      <w:r>
        <w:t>10. Производственный процесс и версии</w:t>
      </w:r>
    </w:p>
    <w:p>
      <w:r>
        <w:t>1) Зафиксировать ID, оригинальную обложку, название, плейлист и язык. 2) Определить тему и короткий заголовок. 3) Выбрать композицию. 4) Подготовить портрет/интерфейс/иллюстрацию отдельно. 5) Собрать текст и знак детерминированно. 6) Проверить крупно и в размере около 320 × 180. 7) Сверить общую ленту. 8) Выдать JPG и обновить реестр.</w:t>
      </w:r>
    </w:p>
    <w:p>
      <w:r>
        <w:t>При локальной правке менять только нужную область. Если исправляется кепка, лицо, программа и надписи остаются на прежнем слое. Не прогонять весь финальный файл через генератор и не принимать заново искажённые тексты.</w:t>
      </w:r>
    </w:p>
    <w:p>
      <w:r>
        <w:t>Работать партиями по 6–12. Статусы: в очереди; требуется исходник/уточнение; готово — проверить; утверждено; загружено владельцем. Не помечать файлы загруженными на YouTube без фактического подтверждения.</w:t>
      </w:r>
    </w:p>
    <w:p>
      <w:r>
        <w:t>Карта плейлистов составлена по метаданным и обложкам, а не по полному просмотру всех роликов. Устаревшие интерфейсы, дубликаты, языки без подтверждения и позиции из старых плейлистов проверять отдельно.</w:t>
      </w:r>
    </w:p>
    <w:p>
      <w:pPr>
        <w:pStyle w:val="Heading1"/>
      </w:pPr>
      <w:r>
        <w:t>11. Контрольный список перед выдачей</w:t>
      </w:r>
    </w:p>
    <w:p>
      <w:r>
        <w:t>□ Верный ролик и ID. □ Заголовок соответствует теме. □ Python/LabVIEW не перепутаны. □ Номер и часть сохранены. □ Текст читается на телефоне.</w:t>
      </w:r>
    </w:p>
    <w:p>
      <w:r>
        <w:t>□ Исходный знак без искажений. □ MOKO / SYSTEMS в одну строку. □ Правильный акцент рубрики. □ Нет нарисованной длительности и важного текста под ней.</w:t>
      </w:r>
    </w:p>
    <w:p>
      <w:r>
        <w:t>□ Человек узнаваем; нет новых волос/аксессуаров. □ Нет грубой обрезки. □ Скриншот не перерисован. □ Устройство не подменено незаметно.</w:t>
      </w:r>
    </w:p>
    <w:p>
      <w:r>
        <w:t>□ 1280 × 720 для обычного видео. □ JPG до 2 МБ. □ Сохранён мастер. □ Реестр и превью обновлены. □ Статус честно отражает степень готовности.</w:t>
      </w:r>
    </w:p>
    <w:p>
      <w:pPr>
        <w:pStyle w:val="Heading1"/>
      </w:pPr>
      <w:r>
        <w:t>12. Зафиксированные эталоны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Ролик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Выбранная версия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Графики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b5zjy0PHU0s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Зелёная серия + метка Python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Драйверы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EsLUSn9RDL4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Оранжевая серия + метка LabVIEW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tXsjlxHMt6Y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Зелёная серия, обратная композиция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LED-фара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nnktD99huyE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Утверждённый голубой концепт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Плагин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feEv04DYWbA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revision10: MOKO-снепбек + рамка интерфейса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Выставка RF-SE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ex8ibsNSCiA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revision12: последняя утверждённая обработка портрета</w:t>
            </w:r>
          </w:p>
        </w:tc>
      </w:tr>
    </w:tbl>
    <w:p>
      <w:r>
        <w:t>Имена папок обозначают историю согласования, а не автоматическое правило выбирать самый большой номер версии. Источник истины — выбранная версия в реестре.</w:t>
      </w:r>
    </w:p>
    <w:p>
      <w:r>
        <w:drawing>
          <wp:inline xmlns:a="http://schemas.openxmlformats.org/drawingml/2006/main" xmlns:pic="http://schemas.openxmlformats.org/drawingml/2006/picture">
            <wp:extent cx="6048000" cy="3110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02_pre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1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применения: новая партия из трёх уроков Python и трёх LabVIEW. Сами новые обложки ещё подлежат проверке владельцем.</w:t>
      </w:r>
    </w:p>
    <w:p>
      <w:pPr>
        <w:pStyle w:val="Heading1"/>
      </w:pPr>
      <w:r>
        <w:t>13. Проверка смысла до выбора изображения</w:t>
      </w:r>
    </w:p>
    <w:p>
      <w:r>
        <w:t>До создания каждой следующей обложки читать доступное описание автора и главы/таймкоды. Если название функции двусмысленно, не выбирать картинку по одному переводу слова. При недостатке сведений отметить уточнение, а не подменять тему догадкой.</w:t>
      </w:r>
    </w:p>
    <w:p>
      <w:r>
        <w:t>Пример Stage: урок 3 посвящён типам сообщений info, error, plugin, driver, report, warning. Ранее предложенное «этапы программы» отклонено после проверки описания.</w:t>
      </w:r>
    </w:p>
    <w:p>
      <w:r>
        <w:t>Пример Messenger: урок 4 посвящён диалоговым окнам, таймеру, вводу string/boolean, выбору файла и картинкам. Не использовать образ социального мессенджера или Telegram.</w:t>
      </w:r>
    </w:p>
    <w:p>
      <w:r>
        <w:t>Пример Driver: урок 6 из курса Python — set/get и обмен с прибором. Разработка драйвера в LabVIEW — другая тема и другой плейлист.</w:t>
      </w:r>
    </w:p>
    <w:p>
      <w:r>
        <w:t>Наличие описания/таймкодов не означает полного просмотра ролика. В реестре разделять «описание получено», «содержание проверено по описанию» и «ролик просмотрен».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MOKO · 09.09.2026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D64545"/>
        <w:sz w:val="18"/>
      </w:rPr>
      <w:t>MOKO / SYSTEMS     •    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3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23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