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SatQuery SIH26167 Complete Presentation Content and Feasibility Report</w:t>
      </w:r>
    </w:p>
    <w:p>
      <w:pPr>
        <w:pStyle w:val="Subtitle"/>
      </w:pPr>
      <w:r>
        <w:t>SIH26167  |  Evidence first multimodal remote sensing assistant  |  September 2026</w:t>
      </w:r>
    </w:p>
    <w:p>
      <w:r>
        <w:rPr>
          <w:b/>
        </w:rPr>
        <w:t xml:space="preserve">Decision summary. </w:t>
      </w:r>
      <w:r>
        <w:t>The project is feasible as a focused hackathon prototype if it is built as a controller around replaceable specialist models rather than as a new foundation model. The credible first release should support RGB scene analysis, visual grounding for a controlled label set, aligned before and after change detection, and a constrained optical and SAR workflow. It must show spatial evidence, confidence factors, refusal conditions and benchmark results.</w:t>
      </w:r>
    </w:p>
    <w:p>
      <w:pPr>
        <w:pStyle w:val="Heading1"/>
      </w:pPr>
      <w:r>
        <w:t>1 Problem Statement</w:t>
      </w:r>
    </w:p>
    <w:p>
      <w:r>
        <w:t>Remote sensing imagery is used in agriculture, disaster management, urban planning, forests, water resources, infrastructure and environmental analysis. Existing AI workflows are often isolated by task: one tool classifies land cover, another detects objects, another identifies change, and another handles radar imagery. Users must understand sensors, preprocessing and model selection before they can obtain an answer.</w:t>
      </w:r>
    </w:p>
    <w:p>
      <w:r>
        <w:t>SIH26167 asks for an interactive vision language assistant that accepts a natural language question over a single optical, multispectral or SAR image; a bi temporal pair; or co registered optical and SAR imagery. The required output is not only text. Where supported, it must include grounding such as a bounding box or mask, change evidence, and an auditable execution summary.</w:t>
      </w:r>
    </w:p>
    <w:p>
      <w:r>
        <w:t xml:space="preserve">Official reference: </w:t>
      </w:r>
      <w:hyperlink r:id="rId9">
        <w:r>
          <w:rPr>
            <w:color w:val="0563C1"/>
            <w:u w:val="single"/>
          </w:rPr>
          <w:t>SIH26167 problem statement</w:t>
        </w:r>
      </w:hyperlink>
    </w:p>
    <w:p>
      <w:pPr>
        <w:pStyle w:val="Heading1"/>
      </w:pPr>
      <w:r>
        <w:t>2 Existing Products and Specific Gap</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trPr>
        <w:tc>
          <w:tcPr>
            <w:tcW w:type="dxa" w:w="1656"/>
            <w:shd w:fill="123B4A"/>
            <w:tcMar>
              <w:top w:w="100" w:type="dxa"/>
              <w:start w:w="120" w:type="dxa"/>
              <w:bottom w:w="100" w:type="dxa"/>
              <w:end w:w="120" w:type="dxa"/>
            </w:tcMar>
            <w:vAlign w:val="center"/>
          </w:tcPr>
          <w:p>
            <w:r>
              <w:rPr>
                <w:b/>
                <w:color w:val="FFFFFF"/>
                <w:sz w:val="18"/>
              </w:rPr>
              <w:t>Company or product</w:t>
            </w:r>
          </w:p>
        </w:tc>
        <w:tc>
          <w:tcPr>
            <w:tcW w:type="dxa" w:w="2664"/>
            <w:shd w:fill="123B4A"/>
            <w:tcMar>
              <w:top w:w="100" w:type="dxa"/>
              <w:start w:w="120" w:type="dxa"/>
              <w:bottom w:w="100" w:type="dxa"/>
              <w:end w:w="120" w:type="dxa"/>
            </w:tcMar>
            <w:vAlign w:val="center"/>
          </w:tcPr>
          <w:p>
            <w:r>
              <w:rPr>
                <w:b/>
                <w:color w:val="FFFFFF"/>
                <w:sz w:val="18"/>
              </w:rPr>
              <w:t>What it currently provides</w:t>
            </w:r>
          </w:p>
        </w:tc>
        <w:tc>
          <w:tcPr>
            <w:tcW w:type="dxa" w:w="3168"/>
            <w:shd w:fill="123B4A"/>
            <w:tcMar>
              <w:top w:w="100" w:type="dxa"/>
              <w:start w:w="120" w:type="dxa"/>
              <w:bottom w:w="100" w:type="dxa"/>
              <w:end w:w="120" w:type="dxa"/>
            </w:tcMar>
            <w:vAlign w:val="center"/>
          </w:tcPr>
          <w:p>
            <w:r>
              <w:rPr>
                <w:b/>
                <w:color w:val="FFFFFF"/>
                <w:sz w:val="18"/>
              </w:rPr>
              <w:t>Gap relative to SIH26167</w:t>
            </w:r>
          </w:p>
        </w:tc>
        <w:tc>
          <w:tcPr>
            <w:tcW w:type="dxa" w:w="2232"/>
            <w:shd w:fill="123B4A"/>
            <w:tcMar>
              <w:top w:w="100" w:type="dxa"/>
              <w:start w:w="120" w:type="dxa"/>
              <w:bottom w:w="100" w:type="dxa"/>
              <w:end w:w="120" w:type="dxa"/>
            </w:tcMar>
            <w:vAlign w:val="center"/>
          </w:tcPr>
          <w:p>
            <w:r>
              <w:rPr>
                <w:b/>
                <w:color w:val="FFFFFF"/>
                <w:sz w:val="18"/>
              </w:rPr>
              <w:t>SatQuery response</w:t>
            </w:r>
          </w:p>
        </w:tc>
      </w:tr>
      <w:tr>
        <w:trPr>
          <w:cantSplit/>
        </w:trPr>
        <w:tc>
          <w:tcPr>
            <w:tcW w:type="dxa" w:w="1656"/>
            <w:tcMar>
              <w:top w:w="100" w:type="dxa"/>
              <w:start w:w="120" w:type="dxa"/>
              <w:bottom w:w="100" w:type="dxa"/>
              <w:end w:w="120" w:type="dxa"/>
            </w:tcMar>
            <w:vAlign w:val="center"/>
          </w:tcPr>
          <w:p>
            <w:pPr>
              <w:spacing w:after="0"/>
            </w:pPr>
            <w:r>
              <w:rPr>
                <w:sz w:val="17"/>
              </w:rPr>
              <w:t>Google Earth Engine</w:t>
            </w:r>
          </w:p>
        </w:tc>
        <w:tc>
          <w:tcPr>
            <w:tcW w:type="dxa" w:w="2664"/>
            <w:tcMar>
              <w:top w:w="100" w:type="dxa"/>
              <w:start w:w="120" w:type="dxa"/>
              <w:bottom w:w="100" w:type="dxa"/>
              <w:end w:w="120" w:type="dxa"/>
            </w:tcMar>
            <w:vAlign w:val="center"/>
          </w:tcPr>
          <w:p>
            <w:pPr>
              <w:spacing w:after="0"/>
            </w:pPr>
            <w:r>
              <w:rPr>
                <w:sz w:val="17"/>
              </w:rPr>
              <w:t>Large public data catalogue, cloud computation, APIs and geospatial algorithms.</w:t>
            </w:r>
          </w:p>
        </w:tc>
        <w:tc>
          <w:tcPr>
            <w:tcW w:type="dxa" w:w="3168"/>
            <w:tcMar>
              <w:top w:w="100" w:type="dxa"/>
              <w:start w:w="120" w:type="dxa"/>
              <w:bottom w:w="100" w:type="dxa"/>
              <w:end w:w="120" w:type="dxa"/>
            </w:tcMar>
            <w:vAlign w:val="center"/>
          </w:tcPr>
          <w:p>
            <w:pPr>
              <w:spacing w:after="0"/>
            </w:pPr>
            <w:r>
              <w:rPr>
                <w:sz w:val="17"/>
              </w:rPr>
              <w:t>The analyst normally selects datasets, bands, filters and algorithms; it is not primarily a question to evidence workflow.</w:t>
            </w:r>
          </w:p>
        </w:tc>
        <w:tc>
          <w:tcPr>
            <w:tcW w:type="dxa" w:w="2232"/>
            <w:tcMar>
              <w:top w:w="100" w:type="dxa"/>
              <w:start w:w="120" w:type="dxa"/>
              <w:bottom w:w="100" w:type="dxa"/>
              <w:end w:w="120" w:type="dxa"/>
            </w:tcMar>
            <w:vAlign w:val="center"/>
          </w:tcPr>
          <w:p>
            <w:pPr>
              <w:spacing w:after="0"/>
            </w:pPr>
            <w:r>
              <w:rPr>
                <w:sz w:val="17"/>
              </w:rPr>
              <w:t>Question first routing and a simplified evidence result.</w:t>
            </w:r>
          </w:p>
        </w:tc>
      </w:tr>
      <w:tr>
        <w:trPr>
          <w:cantSplit/>
        </w:trPr>
        <w:tc>
          <w:tcPr>
            <w:tcW w:type="dxa" w:w="1656"/>
            <w:tcMar>
              <w:top w:w="100" w:type="dxa"/>
              <w:start w:w="120" w:type="dxa"/>
              <w:bottom w:w="100" w:type="dxa"/>
              <w:end w:w="120" w:type="dxa"/>
            </w:tcMar>
            <w:vAlign w:val="center"/>
            <w:shd w:fill="F5F8F8"/>
          </w:tcPr>
          <w:p>
            <w:pPr>
              <w:spacing w:after="0"/>
            </w:pPr>
            <w:r>
              <w:rPr>
                <w:sz w:val="17"/>
              </w:rPr>
              <w:t>Planet Insights Platform</w:t>
            </w:r>
          </w:p>
        </w:tc>
        <w:tc>
          <w:tcPr>
            <w:tcW w:type="dxa" w:w="2664"/>
            <w:tcMar>
              <w:top w:w="100" w:type="dxa"/>
              <w:start w:w="120" w:type="dxa"/>
              <w:bottom w:w="100" w:type="dxa"/>
              <w:end w:w="120" w:type="dxa"/>
            </w:tcMar>
            <w:vAlign w:val="center"/>
            <w:shd w:fill="F5F8F8"/>
          </w:tcPr>
          <w:p>
            <w:pPr>
              <w:spacing w:after="0"/>
            </w:pPr>
            <w:r>
              <w:rPr>
                <w:sz w:val="17"/>
              </w:rPr>
              <w:t>Commercial imagery, visual analysis, APIs and predefined feeds for buildings, roads, vessels, aircraft and change.</w:t>
            </w:r>
          </w:p>
        </w:tc>
        <w:tc>
          <w:tcPr>
            <w:tcW w:type="dxa" w:w="3168"/>
            <w:tcMar>
              <w:top w:w="100" w:type="dxa"/>
              <w:start w:w="120" w:type="dxa"/>
              <w:bottom w:w="100" w:type="dxa"/>
              <w:end w:w="120" w:type="dxa"/>
            </w:tcMar>
            <w:vAlign w:val="center"/>
            <w:shd w:fill="F5F8F8"/>
          </w:tcPr>
          <w:p>
            <w:pPr>
              <w:spacing w:after="0"/>
            </w:pPr>
            <w:r>
              <w:rPr>
                <w:sz w:val="17"/>
              </w:rPr>
              <w:t>Commercial credit model and predefined analytics; no public demonstration of unrestricted Cartosat RISAT question routing.</w:t>
            </w:r>
          </w:p>
        </w:tc>
        <w:tc>
          <w:tcPr>
            <w:tcW w:type="dxa" w:w="2232"/>
            <w:tcMar>
              <w:top w:w="100" w:type="dxa"/>
              <w:start w:w="120" w:type="dxa"/>
              <w:bottom w:w="100" w:type="dxa"/>
              <w:end w:w="120" w:type="dxa"/>
            </w:tcMar>
            <w:vAlign w:val="center"/>
            <w:shd w:fill="F5F8F8"/>
          </w:tcPr>
          <w:p>
            <w:pPr>
              <w:spacing w:after="0"/>
            </w:pPr>
            <w:r>
              <w:rPr>
                <w:sz w:val="17"/>
              </w:rPr>
              <w:t>Locally controlled models and uploaded ISRO imagery.</w:t>
            </w:r>
          </w:p>
        </w:tc>
      </w:tr>
      <w:tr>
        <w:trPr>
          <w:cantSplit/>
        </w:trPr>
        <w:tc>
          <w:tcPr>
            <w:tcW w:type="dxa" w:w="1656"/>
            <w:tcMar>
              <w:top w:w="100" w:type="dxa"/>
              <w:start w:w="120" w:type="dxa"/>
              <w:bottom w:w="100" w:type="dxa"/>
              <w:end w:w="120" w:type="dxa"/>
            </w:tcMar>
            <w:vAlign w:val="center"/>
          </w:tcPr>
          <w:p>
            <w:pPr>
              <w:spacing w:after="0"/>
            </w:pPr>
            <w:r>
              <w:rPr>
                <w:sz w:val="17"/>
              </w:rPr>
              <w:t>Esri ArcGIS</w:t>
            </w:r>
          </w:p>
        </w:tc>
        <w:tc>
          <w:tcPr>
            <w:tcW w:type="dxa" w:w="2664"/>
            <w:tcMar>
              <w:top w:w="100" w:type="dxa"/>
              <w:start w:w="120" w:type="dxa"/>
              <w:bottom w:w="100" w:type="dxa"/>
              <w:end w:w="120" w:type="dxa"/>
            </w:tcMar>
            <w:vAlign w:val="center"/>
          </w:tcPr>
          <w:p>
            <w:pPr>
              <w:spacing w:after="0"/>
            </w:pPr>
            <w:r>
              <w:rPr>
                <w:sz w:val="17"/>
              </w:rPr>
              <w:t>Professional GIS, pretrained GeoAI, imagery analysis and vision language segmentation examples.</w:t>
            </w:r>
          </w:p>
        </w:tc>
        <w:tc>
          <w:tcPr>
            <w:tcW w:type="dxa" w:w="3168"/>
            <w:tcMar>
              <w:top w:w="100" w:type="dxa"/>
              <w:start w:w="120" w:type="dxa"/>
              <w:bottom w:w="100" w:type="dxa"/>
              <w:end w:w="120" w:type="dxa"/>
            </w:tcMar>
            <w:vAlign w:val="center"/>
          </w:tcPr>
          <w:p>
            <w:pPr>
              <w:spacing w:after="0"/>
            </w:pPr>
            <w:r>
              <w:rPr>
                <w:sz w:val="17"/>
              </w:rPr>
              <w:t>Broad expert ecosystem; the public examples do not establish the exact single image, temporal and optical SAR challenge pipeline.</w:t>
            </w:r>
          </w:p>
        </w:tc>
        <w:tc>
          <w:tcPr>
            <w:tcW w:type="dxa" w:w="2232"/>
            <w:tcMar>
              <w:top w:w="100" w:type="dxa"/>
              <w:start w:w="120" w:type="dxa"/>
              <w:bottom w:w="100" w:type="dxa"/>
              <w:end w:w="120" w:type="dxa"/>
            </w:tcMar>
            <w:vAlign w:val="center"/>
          </w:tcPr>
          <w:p>
            <w:pPr>
              <w:spacing w:after="0"/>
            </w:pPr>
            <w:r>
              <w:rPr>
                <w:sz w:val="17"/>
              </w:rPr>
              <w:t>A narrow workflow tailored to the SIH evaluation.</w:t>
            </w:r>
          </w:p>
        </w:tc>
      </w:tr>
      <w:tr>
        <w:trPr>
          <w:cantSplit/>
        </w:trPr>
        <w:tc>
          <w:tcPr>
            <w:tcW w:type="dxa" w:w="1656"/>
            <w:tcMar>
              <w:top w:w="100" w:type="dxa"/>
              <w:start w:w="120" w:type="dxa"/>
              <w:bottom w:w="100" w:type="dxa"/>
              <w:end w:w="120" w:type="dxa"/>
            </w:tcMar>
            <w:vAlign w:val="center"/>
            <w:shd w:fill="F5F8F8"/>
          </w:tcPr>
          <w:p>
            <w:pPr>
              <w:spacing w:after="0"/>
            </w:pPr>
            <w:r>
              <w:rPr>
                <w:sz w:val="17"/>
              </w:rPr>
              <w:t>Microsoft Earth Copilot</w:t>
            </w:r>
          </w:p>
        </w:tc>
        <w:tc>
          <w:tcPr>
            <w:tcW w:type="dxa" w:w="2664"/>
            <w:tcMar>
              <w:top w:w="100" w:type="dxa"/>
              <w:start w:w="120" w:type="dxa"/>
              <w:bottom w:w="100" w:type="dxa"/>
              <w:end w:w="120" w:type="dxa"/>
            </w:tcMar>
            <w:vAlign w:val="center"/>
            <w:shd w:fill="F5F8F8"/>
          </w:tcPr>
          <w:p>
            <w:pPr>
              <w:spacing w:after="0"/>
            </w:pPr>
            <w:r>
              <w:rPr>
                <w:sz w:val="17"/>
              </w:rPr>
              <w:t>Natural language data discovery and specialist geospatial agents for vision, comparison and damage analysis.</w:t>
            </w:r>
          </w:p>
        </w:tc>
        <w:tc>
          <w:tcPr>
            <w:tcW w:type="dxa" w:w="3168"/>
            <w:tcMar>
              <w:top w:w="100" w:type="dxa"/>
              <w:start w:w="120" w:type="dxa"/>
              <w:bottom w:w="100" w:type="dxa"/>
              <w:end w:w="120" w:type="dxa"/>
            </w:tcMar>
            <w:vAlign w:val="center"/>
            <w:shd w:fill="F5F8F8"/>
          </w:tcPr>
          <w:p>
            <w:pPr>
              <w:spacing w:after="0"/>
            </w:pPr>
            <w:r>
              <w:rPr>
                <w:sz w:val="17"/>
              </w:rPr>
              <w:t>The published repository calls itself a proof of concept and is not validated on Cartosat 2S and RISAT pairs.</w:t>
            </w:r>
          </w:p>
        </w:tc>
        <w:tc>
          <w:tcPr>
            <w:tcW w:type="dxa" w:w="2232"/>
            <w:tcMar>
              <w:top w:w="100" w:type="dxa"/>
              <w:start w:w="120" w:type="dxa"/>
              <w:bottom w:w="100" w:type="dxa"/>
              <w:end w:w="120" w:type="dxa"/>
            </w:tcMar>
            <w:vAlign w:val="center"/>
            <w:shd w:fill="F5F8F8"/>
          </w:tcPr>
          <w:p>
            <w:pPr>
              <w:spacing w:after="0"/>
            </w:pPr>
            <w:r>
              <w:rPr>
                <w:sz w:val="17"/>
              </w:rPr>
              <w:t>ISRO specific adaptation, evaluation and evidence contracts.</w:t>
            </w:r>
          </w:p>
        </w:tc>
      </w:tr>
      <w:tr>
        <w:trPr>
          <w:cantSplit/>
        </w:trPr>
        <w:tc>
          <w:tcPr>
            <w:tcW w:type="dxa" w:w="1656"/>
            <w:tcMar>
              <w:top w:w="100" w:type="dxa"/>
              <w:start w:w="120" w:type="dxa"/>
              <w:bottom w:w="100" w:type="dxa"/>
              <w:end w:w="120" w:type="dxa"/>
            </w:tcMar>
            <w:vAlign w:val="center"/>
          </w:tcPr>
          <w:p>
            <w:pPr>
              <w:spacing w:after="0"/>
            </w:pPr>
            <w:r>
              <w:rPr>
                <w:sz w:val="17"/>
              </w:rPr>
              <w:t>UP42</w:t>
            </w:r>
          </w:p>
        </w:tc>
        <w:tc>
          <w:tcPr>
            <w:tcW w:type="dxa" w:w="2664"/>
            <w:tcMar>
              <w:top w:w="100" w:type="dxa"/>
              <w:start w:w="120" w:type="dxa"/>
              <w:bottom w:w="100" w:type="dxa"/>
              <w:end w:w="120" w:type="dxa"/>
            </w:tcMar>
            <w:vAlign w:val="center"/>
          </w:tcPr>
          <w:p>
            <w:pPr>
              <w:spacing w:after="0"/>
            </w:pPr>
            <w:r>
              <w:rPr>
                <w:sz w:val="17"/>
              </w:rPr>
              <w:t>Optical and SAR data ordering, preprocessing, co registration and change or object algorithms.</w:t>
            </w:r>
          </w:p>
        </w:tc>
        <w:tc>
          <w:tcPr>
            <w:tcW w:type="dxa" w:w="3168"/>
            <w:tcMar>
              <w:top w:w="100" w:type="dxa"/>
              <w:start w:w="120" w:type="dxa"/>
              <w:bottom w:w="100" w:type="dxa"/>
              <w:end w:w="120" w:type="dxa"/>
            </w:tcMar>
            <w:vAlign w:val="center"/>
          </w:tcPr>
          <w:p>
            <w:pPr>
              <w:spacing w:after="0"/>
            </w:pPr>
            <w:r>
              <w:rPr>
                <w:sz w:val="17"/>
              </w:rPr>
              <w:t>The user still selects compatible data and processing jobs; costs depend on data and algorithms.</w:t>
            </w:r>
          </w:p>
        </w:tc>
        <w:tc>
          <w:tcPr>
            <w:tcW w:type="dxa" w:w="2232"/>
            <w:tcMar>
              <w:top w:w="100" w:type="dxa"/>
              <w:start w:w="120" w:type="dxa"/>
              <w:bottom w:w="100" w:type="dxa"/>
              <w:end w:w="120" w:type="dxa"/>
            </w:tcMar>
            <w:vAlign w:val="center"/>
          </w:tcPr>
          <w:p>
            <w:pPr>
              <w:spacing w:after="0"/>
            </w:pPr>
            <w:r>
              <w:rPr>
                <w:sz w:val="17"/>
              </w:rPr>
              <w:t>The controller chooses the specialist workflow from the question.</w:t>
            </w:r>
          </w:p>
        </w:tc>
      </w:tr>
      <w:tr>
        <w:trPr>
          <w:cantSplit/>
        </w:trPr>
        <w:tc>
          <w:tcPr>
            <w:tcW w:type="dxa" w:w="1656"/>
            <w:tcMar>
              <w:top w:w="100" w:type="dxa"/>
              <w:start w:w="120" w:type="dxa"/>
              <w:bottom w:w="100" w:type="dxa"/>
              <w:end w:w="120" w:type="dxa"/>
            </w:tcMar>
            <w:vAlign w:val="center"/>
            <w:shd w:fill="F5F8F8"/>
          </w:tcPr>
          <w:p>
            <w:pPr>
              <w:spacing w:after="0"/>
            </w:pPr>
            <w:r>
              <w:rPr>
                <w:sz w:val="17"/>
              </w:rPr>
              <w:t>ISRO Bhuvan, Bhoonidhi and VEDAS</w:t>
            </w:r>
          </w:p>
        </w:tc>
        <w:tc>
          <w:tcPr>
            <w:tcW w:type="dxa" w:w="2664"/>
            <w:tcMar>
              <w:top w:w="100" w:type="dxa"/>
              <w:start w:w="120" w:type="dxa"/>
              <w:bottom w:w="100" w:type="dxa"/>
              <w:end w:w="120" w:type="dxa"/>
            </w:tcMar>
            <w:vAlign w:val="center"/>
            <w:shd w:fill="F5F8F8"/>
          </w:tcPr>
          <w:p>
            <w:pPr>
              <w:spacing w:after="0"/>
            </w:pPr>
            <w:r>
              <w:rPr>
                <w:sz w:val="17"/>
              </w:rPr>
              <w:t>Indian Earth observation imagery, data discovery, visualization, thematic layers and domain applications.</w:t>
            </w:r>
          </w:p>
        </w:tc>
        <w:tc>
          <w:tcPr>
            <w:tcW w:type="dxa" w:w="3168"/>
            <w:tcMar>
              <w:top w:w="100" w:type="dxa"/>
              <w:start w:w="120" w:type="dxa"/>
              <w:bottom w:w="100" w:type="dxa"/>
              <w:end w:w="120" w:type="dxa"/>
            </w:tcMar>
            <w:vAlign w:val="center"/>
            <w:shd w:fill="F5F8F8"/>
          </w:tcPr>
          <w:p>
            <w:pPr>
              <w:spacing w:after="0"/>
            </w:pPr>
            <w:r>
              <w:rPr>
                <w:sz w:val="17"/>
              </w:rPr>
              <w:t>Public descriptions do not establish one general natural language system that routes RGB, temporal and optical SAR questions to specialist models and returns pixel evidence with calibrated confidence.</w:t>
            </w:r>
          </w:p>
        </w:tc>
        <w:tc>
          <w:tcPr>
            <w:tcW w:type="dxa" w:w="2232"/>
            <w:tcMar>
              <w:top w:w="100" w:type="dxa"/>
              <w:start w:w="120" w:type="dxa"/>
              <w:bottom w:w="100" w:type="dxa"/>
              <w:end w:w="120" w:type="dxa"/>
            </w:tcMar>
            <w:vAlign w:val="center"/>
            <w:shd w:fill="F5F8F8"/>
          </w:tcPr>
          <w:p>
            <w:pPr>
              <w:spacing w:after="0"/>
            </w:pPr>
            <w:r>
              <w:rPr>
                <w:sz w:val="17"/>
              </w:rPr>
              <w:t>Integrate as a query, routing and evidence layer that uses existing ISRO data and services rather than replacing them.</w:t>
            </w:r>
          </w:p>
        </w:tc>
      </w:tr>
    </w:tbl>
    <w:p>
      <w:pPr>
        <w:spacing w:after="0"/>
      </w:pPr>
    </w:p>
    <w:p>
      <w:r>
        <w:t>The defensible differentiation is not that SatQuery invents satellite analysis. It combines task selection, ISRO focused evaluation, visual evidence, uncertainty handling and local deployment in one controlled workflow.</w:t>
      </w:r>
    </w:p>
    <w:p>
      <w:pPr>
        <w:pStyle w:val="Heading1"/>
      </w:pPr>
      <w:r>
        <w:t>3 Proposed Product</w:t>
      </w:r>
    </w:p>
    <w:p>
      <w:r>
        <w:t>SatQuery ISRO Lite is a modular decision support system. It receives imagery and a question, validates the inputs, produces a structured intent, runs one specialist model, converts the model output into spatial evidence, and returns a concise answer with confidence factors and an execution trace.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trPr>
        <w:tc>
          <w:tcPr>
            <w:tcW w:type="dxa" w:w="1944"/>
            <w:shd w:fill="123B4A"/>
            <w:tcMar>
              <w:top w:w="100" w:type="dxa"/>
              <w:start w:w="120" w:type="dxa"/>
              <w:bottom w:w="100" w:type="dxa"/>
              <w:end w:w="120" w:type="dxa"/>
            </w:tcMar>
            <w:vAlign w:val="center"/>
          </w:tcPr>
          <w:p>
            <w:r>
              <w:rPr>
                <w:b/>
                <w:color w:val="FFFFFF"/>
                <w:sz w:val="18"/>
              </w:rPr>
              <w:t>Input mode</w:t>
            </w:r>
          </w:p>
        </w:tc>
        <w:tc>
          <w:tcPr>
            <w:tcW w:type="dxa" w:w="2592"/>
            <w:shd w:fill="123B4A"/>
            <w:tcMar>
              <w:top w:w="100" w:type="dxa"/>
              <w:start w:w="120" w:type="dxa"/>
              <w:bottom w:w="100" w:type="dxa"/>
              <w:end w:w="120" w:type="dxa"/>
            </w:tcMar>
            <w:vAlign w:val="center"/>
          </w:tcPr>
          <w:p>
            <w:r>
              <w:rPr>
                <w:b/>
                <w:color w:val="FFFFFF"/>
                <w:sz w:val="18"/>
              </w:rPr>
              <w:t>Example question</w:t>
            </w:r>
          </w:p>
        </w:tc>
        <w:tc>
          <w:tcPr>
            <w:tcW w:type="dxa" w:w="2592"/>
            <w:shd w:fill="123B4A"/>
            <w:tcMar>
              <w:top w:w="100" w:type="dxa"/>
              <w:start w:w="120" w:type="dxa"/>
              <w:bottom w:w="100" w:type="dxa"/>
              <w:end w:w="120" w:type="dxa"/>
            </w:tcMar>
            <w:vAlign w:val="center"/>
          </w:tcPr>
          <w:p>
            <w:r>
              <w:rPr>
                <w:b/>
                <w:color w:val="FFFFFF"/>
                <w:sz w:val="18"/>
              </w:rPr>
              <w:t>Specialist</w:t>
            </w:r>
          </w:p>
        </w:tc>
        <w:tc>
          <w:tcPr>
            <w:tcW w:type="dxa" w:w="2448"/>
            <w:shd w:fill="123B4A"/>
            <w:tcMar>
              <w:top w:w="100" w:type="dxa"/>
              <w:start w:w="120" w:type="dxa"/>
              <w:bottom w:w="100" w:type="dxa"/>
              <w:end w:w="120" w:type="dxa"/>
            </w:tcMar>
            <w:vAlign w:val="center"/>
          </w:tcPr>
          <w:p>
            <w:r>
              <w:rPr>
                <w:b/>
                <w:color w:val="FFFFFF"/>
                <w:sz w:val="18"/>
              </w:rPr>
              <w:t>Evidence</w:t>
            </w:r>
          </w:p>
        </w:tc>
      </w:tr>
      <w:tr>
        <w:trPr>
          <w:cantSplit/>
        </w:trPr>
        <w:tc>
          <w:tcPr>
            <w:tcW w:type="dxa" w:w="1944"/>
            <w:tcMar>
              <w:top w:w="100" w:type="dxa"/>
              <w:start w:w="120" w:type="dxa"/>
              <w:bottom w:w="100" w:type="dxa"/>
              <w:end w:w="120" w:type="dxa"/>
            </w:tcMar>
            <w:vAlign w:val="center"/>
          </w:tcPr>
          <w:p>
            <w:pPr>
              <w:spacing w:after="0"/>
            </w:pPr>
            <w:r>
              <w:rPr>
                <w:sz w:val="17"/>
              </w:rPr>
              <w:t>Single RGB optical image</w:t>
            </w:r>
          </w:p>
        </w:tc>
        <w:tc>
          <w:tcPr>
            <w:tcW w:type="dxa" w:w="2592"/>
            <w:tcMar>
              <w:top w:w="100" w:type="dxa"/>
              <w:start w:w="120" w:type="dxa"/>
              <w:bottom w:w="100" w:type="dxa"/>
              <w:end w:w="120" w:type="dxa"/>
            </w:tcMar>
            <w:vAlign w:val="center"/>
          </w:tcPr>
          <w:p>
            <w:pPr>
              <w:spacing w:after="0"/>
            </w:pPr>
            <w:r>
              <w:rPr>
                <w:sz w:val="17"/>
              </w:rPr>
              <w:t>What is visible?</w:t>
            </w:r>
          </w:p>
        </w:tc>
        <w:tc>
          <w:tcPr>
            <w:tcW w:type="dxa" w:w="2592"/>
            <w:tcMar>
              <w:top w:w="100" w:type="dxa"/>
              <w:start w:w="120" w:type="dxa"/>
              <w:bottom w:w="100" w:type="dxa"/>
              <w:end w:w="120" w:type="dxa"/>
            </w:tcMar>
            <w:vAlign w:val="center"/>
          </w:tcPr>
          <w:p>
            <w:pPr>
              <w:spacing w:after="0"/>
            </w:pPr>
            <w:r>
              <w:rPr>
                <w:sz w:val="17"/>
              </w:rPr>
              <w:t>Remote sensing VQA or scene model</w:t>
            </w:r>
          </w:p>
        </w:tc>
        <w:tc>
          <w:tcPr>
            <w:tcW w:type="dxa" w:w="2448"/>
            <w:tcMar>
              <w:top w:w="100" w:type="dxa"/>
              <w:start w:w="120" w:type="dxa"/>
              <w:bottom w:w="100" w:type="dxa"/>
              <w:end w:w="120" w:type="dxa"/>
            </w:tcMar>
            <w:vAlign w:val="center"/>
          </w:tcPr>
          <w:p>
            <w:pPr>
              <w:spacing w:after="0"/>
            </w:pPr>
            <w:r>
              <w:rPr>
                <w:sz w:val="17"/>
              </w:rPr>
              <w:t>Class scores and relevant regions</w:t>
            </w:r>
          </w:p>
        </w:tc>
      </w:tr>
      <w:tr>
        <w:trPr>
          <w:cantSplit/>
        </w:trPr>
        <w:tc>
          <w:tcPr>
            <w:tcW w:type="dxa" w:w="1944"/>
            <w:tcMar>
              <w:top w:w="100" w:type="dxa"/>
              <w:start w:w="120" w:type="dxa"/>
              <w:bottom w:w="100" w:type="dxa"/>
              <w:end w:w="120" w:type="dxa"/>
            </w:tcMar>
            <w:vAlign w:val="center"/>
            <w:shd w:fill="F5F8F8"/>
          </w:tcPr>
          <w:p>
            <w:pPr>
              <w:spacing w:after="0"/>
            </w:pPr>
            <w:r>
              <w:rPr>
                <w:sz w:val="17"/>
              </w:rPr>
              <w:t>Single RGB optical image</w:t>
            </w:r>
          </w:p>
        </w:tc>
        <w:tc>
          <w:tcPr>
            <w:tcW w:type="dxa" w:w="2592"/>
            <w:tcMar>
              <w:top w:w="100" w:type="dxa"/>
              <w:start w:w="120" w:type="dxa"/>
              <w:bottom w:w="100" w:type="dxa"/>
              <w:end w:w="120" w:type="dxa"/>
            </w:tcMar>
            <w:vAlign w:val="center"/>
            <w:shd w:fill="F5F8F8"/>
          </w:tcPr>
          <w:p>
            <w:pPr>
              <w:spacing w:after="0"/>
            </w:pPr>
            <w:r>
              <w:rPr>
                <w:sz w:val="17"/>
              </w:rPr>
              <w:t>Highlight the river</w:t>
            </w:r>
          </w:p>
        </w:tc>
        <w:tc>
          <w:tcPr>
            <w:tcW w:type="dxa" w:w="2592"/>
            <w:tcMar>
              <w:top w:w="100" w:type="dxa"/>
              <w:start w:w="120" w:type="dxa"/>
              <w:bottom w:w="100" w:type="dxa"/>
              <w:end w:w="120" w:type="dxa"/>
            </w:tcMar>
            <w:vAlign w:val="center"/>
            <w:shd w:fill="F5F8F8"/>
          </w:tcPr>
          <w:p>
            <w:pPr>
              <w:spacing w:after="0"/>
            </w:pPr>
            <w:r>
              <w:rPr>
                <w:sz w:val="17"/>
              </w:rPr>
              <w:t>Grounding plus segmentation</w:t>
            </w:r>
          </w:p>
        </w:tc>
        <w:tc>
          <w:tcPr>
            <w:tcW w:type="dxa" w:w="2448"/>
            <w:tcMar>
              <w:top w:w="100" w:type="dxa"/>
              <w:start w:w="120" w:type="dxa"/>
              <w:bottom w:w="100" w:type="dxa"/>
              <w:end w:w="120" w:type="dxa"/>
            </w:tcMar>
            <w:vAlign w:val="center"/>
            <w:shd w:fill="F5F8F8"/>
          </w:tcPr>
          <w:p>
            <w:pPr>
              <w:spacing w:after="0"/>
            </w:pPr>
            <w:r>
              <w:rPr>
                <w:sz w:val="17"/>
              </w:rPr>
              <w:t>Box or pixel mask</w:t>
            </w:r>
          </w:p>
        </w:tc>
      </w:tr>
      <w:tr>
        <w:trPr>
          <w:cantSplit/>
        </w:trPr>
        <w:tc>
          <w:tcPr>
            <w:tcW w:type="dxa" w:w="1944"/>
            <w:tcMar>
              <w:top w:w="100" w:type="dxa"/>
              <w:start w:w="120" w:type="dxa"/>
              <w:bottom w:w="100" w:type="dxa"/>
              <w:end w:w="120" w:type="dxa"/>
            </w:tcMar>
            <w:vAlign w:val="center"/>
          </w:tcPr>
          <w:p>
            <w:pPr>
              <w:spacing w:after="0"/>
            </w:pPr>
            <w:r>
              <w:rPr>
                <w:sz w:val="17"/>
              </w:rPr>
              <w:t>Aligned temporal pair</w:t>
            </w:r>
          </w:p>
        </w:tc>
        <w:tc>
          <w:tcPr>
            <w:tcW w:type="dxa" w:w="2592"/>
            <w:tcMar>
              <w:top w:w="100" w:type="dxa"/>
              <w:start w:w="120" w:type="dxa"/>
              <w:bottom w:w="100" w:type="dxa"/>
              <w:end w:w="120" w:type="dxa"/>
            </w:tcMar>
            <w:vAlign w:val="center"/>
          </w:tcPr>
          <w:p>
            <w:pPr>
              <w:spacing w:after="0"/>
            </w:pPr>
            <w:r>
              <w:rPr>
                <w:sz w:val="17"/>
              </w:rPr>
              <w:t>What changed?</w:t>
            </w:r>
          </w:p>
        </w:tc>
        <w:tc>
          <w:tcPr>
            <w:tcW w:type="dxa" w:w="2592"/>
            <w:tcMar>
              <w:top w:w="100" w:type="dxa"/>
              <w:start w:w="120" w:type="dxa"/>
              <w:bottom w:w="100" w:type="dxa"/>
              <w:end w:w="120" w:type="dxa"/>
            </w:tcMar>
            <w:vAlign w:val="center"/>
          </w:tcPr>
          <w:p>
            <w:pPr>
              <w:spacing w:after="0"/>
            </w:pPr>
            <w:r>
              <w:rPr>
                <w:sz w:val="17"/>
              </w:rPr>
              <w:t>Change detector</w:t>
            </w:r>
          </w:p>
        </w:tc>
        <w:tc>
          <w:tcPr>
            <w:tcW w:type="dxa" w:w="2448"/>
            <w:tcMar>
              <w:top w:w="100" w:type="dxa"/>
              <w:start w:w="120" w:type="dxa"/>
              <w:bottom w:w="100" w:type="dxa"/>
              <w:end w:w="120" w:type="dxa"/>
            </w:tcMar>
            <w:vAlign w:val="center"/>
          </w:tcPr>
          <w:p>
            <w:pPr>
              <w:spacing w:after="0"/>
            </w:pPr>
            <w:r>
              <w:rPr>
                <w:sz w:val="17"/>
              </w:rPr>
              <w:t>Change mask and changed area</w:t>
            </w:r>
          </w:p>
        </w:tc>
      </w:tr>
      <w:tr>
        <w:trPr>
          <w:cantSplit/>
        </w:trPr>
        <w:tc>
          <w:tcPr>
            <w:tcW w:type="dxa" w:w="1944"/>
            <w:tcMar>
              <w:top w:w="100" w:type="dxa"/>
              <w:start w:w="120" w:type="dxa"/>
              <w:bottom w:w="100" w:type="dxa"/>
              <w:end w:w="120" w:type="dxa"/>
            </w:tcMar>
            <w:vAlign w:val="center"/>
            <w:shd w:fill="F5F8F8"/>
          </w:tcPr>
          <w:p>
            <w:pPr>
              <w:spacing w:after="0"/>
            </w:pPr>
            <w:r>
              <w:rPr>
                <w:sz w:val="17"/>
              </w:rPr>
              <w:t>Co registered optical SAR pair</w:t>
            </w:r>
          </w:p>
        </w:tc>
        <w:tc>
          <w:tcPr>
            <w:tcW w:type="dxa" w:w="2592"/>
            <w:tcMar>
              <w:top w:w="100" w:type="dxa"/>
              <w:start w:w="120" w:type="dxa"/>
              <w:bottom w:w="100" w:type="dxa"/>
              <w:end w:w="120" w:type="dxa"/>
            </w:tcMar>
            <w:vAlign w:val="center"/>
            <w:shd w:fill="F5F8F8"/>
          </w:tcPr>
          <w:p>
            <w:pPr>
              <w:spacing w:after="0"/>
            </w:pPr>
            <w:r>
              <w:rPr>
                <w:sz w:val="17"/>
              </w:rPr>
              <w:t>Identify possible flooded land</w:t>
            </w:r>
          </w:p>
        </w:tc>
        <w:tc>
          <w:tcPr>
            <w:tcW w:type="dxa" w:w="2592"/>
            <w:tcMar>
              <w:top w:w="100" w:type="dxa"/>
              <w:start w:w="120" w:type="dxa"/>
              <w:bottom w:w="100" w:type="dxa"/>
              <w:end w:w="120" w:type="dxa"/>
            </w:tcMar>
            <w:vAlign w:val="center"/>
            <w:shd w:fill="F5F8F8"/>
          </w:tcPr>
          <w:p>
            <w:pPr>
              <w:spacing w:after="0"/>
            </w:pPr>
            <w:r>
              <w:rPr>
                <w:sz w:val="17"/>
              </w:rPr>
              <w:t>Dual encoder fusion</w:t>
            </w:r>
          </w:p>
        </w:tc>
        <w:tc>
          <w:tcPr>
            <w:tcW w:type="dxa" w:w="2448"/>
            <w:tcMar>
              <w:top w:w="100" w:type="dxa"/>
              <w:start w:w="120" w:type="dxa"/>
              <w:bottom w:w="100" w:type="dxa"/>
              <w:end w:w="120" w:type="dxa"/>
            </w:tcMar>
            <w:vAlign w:val="center"/>
            <w:shd w:fill="F5F8F8"/>
          </w:tcPr>
          <w:p>
            <w:pPr>
              <w:spacing w:after="0"/>
            </w:pPr>
            <w:r>
              <w:rPr>
                <w:sz w:val="17"/>
              </w:rPr>
              <w:t>Optical result, SAR result and fused mask</w:t>
            </w:r>
          </w:p>
        </w:tc>
      </w:tr>
    </w:tbl>
    <w:p>
      <w:pPr>
        <w:spacing w:after="0"/>
      </w:pPr>
    </w:p>
    <w:p>
      <w:pPr>
        <w:pStyle w:val="Heading1"/>
      </w:pPr>
      <w:r>
        <w:t>4 System Architecture</w:t>
      </w:r>
    </w:p>
    <w:p>
      <w:pPr>
        <w:jc w:val="center"/>
      </w:pPr>
      <w:r>
        <w:rPr>
          <w:b/>
          <w:i/>
        </w:rPr>
        <w:t>User interface  -&gt;  input validator  -&gt;  image preprocessor  -&gt;  query router  -&gt;  model registry  -&gt;  specialist model  -&gt;  evidence generator  -&gt;  confidence engine  -&gt;  response generator  -&gt;  results interface</w:t>
      </w:r>
    </w:p>
    <w:p>
      <w:pPr>
        <w:pStyle w:val="ListNumber"/>
      </w:pPr>
      <w:r>
        <w:rPr>
          <w:b/>
        </w:rPr>
        <w:t xml:space="preserve">User interface: </w:t>
      </w:r>
      <w:r>
        <w:t>uploads one or two images, records their relationship and accepts the question.</w:t>
      </w:r>
    </w:p>
    <w:p>
      <w:pPr>
        <w:pStyle w:val="ListNumber"/>
      </w:pPr>
      <w:r>
        <w:rPr>
          <w:b/>
        </w:rPr>
        <w:t xml:space="preserve">Input validator: </w:t>
      </w:r>
      <w:r>
        <w:t>checks format, dimensions, modality, metadata, cloud or noise indicators and image count.</w:t>
      </w:r>
    </w:p>
    <w:p>
      <w:pPr>
        <w:pStyle w:val="ListNumber"/>
      </w:pPr>
      <w:r>
        <w:rPr>
          <w:b/>
        </w:rPr>
        <w:t xml:space="preserve">Preprocessor: </w:t>
      </w:r>
      <w:r>
        <w:t>normalizes RGB values, prepares SAR intensities, tiles large scenes and aligns paired images.</w:t>
      </w:r>
    </w:p>
    <w:p>
      <w:pPr>
        <w:pStyle w:val="ListNumber"/>
      </w:pPr>
      <w:r>
        <w:rPr>
          <w:b/>
        </w:rPr>
        <w:t xml:space="preserve">Query router: </w:t>
      </w:r>
      <w:r>
        <w:t>converts the question into task, target, input requirement and evidence requirement.</w:t>
      </w:r>
    </w:p>
    <w:p>
      <w:pPr>
        <w:pStyle w:val="ListNumber"/>
      </w:pPr>
      <w:r>
        <w:rPr>
          <w:b/>
        </w:rPr>
        <w:t xml:space="preserve">Model registry: </w:t>
      </w:r>
      <w:r>
        <w:t>lists the supported model, version, accepted modalities, labels and output type for every workflow.</w:t>
      </w:r>
    </w:p>
    <w:p>
      <w:pPr>
        <w:pStyle w:val="ListNumber"/>
      </w:pPr>
      <w:r>
        <w:rPr>
          <w:b/>
        </w:rPr>
        <w:t xml:space="preserve">Specialist models: </w:t>
      </w:r>
      <w:r>
        <w:t>provide VQA, grounding, segmentation, change detection or optical SAR fusion.</w:t>
      </w:r>
    </w:p>
    <w:p>
      <w:pPr>
        <w:pStyle w:val="ListNumber"/>
      </w:pPr>
      <w:r>
        <w:rPr>
          <w:b/>
        </w:rPr>
        <w:t xml:space="preserve">Evidence generator: </w:t>
      </w:r>
      <w:r>
        <w:t>turns boxes, masks or change probabilities into overlays on the original image.</w:t>
      </w:r>
    </w:p>
    <w:p>
      <w:pPr>
        <w:pStyle w:val="ListNumber"/>
      </w:pPr>
      <w:r>
        <w:rPr>
          <w:b/>
        </w:rPr>
        <w:t xml:space="preserve">Confidence engine: </w:t>
      </w:r>
      <w:r>
        <w:t>combines model signal, image quality, registration quality and model agreement.</w:t>
      </w:r>
    </w:p>
    <w:p>
      <w:pPr>
        <w:pStyle w:val="ListNumber"/>
      </w:pPr>
      <w:r>
        <w:rPr>
          <w:b/>
        </w:rPr>
        <w:t xml:space="preserve">Response generator: </w:t>
      </w:r>
      <w:r>
        <w:t>describes only structured model outputs and refuses unsupported conclusions.</w:t>
      </w:r>
    </w:p>
    <w:p>
      <w:pPr>
        <w:pStyle w:val="Heading1"/>
      </w:pPr>
      <w:r>
        <w:t>5 How Highlighting Actually Works</w:t>
      </w:r>
    </w:p>
    <w:p>
      <w:r>
        <w:t>Drawing a highlight is easy; finding the correct pixels is the research problem. A segmentation model produces a two dimensional mask with the same width and height as the image. Each pixel is assigned 1 when it belongs to the requested feature and 0 otherwise. SatQuery blends a semi transparent colour into pixels where the mask equals 1 and draws a solid boundary at the edge. The original image is preserved.</w:t>
      </w:r>
    </w:p>
    <w:p>
      <w:r>
        <w:t>For an image pixel with colour I and an overlay colour C, the displayed pixel is computed as: displayed pixel = I x (1 - alpha) + C x alpha. With alpha 0.48, the user can see both the original ground texture and the coloured evidence. A bounding box is used for compact objects; a mask is used for water, forest, flooding and roads; a change heatmap is used for temporal differences.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232"/>
            <w:shd w:fill="123B4A"/>
            <w:tcMar>
              <w:top w:w="100" w:type="dxa"/>
              <w:start w:w="120" w:type="dxa"/>
              <w:bottom w:w="100" w:type="dxa"/>
              <w:end w:w="120" w:type="dxa"/>
            </w:tcMar>
            <w:vAlign w:val="center"/>
          </w:tcPr>
          <w:p>
            <w:r>
              <w:rPr>
                <w:b/>
                <w:color w:val="FFFFFF"/>
                <w:sz w:val="18"/>
              </w:rPr>
              <w:t>Question</w:t>
            </w:r>
          </w:p>
        </w:tc>
        <w:tc>
          <w:tcPr>
            <w:tcW w:type="dxa" w:w="4320"/>
            <w:shd w:fill="123B4A"/>
            <w:tcMar>
              <w:top w:w="100" w:type="dxa"/>
              <w:start w:w="120" w:type="dxa"/>
              <w:bottom w:w="100" w:type="dxa"/>
              <w:end w:w="120" w:type="dxa"/>
            </w:tcMar>
            <w:vAlign w:val="center"/>
          </w:tcPr>
          <w:p>
            <w:r>
              <w:rPr>
                <w:b/>
                <w:color w:val="FFFFFF"/>
                <w:sz w:val="18"/>
              </w:rPr>
              <w:t>Analysis</w:t>
            </w:r>
          </w:p>
        </w:tc>
        <w:tc>
          <w:tcPr>
            <w:tcW w:type="dxa" w:w="3096"/>
            <w:shd w:fill="123B4A"/>
            <w:tcMar>
              <w:top w:w="100" w:type="dxa"/>
              <w:start w:w="120" w:type="dxa"/>
              <w:bottom w:w="100" w:type="dxa"/>
              <w:end w:w="120" w:type="dxa"/>
            </w:tcMar>
            <w:vAlign w:val="center"/>
          </w:tcPr>
          <w:p>
            <w:r>
              <w:rPr>
                <w:b/>
                <w:color w:val="FFFFFF"/>
                <w:sz w:val="18"/>
              </w:rPr>
              <w:t>Returned evidence</w:t>
            </w:r>
          </w:p>
        </w:tc>
      </w:tr>
      <w:tr>
        <w:trPr>
          <w:cantSplit/>
        </w:trPr>
        <w:tc>
          <w:tcPr>
            <w:tcW w:type="dxa" w:w="2232"/>
            <w:tcMar>
              <w:top w:w="100" w:type="dxa"/>
              <w:start w:w="120" w:type="dxa"/>
              <w:bottom w:w="100" w:type="dxa"/>
              <w:end w:w="120" w:type="dxa"/>
            </w:tcMar>
            <w:vAlign w:val="center"/>
          </w:tcPr>
          <w:p>
            <w:pPr>
              <w:spacing w:after="0"/>
            </w:pPr>
            <w:r>
              <w:rPr>
                <w:sz w:val="17"/>
              </w:rPr>
              <w:t>Is there a river?</w:t>
            </w:r>
          </w:p>
        </w:tc>
        <w:tc>
          <w:tcPr>
            <w:tcW w:type="dxa" w:w="4320"/>
            <w:tcMar>
              <w:top w:w="100" w:type="dxa"/>
              <w:start w:w="120" w:type="dxa"/>
              <w:bottom w:w="100" w:type="dxa"/>
              <w:end w:w="120" w:type="dxa"/>
            </w:tcMar>
            <w:vAlign w:val="center"/>
          </w:tcPr>
          <w:p>
            <w:pPr>
              <w:spacing w:after="0"/>
            </w:pPr>
            <w:r>
              <w:rPr>
                <w:sz w:val="17"/>
              </w:rPr>
              <w:t>River presence model followed by river segmentation</w:t>
            </w:r>
          </w:p>
        </w:tc>
        <w:tc>
          <w:tcPr>
            <w:tcW w:type="dxa" w:w="3096"/>
            <w:tcMar>
              <w:top w:w="100" w:type="dxa"/>
              <w:start w:w="120" w:type="dxa"/>
              <w:bottom w:w="100" w:type="dxa"/>
              <w:end w:w="120" w:type="dxa"/>
            </w:tcMar>
            <w:vAlign w:val="center"/>
          </w:tcPr>
          <w:p>
            <w:pPr>
              <w:spacing w:after="0"/>
            </w:pPr>
            <w:r>
              <w:rPr>
                <w:sz w:val="17"/>
              </w:rPr>
              <w:t>Answer plus highlighted river mask</w:t>
            </w:r>
          </w:p>
        </w:tc>
      </w:tr>
      <w:tr>
        <w:trPr>
          <w:cantSplit/>
        </w:trPr>
        <w:tc>
          <w:tcPr>
            <w:tcW w:type="dxa" w:w="2232"/>
            <w:tcMar>
              <w:top w:w="100" w:type="dxa"/>
              <w:start w:w="120" w:type="dxa"/>
              <w:bottom w:w="100" w:type="dxa"/>
              <w:end w:w="120" w:type="dxa"/>
            </w:tcMar>
            <w:vAlign w:val="center"/>
            <w:shd w:fill="F5F8F8"/>
          </w:tcPr>
          <w:p>
            <w:pPr>
              <w:spacing w:after="0"/>
            </w:pPr>
            <w:r>
              <w:rPr>
                <w:sz w:val="17"/>
              </w:rPr>
              <w:t>Is there a line?</w:t>
            </w:r>
          </w:p>
        </w:tc>
        <w:tc>
          <w:tcPr>
            <w:tcW w:type="dxa" w:w="4320"/>
            <w:tcMar>
              <w:top w:w="100" w:type="dxa"/>
              <w:start w:w="120" w:type="dxa"/>
              <w:bottom w:w="100" w:type="dxa"/>
              <w:end w:w="120" w:type="dxa"/>
            </w:tcMar>
            <w:vAlign w:val="center"/>
            <w:shd w:fill="F5F8F8"/>
          </w:tcPr>
          <w:p>
            <w:pPr>
              <w:spacing w:after="0"/>
            </w:pPr>
            <w:r>
              <w:rPr>
                <w:sz w:val="17"/>
              </w:rPr>
              <w:t>Request clarification because line may mean road, river, railway, boundary or artefact</w:t>
            </w:r>
          </w:p>
        </w:tc>
        <w:tc>
          <w:tcPr>
            <w:tcW w:type="dxa" w:w="3096"/>
            <w:tcMar>
              <w:top w:w="100" w:type="dxa"/>
              <w:start w:w="120" w:type="dxa"/>
              <w:bottom w:w="100" w:type="dxa"/>
              <w:end w:w="120" w:type="dxa"/>
            </w:tcMar>
            <w:vAlign w:val="center"/>
            <w:shd w:fill="F5F8F8"/>
          </w:tcPr>
          <w:p>
            <w:pPr>
              <w:spacing w:after="0"/>
            </w:pPr>
            <w:r>
              <w:rPr>
                <w:sz w:val="17"/>
              </w:rPr>
              <w:t>No unsupported highlight</w:t>
            </w:r>
          </w:p>
        </w:tc>
      </w:tr>
      <w:tr>
        <w:trPr>
          <w:cantSplit/>
        </w:trPr>
        <w:tc>
          <w:tcPr>
            <w:tcW w:type="dxa" w:w="2232"/>
            <w:tcMar>
              <w:top w:w="100" w:type="dxa"/>
              <w:start w:w="120" w:type="dxa"/>
              <w:bottom w:w="100" w:type="dxa"/>
              <w:end w:w="120" w:type="dxa"/>
            </w:tcMar>
            <w:vAlign w:val="center"/>
          </w:tcPr>
          <w:p>
            <w:pPr>
              <w:spacing w:after="0"/>
            </w:pPr>
            <w:r>
              <w:rPr>
                <w:sz w:val="17"/>
              </w:rPr>
              <w:t>Highlight red pixels</w:t>
            </w:r>
          </w:p>
        </w:tc>
        <w:tc>
          <w:tcPr>
            <w:tcW w:type="dxa" w:w="4320"/>
            <w:tcMar>
              <w:top w:w="100" w:type="dxa"/>
              <w:start w:w="120" w:type="dxa"/>
              <w:bottom w:w="100" w:type="dxa"/>
              <w:end w:w="120" w:type="dxa"/>
            </w:tcMar>
            <w:vAlign w:val="center"/>
          </w:tcPr>
          <w:p>
            <w:pPr>
              <w:spacing w:after="0"/>
            </w:pPr>
            <w:r>
              <w:rPr>
                <w:sz w:val="17"/>
              </w:rPr>
              <w:t>RGB threshold and neighbourhood cleanup</w:t>
            </w:r>
          </w:p>
        </w:tc>
        <w:tc>
          <w:tcPr>
            <w:tcW w:type="dxa" w:w="3096"/>
            <w:tcMar>
              <w:top w:w="100" w:type="dxa"/>
              <w:start w:w="120" w:type="dxa"/>
              <w:bottom w:w="100" w:type="dxa"/>
              <w:end w:w="120" w:type="dxa"/>
            </w:tcMar>
            <w:vAlign w:val="center"/>
          </w:tcPr>
          <w:p>
            <w:pPr>
              <w:spacing w:after="0"/>
            </w:pPr>
            <w:r>
              <w:rPr>
                <w:sz w:val="17"/>
              </w:rPr>
              <w:t>Yellow overlay on strongly red regions</w:t>
            </w:r>
          </w:p>
        </w:tc>
      </w:tr>
      <w:tr>
        <w:trPr>
          <w:cantSplit/>
        </w:trPr>
        <w:tc>
          <w:tcPr>
            <w:tcW w:type="dxa" w:w="2232"/>
            <w:tcMar>
              <w:top w:w="100" w:type="dxa"/>
              <w:start w:w="120" w:type="dxa"/>
              <w:bottom w:w="100" w:type="dxa"/>
              <w:end w:w="120" w:type="dxa"/>
            </w:tcMar>
            <w:vAlign w:val="center"/>
            <w:shd w:fill="F5F8F8"/>
          </w:tcPr>
          <w:p>
            <w:pPr>
              <w:spacing w:after="0"/>
            </w:pPr>
            <w:r>
              <w:rPr>
                <w:sz w:val="17"/>
              </w:rPr>
              <w:t>What changed?</w:t>
            </w:r>
          </w:p>
        </w:tc>
        <w:tc>
          <w:tcPr>
            <w:tcW w:type="dxa" w:w="4320"/>
            <w:tcMar>
              <w:top w:w="100" w:type="dxa"/>
              <w:start w:w="120" w:type="dxa"/>
              <w:bottom w:w="100" w:type="dxa"/>
              <w:end w:w="120" w:type="dxa"/>
            </w:tcMar>
            <w:vAlign w:val="center"/>
            <w:shd w:fill="F5F8F8"/>
          </w:tcPr>
          <w:p>
            <w:pPr>
              <w:spacing w:after="0"/>
            </w:pPr>
            <w:r>
              <w:rPr>
                <w:sz w:val="17"/>
              </w:rPr>
              <w:t>Registered image difference or trained change model</w:t>
            </w:r>
          </w:p>
        </w:tc>
        <w:tc>
          <w:tcPr>
            <w:tcW w:type="dxa" w:w="3096"/>
            <w:tcMar>
              <w:top w:w="100" w:type="dxa"/>
              <w:start w:w="120" w:type="dxa"/>
              <w:bottom w:w="100" w:type="dxa"/>
              <w:end w:w="120" w:type="dxa"/>
            </w:tcMar>
            <w:vAlign w:val="center"/>
            <w:shd w:fill="F5F8F8"/>
          </w:tcPr>
          <w:p>
            <w:pPr>
              <w:spacing w:after="0"/>
            </w:pPr>
            <w:r>
              <w:rPr>
                <w:sz w:val="17"/>
              </w:rPr>
              <w:t>Red change mask and area estimate</w:t>
            </w:r>
          </w:p>
        </w:tc>
      </w:tr>
    </w:tbl>
    <w:p>
      <w:pPr>
        <w:spacing w:after="0"/>
      </w:pPr>
    </w:p>
    <w:p>
      <w:r>
        <w:t>The runnable baseline supports strongly red, green and blue regions so the overlay can be tested transparently. These colour rules are not substitutes for trained satellite segmentation models.</w:t>
      </w:r>
    </w:p>
    <w:p>
      <w:pPr>
        <w:pStyle w:val="Heading1"/>
      </w:pPr>
      <w:r>
        <w:t>6 Worked Example</w:t>
      </w:r>
    </w:p>
    <w:p>
      <w:r>
        <w:t>Example request: upload one RGB image and ask 'Highlight the water body.'</w:t>
      </w:r>
    </w:p>
    <w:p>
      <w:pPr>
        <w:pStyle w:val="ListBullet"/>
      </w:pPr>
      <w:r>
        <w:t>Router extracts target water and selects grounding.</w:t>
      </w:r>
    </w:p>
    <w:p>
      <w:pPr>
        <w:pStyle w:val="ListBullet"/>
      </w:pPr>
      <w:r>
        <w:t>Baseline computes a water candidate mask from blue dominance, brightness and neighbourhood agreement. A trained release would replace this rule with remote sensing grounding and segmentation.</w:t>
      </w:r>
    </w:p>
    <w:p>
      <w:pPr>
        <w:pStyle w:val="ListBullet"/>
      </w:pPr>
      <w:r>
        <w:t>Evidence processing cleans isolated pixels, overlays the retained mask and calculates coverage.</w:t>
      </w:r>
    </w:p>
    <w:p>
      <w:pPr>
        <w:pStyle w:val="ListBullet"/>
      </w:pPr>
      <w:r>
        <w:t>Response generation returns the answer, estimated coverage, confidence factors, warnings and execution trace.</w:t>
      </w:r>
    </w:p>
    <w:p>
      <w:pPr>
        <w:pStyle w:val="ListBullet"/>
      </w:pPr>
      <w:r>
        <w:t>Safety logic returns low confidence or refuses the conclusion when coverage or image quality is inadequate.</w:t>
      </w:r>
    </w:p>
    <w:p>
      <w:pPr>
        <w:pStyle w:val="Heading1"/>
      </w:pPr>
      <w:r>
        <w:t>7 Dataset and Evaluation</w:t>
      </w:r>
    </w:p>
    <w:p>
      <w:r>
        <w:t>The user supplied archive contains 719 RGB files labelled beach, ice, Mars, Moon, mountain, ocean and river. It is not BigEarthNet and contains no Sentinel 1 and Sentinel 2 pairs, multispectral bands, VQA annotations, or Cartosat RISAT data. Its licence and original source are not included, so it must not be redistributed until provenance is confirmed.</w:t>
      </w:r>
    </w:p>
    <w:p>
      <w:r>
        <w:t>The earlier 673 training and 46 test split has been discarded. The corrected process removes exact duplicates by SHA 256 and divides every class approximately 50/50 using a deterministic seed. This leaves 701 unique images: 350 training and 351 held out testing. The lightweight scene baseline correctly classified 323 of 351 test images, or 92.0 percent. This measures only these seven scene classes and does not establish ISRO readiness.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4032"/>
            <w:shd w:fill="123B4A"/>
            <w:tcMar>
              <w:top w:w="100" w:type="dxa"/>
              <w:start w:w="120" w:type="dxa"/>
              <w:bottom w:w="100" w:type="dxa"/>
              <w:end w:w="120" w:type="dxa"/>
            </w:tcMar>
            <w:vAlign w:val="center"/>
          </w:tcPr>
          <w:p>
            <w:r>
              <w:rPr>
                <w:b/>
                <w:color w:val="FFFFFF"/>
                <w:sz w:val="18"/>
              </w:rPr>
              <w:t>Class</w:t>
            </w:r>
          </w:p>
        </w:tc>
        <w:tc>
          <w:tcPr>
            <w:tcW w:type="dxa" w:w="2304"/>
            <w:shd w:fill="123B4A"/>
            <w:tcMar>
              <w:top w:w="100" w:type="dxa"/>
              <w:start w:w="120" w:type="dxa"/>
              <w:bottom w:w="100" w:type="dxa"/>
              <w:end w:w="120" w:type="dxa"/>
            </w:tcMar>
            <w:vAlign w:val="center"/>
          </w:tcPr>
          <w:p>
            <w:r>
              <w:rPr>
                <w:b/>
                <w:color w:val="FFFFFF"/>
                <w:sz w:val="18"/>
              </w:rPr>
              <w:t>Test images</w:t>
            </w:r>
          </w:p>
        </w:tc>
        <w:tc>
          <w:tcPr>
            <w:tcW w:type="dxa" w:w="2304"/>
            <w:shd w:fill="123B4A"/>
            <w:tcMar>
              <w:top w:w="100" w:type="dxa"/>
              <w:start w:w="120" w:type="dxa"/>
              <w:bottom w:w="100" w:type="dxa"/>
              <w:end w:w="120" w:type="dxa"/>
            </w:tcMar>
            <w:vAlign w:val="center"/>
          </w:tcPr>
          <w:p>
            <w:r>
              <w:rPr>
                <w:b/>
                <w:color w:val="FFFFFF"/>
                <w:sz w:val="18"/>
              </w:rPr>
              <w:t>Accuracy</w:t>
            </w:r>
          </w:p>
        </w:tc>
      </w:tr>
      <w:tr>
        <w:trPr>
          <w:cantSplit/>
        </w:trPr>
        <w:tc>
          <w:tcPr>
            <w:tcW w:type="dxa" w:w="4032"/>
            <w:tcMar>
              <w:top w:w="100" w:type="dxa"/>
              <w:start w:w="120" w:type="dxa"/>
              <w:bottom w:w="100" w:type="dxa"/>
              <w:end w:w="120" w:type="dxa"/>
            </w:tcMar>
            <w:vAlign w:val="center"/>
          </w:tcPr>
          <w:p>
            <w:pPr>
              <w:spacing w:after="0"/>
            </w:pPr>
            <w:r>
              <w:rPr>
                <w:sz w:val="17"/>
              </w:rPr>
              <w:t>Beach</w:t>
            </w:r>
          </w:p>
        </w:tc>
        <w:tc>
          <w:tcPr>
            <w:tcW w:type="dxa" w:w="2304"/>
            <w:tcMar>
              <w:top w:w="100" w:type="dxa"/>
              <w:start w:w="120" w:type="dxa"/>
              <w:bottom w:w="100" w:type="dxa"/>
              <w:end w:w="120" w:type="dxa"/>
            </w:tcMar>
            <w:vAlign w:val="center"/>
          </w:tcPr>
          <w:p>
            <w:pPr>
              <w:spacing w:after="0"/>
            </w:pPr>
            <w:r>
              <w:rPr>
                <w:sz w:val="17"/>
              </w:rPr>
              <w:t>54</w:t>
            </w:r>
          </w:p>
        </w:tc>
        <w:tc>
          <w:tcPr>
            <w:tcW w:type="dxa" w:w="2304"/>
            <w:tcMar>
              <w:top w:w="100" w:type="dxa"/>
              <w:start w:w="120" w:type="dxa"/>
              <w:bottom w:w="100" w:type="dxa"/>
              <w:end w:w="120" w:type="dxa"/>
            </w:tcMar>
            <w:vAlign w:val="center"/>
          </w:tcPr>
          <w:p>
            <w:pPr>
              <w:spacing w:after="0"/>
            </w:pPr>
            <w:r>
              <w:rPr>
                <w:sz w:val="17"/>
              </w:rPr>
              <w:t>77.8%</w:t>
            </w:r>
          </w:p>
        </w:tc>
      </w:tr>
      <w:tr>
        <w:trPr>
          <w:cantSplit/>
        </w:trPr>
        <w:tc>
          <w:tcPr>
            <w:tcW w:type="dxa" w:w="4032"/>
            <w:tcMar>
              <w:top w:w="100" w:type="dxa"/>
              <w:start w:w="120" w:type="dxa"/>
              <w:bottom w:w="100" w:type="dxa"/>
              <w:end w:w="120" w:type="dxa"/>
            </w:tcMar>
            <w:vAlign w:val="center"/>
            <w:shd w:fill="F5F8F8"/>
          </w:tcPr>
          <w:p>
            <w:pPr>
              <w:spacing w:after="0"/>
            </w:pPr>
            <w:r>
              <w:rPr>
                <w:sz w:val="17"/>
              </w:rPr>
              <w:t>Ice</w:t>
            </w:r>
          </w:p>
        </w:tc>
        <w:tc>
          <w:tcPr>
            <w:tcW w:type="dxa" w:w="2304"/>
            <w:tcMar>
              <w:top w:w="100" w:type="dxa"/>
              <w:start w:w="120" w:type="dxa"/>
              <w:bottom w:w="100" w:type="dxa"/>
              <w:end w:w="120" w:type="dxa"/>
            </w:tcMar>
            <w:vAlign w:val="center"/>
            <w:shd w:fill="F5F8F8"/>
          </w:tcPr>
          <w:p>
            <w:pPr>
              <w:spacing w:after="0"/>
            </w:pPr>
            <w:r>
              <w:rPr>
                <w:sz w:val="17"/>
              </w:rPr>
              <w:t>31</w:t>
            </w:r>
          </w:p>
        </w:tc>
        <w:tc>
          <w:tcPr>
            <w:tcW w:type="dxa" w:w="2304"/>
            <w:tcMar>
              <w:top w:w="100" w:type="dxa"/>
              <w:start w:w="120" w:type="dxa"/>
              <w:bottom w:w="100" w:type="dxa"/>
              <w:end w:w="120" w:type="dxa"/>
            </w:tcMar>
            <w:vAlign w:val="center"/>
            <w:shd w:fill="F5F8F8"/>
          </w:tcPr>
          <w:p>
            <w:pPr>
              <w:spacing w:after="0"/>
            </w:pPr>
            <w:r>
              <w:rPr>
                <w:sz w:val="17"/>
              </w:rPr>
              <w:t>93.5%</w:t>
            </w:r>
          </w:p>
        </w:tc>
      </w:tr>
      <w:tr>
        <w:trPr>
          <w:cantSplit/>
        </w:trPr>
        <w:tc>
          <w:tcPr>
            <w:tcW w:type="dxa" w:w="4032"/>
            <w:tcMar>
              <w:top w:w="100" w:type="dxa"/>
              <w:start w:w="120" w:type="dxa"/>
              <w:bottom w:w="100" w:type="dxa"/>
              <w:end w:w="120" w:type="dxa"/>
            </w:tcMar>
            <w:vAlign w:val="center"/>
          </w:tcPr>
          <w:p>
            <w:pPr>
              <w:spacing w:after="0"/>
            </w:pPr>
            <w:r>
              <w:rPr>
                <w:sz w:val="17"/>
              </w:rPr>
              <w:t>Mars</w:t>
            </w:r>
          </w:p>
        </w:tc>
        <w:tc>
          <w:tcPr>
            <w:tcW w:type="dxa" w:w="2304"/>
            <w:tcMar>
              <w:top w:w="100" w:type="dxa"/>
              <w:start w:w="120" w:type="dxa"/>
              <w:bottom w:w="100" w:type="dxa"/>
              <w:end w:w="120" w:type="dxa"/>
            </w:tcMar>
            <w:vAlign w:val="center"/>
          </w:tcPr>
          <w:p>
            <w:pPr>
              <w:spacing w:after="0"/>
            </w:pPr>
            <w:r>
              <w:rPr>
                <w:sz w:val="17"/>
              </w:rPr>
              <w:t>51</w:t>
            </w:r>
          </w:p>
        </w:tc>
        <w:tc>
          <w:tcPr>
            <w:tcW w:type="dxa" w:w="2304"/>
            <w:tcMar>
              <w:top w:w="100" w:type="dxa"/>
              <w:start w:w="120" w:type="dxa"/>
              <w:bottom w:w="100" w:type="dxa"/>
              <w:end w:w="120" w:type="dxa"/>
            </w:tcMar>
            <w:vAlign w:val="center"/>
          </w:tcPr>
          <w:p>
            <w:pPr>
              <w:spacing w:after="0"/>
            </w:pPr>
            <w:r>
              <w:rPr>
                <w:sz w:val="17"/>
              </w:rPr>
              <w:t>100.0%</w:t>
            </w:r>
          </w:p>
        </w:tc>
      </w:tr>
      <w:tr>
        <w:trPr>
          <w:cantSplit/>
        </w:trPr>
        <w:tc>
          <w:tcPr>
            <w:tcW w:type="dxa" w:w="4032"/>
            <w:tcMar>
              <w:top w:w="100" w:type="dxa"/>
              <w:start w:w="120" w:type="dxa"/>
              <w:bottom w:w="100" w:type="dxa"/>
              <w:end w:w="120" w:type="dxa"/>
            </w:tcMar>
            <w:vAlign w:val="center"/>
            <w:shd w:fill="F5F8F8"/>
          </w:tcPr>
          <w:p>
            <w:pPr>
              <w:spacing w:after="0"/>
            </w:pPr>
            <w:r>
              <w:rPr>
                <w:sz w:val="17"/>
              </w:rPr>
              <w:t>Moon</w:t>
            </w:r>
          </w:p>
        </w:tc>
        <w:tc>
          <w:tcPr>
            <w:tcW w:type="dxa" w:w="2304"/>
            <w:tcMar>
              <w:top w:w="100" w:type="dxa"/>
              <w:start w:w="120" w:type="dxa"/>
              <w:bottom w:w="100" w:type="dxa"/>
              <w:end w:w="120" w:type="dxa"/>
            </w:tcMar>
            <w:vAlign w:val="center"/>
            <w:shd w:fill="F5F8F8"/>
          </w:tcPr>
          <w:p>
            <w:pPr>
              <w:spacing w:after="0"/>
            </w:pPr>
            <w:r>
              <w:rPr>
                <w:sz w:val="17"/>
              </w:rPr>
              <w:t>51</w:t>
            </w:r>
          </w:p>
        </w:tc>
        <w:tc>
          <w:tcPr>
            <w:tcW w:type="dxa" w:w="2304"/>
            <w:tcMar>
              <w:top w:w="100" w:type="dxa"/>
              <w:start w:w="120" w:type="dxa"/>
              <w:bottom w:w="100" w:type="dxa"/>
              <w:end w:w="120" w:type="dxa"/>
            </w:tcMar>
            <w:vAlign w:val="center"/>
            <w:shd w:fill="F5F8F8"/>
          </w:tcPr>
          <w:p>
            <w:pPr>
              <w:spacing w:after="0"/>
            </w:pPr>
            <w:r>
              <w:rPr>
                <w:sz w:val="17"/>
              </w:rPr>
              <w:t>88.2%</w:t>
            </w:r>
          </w:p>
        </w:tc>
      </w:tr>
      <w:tr>
        <w:trPr>
          <w:cantSplit/>
        </w:trPr>
        <w:tc>
          <w:tcPr>
            <w:tcW w:type="dxa" w:w="4032"/>
            <w:tcMar>
              <w:top w:w="100" w:type="dxa"/>
              <w:start w:w="120" w:type="dxa"/>
              <w:bottom w:w="100" w:type="dxa"/>
              <w:end w:w="120" w:type="dxa"/>
            </w:tcMar>
            <w:vAlign w:val="center"/>
          </w:tcPr>
          <w:p>
            <w:pPr>
              <w:spacing w:after="0"/>
            </w:pPr>
            <w:r>
              <w:rPr>
                <w:sz w:val="17"/>
              </w:rPr>
              <w:t>Mountain</w:t>
            </w:r>
          </w:p>
        </w:tc>
        <w:tc>
          <w:tcPr>
            <w:tcW w:type="dxa" w:w="2304"/>
            <w:tcMar>
              <w:top w:w="100" w:type="dxa"/>
              <w:start w:w="120" w:type="dxa"/>
              <w:bottom w:w="100" w:type="dxa"/>
              <w:end w:w="120" w:type="dxa"/>
            </w:tcMar>
            <w:vAlign w:val="center"/>
          </w:tcPr>
          <w:p>
            <w:pPr>
              <w:spacing w:after="0"/>
            </w:pPr>
            <w:r>
              <w:rPr>
                <w:sz w:val="17"/>
              </w:rPr>
              <w:t>56</w:t>
            </w:r>
          </w:p>
        </w:tc>
        <w:tc>
          <w:tcPr>
            <w:tcW w:type="dxa" w:w="2304"/>
            <w:tcMar>
              <w:top w:w="100" w:type="dxa"/>
              <w:start w:w="120" w:type="dxa"/>
              <w:bottom w:w="100" w:type="dxa"/>
              <w:end w:w="120" w:type="dxa"/>
            </w:tcMar>
            <w:vAlign w:val="center"/>
          </w:tcPr>
          <w:p>
            <w:pPr>
              <w:spacing w:after="0"/>
            </w:pPr>
            <w:r>
              <w:rPr>
                <w:sz w:val="17"/>
              </w:rPr>
              <w:t>87.5%</w:t>
            </w:r>
          </w:p>
        </w:tc>
      </w:tr>
      <w:tr>
        <w:trPr>
          <w:cantSplit/>
        </w:trPr>
        <w:tc>
          <w:tcPr>
            <w:tcW w:type="dxa" w:w="4032"/>
            <w:tcMar>
              <w:top w:w="100" w:type="dxa"/>
              <w:start w:w="120" w:type="dxa"/>
              <w:bottom w:w="100" w:type="dxa"/>
              <w:end w:w="120" w:type="dxa"/>
            </w:tcMar>
            <w:vAlign w:val="center"/>
            <w:shd w:fill="F5F8F8"/>
          </w:tcPr>
          <w:p>
            <w:pPr>
              <w:spacing w:after="0"/>
            </w:pPr>
            <w:r>
              <w:rPr>
                <w:sz w:val="17"/>
              </w:rPr>
              <w:t>Ocean</w:t>
            </w:r>
          </w:p>
        </w:tc>
        <w:tc>
          <w:tcPr>
            <w:tcW w:type="dxa" w:w="2304"/>
            <w:tcMar>
              <w:top w:w="100" w:type="dxa"/>
              <w:start w:w="120" w:type="dxa"/>
              <w:bottom w:w="100" w:type="dxa"/>
              <w:end w:w="120" w:type="dxa"/>
            </w:tcMar>
            <w:vAlign w:val="center"/>
            <w:shd w:fill="F5F8F8"/>
          </w:tcPr>
          <w:p>
            <w:pPr>
              <w:spacing w:after="0"/>
            </w:pPr>
            <w:r>
              <w:rPr>
                <w:sz w:val="17"/>
              </w:rPr>
              <w:t>54</w:t>
            </w:r>
          </w:p>
        </w:tc>
        <w:tc>
          <w:tcPr>
            <w:tcW w:type="dxa" w:w="2304"/>
            <w:tcMar>
              <w:top w:w="100" w:type="dxa"/>
              <w:start w:w="120" w:type="dxa"/>
              <w:bottom w:w="100" w:type="dxa"/>
              <w:end w:w="120" w:type="dxa"/>
            </w:tcMar>
            <w:vAlign w:val="center"/>
            <w:shd w:fill="F5F8F8"/>
          </w:tcPr>
          <w:p>
            <w:pPr>
              <w:spacing w:after="0"/>
            </w:pPr>
            <w:r>
              <w:rPr>
                <w:sz w:val="17"/>
              </w:rPr>
              <w:t>100.0%</w:t>
            </w:r>
          </w:p>
        </w:tc>
      </w:tr>
      <w:tr>
        <w:trPr>
          <w:cantSplit/>
        </w:trPr>
        <w:tc>
          <w:tcPr>
            <w:tcW w:type="dxa" w:w="4032"/>
            <w:tcMar>
              <w:top w:w="100" w:type="dxa"/>
              <w:start w:w="120" w:type="dxa"/>
              <w:bottom w:w="100" w:type="dxa"/>
              <w:end w:w="120" w:type="dxa"/>
            </w:tcMar>
            <w:vAlign w:val="center"/>
          </w:tcPr>
          <w:p>
            <w:pPr>
              <w:spacing w:after="0"/>
            </w:pPr>
            <w:r>
              <w:rPr>
                <w:sz w:val="17"/>
              </w:rPr>
              <w:t>River</w:t>
            </w:r>
          </w:p>
        </w:tc>
        <w:tc>
          <w:tcPr>
            <w:tcW w:type="dxa" w:w="2304"/>
            <w:tcMar>
              <w:top w:w="100" w:type="dxa"/>
              <w:start w:w="120" w:type="dxa"/>
              <w:bottom w:w="100" w:type="dxa"/>
              <w:end w:w="120" w:type="dxa"/>
            </w:tcMar>
            <w:vAlign w:val="center"/>
          </w:tcPr>
          <w:p>
            <w:pPr>
              <w:spacing w:after="0"/>
            </w:pPr>
            <w:r>
              <w:rPr>
                <w:sz w:val="17"/>
              </w:rPr>
              <w:t>54</w:t>
            </w:r>
          </w:p>
        </w:tc>
        <w:tc>
          <w:tcPr>
            <w:tcW w:type="dxa" w:w="2304"/>
            <w:tcMar>
              <w:top w:w="100" w:type="dxa"/>
              <w:start w:w="120" w:type="dxa"/>
              <w:bottom w:w="100" w:type="dxa"/>
              <w:end w:w="120" w:type="dxa"/>
            </w:tcMar>
            <w:vAlign w:val="center"/>
          </w:tcPr>
          <w:p>
            <w:pPr>
              <w:spacing w:after="0"/>
            </w:pPr>
            <w:r>
              <w:rPr>
                <w:sz w:val="17"/>
              </w:rPr>
              <w:t>98.1%</w:t>
            </w:r>
          </w:p>
        </w:tc>
      </w:tr>
    </w:tbl>
    <w:p>
      <w:pPr>
        <w:spacing w:after="0"/>
      </w:pPr>
    </w:p>
    <w:p>
      <w:r>
        <w:t>Final SIH evaluation should separately report routing accuracy, VQA accuracy, box mean average precision, segmentation Intersection over Union, change F1, optical only versus SAR only versus fused performance, and confidence calibration. Train, validation and test areas should be geographically separated wherever possible to reduce location leakage.</w:t>
      </w:r>
    </w:p>
    <w:p>
      <w:pPr>
        <w:pStyle w:val="Heading1"/>
      </w:pPr>
      <w:r>
        <w:t>8 Feasibility and Implementation Plan</w:t>
      </w:r>
    </w:p>
    <w:p>
      <w:r>
        <w:t>A credible prototype is feasible because public remote sensing datasets and pretrained models exist. BigEarthNet v2 provides paired Sentinel 1 and Sentinel 2 patches, while VRSBench provides captions, question answer pairs and object references. The team should adapt existing models rather than train a foundation model from scratch.</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728"/>
            <w:shd w:fill="123B4A"/>
            <w:tcMar>
              <w:top w:w="100" w:type="dxa"/>
              <w:start w:w="120" w:type="dxa"/>
              <w:bottom w:w="100" w:type="dxa"/>
              <w:end w:w="120" w:type="dxa"/>
            </w:tcMar>
            <w:vAlign w:val="center"/>
          </w:tcPr>
          <w:p>
            <w:r>
              <w:rPr>
                <w:b/>
                <w:color w:val="FFFFFF"/>
                <w:sz w:val="18"/>
              </w:rPr>
              <w:t>Stage</w:t>
            </w:r>
          </w:p>
        </w:tc>
        <w:tc>
          <w:tcPr>
            <w:tcW w:type="dxa" w:w="4608"/>
            <w:shd w:fill="123B4A"/>
            <w:tcMar>
              <w:top w:w="100" w:type="dxa"/>
              <w:start w:w="120" w:type="dxa"/>
              <w:bottom w:w="100" w:type="dxa"/>
              <w:end w:w="120" w:type="dxa"/>
            </w:tcMar>
            <w:vAlign w:val="center"/>
          </w:tcPr>
          <w:p>
            <w:r>
              <w:rPr>
                <w:b/>
                <w:color w:val="FFFFFF"/>
                <w:sz w:val="18"/>
              </w:rPr>
              <w:t>Deliverable</w:t>
            </w:r>
          </w:p>
        </w:tc>
        <w:tc>
          <w:tcPr>
            <w:tcW w:type="dxa" w:w="2880"/>
            <w:shd w:fill="123B4A"/>
            <w:tcMar>
              <w:top w:w="100" w:type="dxa"/>
              <w:start w:w="120" w:type="dxa"/>
              <w:bottom w:w="100" w:type="dxa"/>
              <w:end w:w="120" w:type="dxa"/>
            </w:tcMar>
            <w:vAlign w:val="center"/>
          </w:tcPr>
          <w:p>
            <w:r>
              <w:rPr>
                <w:b/>
                <w:color w:val="FFFFFF"/>
                <w:sz w:val="18"/>
              </w:rPr>
              <w:t>Success gate</w:t>
            </w:r>
          </w:p>
        </w:tc>
      </w:tr>
      <w:tr>
        <w:trPr>
          <w:cantSplit/>
        </w:trPr>
        <w:tc>
          <w:tcPr>
            <w:tcW w:type="dxa" w:w="1728"/>
            <w:tcMar>
              <w:top w:w="100" w:type="dxa"/>
              <w:start w:w="120" w:type="dxa"/>
              <w:bottom w:w="100" w:type="dxa"/>
              <w:end w:w="120" w:type="dxa"/>
            </w:tcMar>
            <w:vAlign w:val="center"/>
          </w:tcPr>
          <w:p>
            <w:pPr>
              <w:spacing w:after="0"/>
            </w:pPr>
            <w:r>
              <w:rPr>
                <w:sz w:val="17"/>
              </w:rPr>
              <w:t>1 Product shell</w:t>
            </w:r>
          </w:p>
        </w:tc>
        <w:tc>
          <w:tcPr>
            <w:tcW w:type="dxa" w:w="4608"/>
            <w:tcMar>
              <w:top w:w="100" w:type="dxa"/>
              <w:start w:w="120" w:type="dxa"/>
              <w:bottom w:w="100" w:type="dxa"/>
              <w:end w:w="120" w:type="dxa"/>
            </w:tcMar>
            <w:vAlign w:val="center"/>
          </w:tcPr>
          <w:p>
            <w:pPr>
              <w:spacing w:after="0"/>
            </w:pPr>
            <w:r>
              <w:rPr>
                <w:sz w:val="17"/>
              </w:rPr>
              <w:t>Upload, question, routing, overlays and logs</w:t>
            </w:r>
          </w:p>
        </w:tc>
        <w:tc>
          <w:tcPr>
            <w:tcW w:type="dxa" w:w="2880"/>
            <w:tcMar>
              <w:top w:w="100" w:type="dxa"/>
              <w:start w:w="120" w:type="dxa"/>
              <w:bottom w:w="100" w:type="dxa"/>
              <w:end w:w="120" w:type="dxa"/>
            </w:tcMar>
            <w:vAlign w:val="center"/>
          </w:tcPr>
          <w:p>
            <w:pPr>
              <w:spacing w:after="0"/>
            </w:pPr>
            <w:r>
              <w:rPr>
                <w:sz w:val="17"/>
              </w:rPr>
              <w:t>End to end request completes</w:t>
            </w:r>
          </w:p>
        </w:tc>
      </w:tr>
      <w:tr>
        <w:trPr>
          <w:cantSplit/>
        </w:trPr>
        <w:tc>
          <w:tcPr>
            <w:tcW w:type="dxa" w:w="1728"/>
            <w:tcMar>
              <w:top w:w="100" w:type="dxa"/>
              <w:start w:w="120" w:type="dxa"/>
              <w:bottom w:w="100" w:type="dxa"/>
              <w:end w:w="120" w:type="dxa"/>
            </w:tcMar>
            <w:vAlign w:val="center"/>
            <w:shd w:fill="F5F8F8"/>
          </w:tcPr>
          <w:p>
            <w:pPr>
              <w:spacing w:after="0"/>
            </w:pPr>
            <w:r>
              <w:rPr>
                <w:sz w:val="17"/>
              </w:rPr>
              <w:t>2 RGB grounding</w:t>
            </w:r>
          </w:p>
        </w:tc>
        <w:tc>
          <w:tcPr>
            <w:tcW w:type="dxa" w:w="4608"/>
            <w:tcMar>
              <w:top w:w="100" w:type="dxa"/>
              <w:start w:w="120" w:type="dxa"/>
              <w:bottom w:w="100" w:type="dxa"/>
              <w:end w:w="120" w:type="dxa"/>
            </w:tcMar>
            <w:vAlign w:val="center"/>
            <w:shd w:fill="F5F8F8"/>
          </w:tcPr>
          <w:p>
            <w:pPr>
              <w:spacing w:after="0"/>
            </w:pPr>
            <w:r>
              <w:rPr>
                <w:sz w:val="17"/>
              </w:rPr>
              <w:t>Water, vegetation, building and road masks</w:t>
            </w:r>
          </w:p>
        </w:tc>
        <w:tc>
          <w:tcPr>
            <w:tcW w:type="dxa" w:w="2880"/>
            <w:tcMar>
              <w:top w:w="100" w:type="dxa"/>
              <w:start w:w="120" w:type="dxa"/>
              <w:bottom w:w="100" w:type="dxa"/>
              <w:end w:w="120" w:type="dxa"/>
            </w:tcMar>
            <w:vAlign w:val="center"/>
            <w:shd w:fill="F5F8F8"/>
          </w:tcPr>
          <w:p>
            <w:pPr>
              <w:spacing w:after="0"/>
            </w:pPr>
            <w:r>
              <w:rPr>
                <w:sz w:val="17"/>
              </w:rPr>
              <w:t>Evidence matches held out labels</w:t>
            </w:r>
          </w:p>
        </w:tc>
      </w:tr>
      <w:tr>
        <w:trPr>
          <w:cantSplit/>
        </w:trPr>
        <w:tc>
          <w:tcPr>
            <w:tcW w:type="dxa" w:w="1728"/>
            <w:tcMar>
              <w:top w:w="100" w:type="dxa"/>
              <w:start w:w="120" w:type="dxa"/>
              <w:bottom w:w="100" w:type="dxa"/>
              <w:end w:w="120" w:type="dxa"/>
            </w:tcMar>
            <w:vAlign w:val="center"/>
          </w:tcPr>
          <w:p>
            <w:pPr>
              <w:spacing w:after="0"/>
            </w:pPr>
            <w:r>
              <w:rPr>
                <w:sz w:val="17"/>
              </w:rPr>
              <w:t>3 Temporal analysis</w:t>
            </w:r>
          </w:p>
        </w:tc>
        <w:tc>
          <w:tcPr>
            <w:tcW w:type="dxa" w:w="4608"/>
            <w:tcMar>
              <w:top w:w="100" w:type="dxa"/>
              <w:start w:w="120" w:type="dxa"/>
              <w:bottom w:w="100" w:type="dxa"/>
              <w:end w:w="120" w:type="dxa"/>
            </w:tcMar>
            <w:vAlign w:val="center"/>
          </w:tcPr>
          <w:p>
            <w:pPr>
              <w:spacing w:after="0"/>
            </w:pPr>
            <w:r>
              <w:rPr>
                <w:sz w:val="17"/>
              </w:rPr>
              <w:t>Registered before and after change map</w:t>
            </w:r>
          </w:p>
        </w:tc>
        <w:tc>
          <w:tcPr>
            <w:tcW w:type="dxa" w:w="2880"/>
            <w:tcMar>
              <w:top w:w="100" w:type="dxa"/>
              <w:start w:w="120" w:type="dxa"/>
              <w:bottom w:w="100" w:type="dxa"/>
              <w:end w:w="120" w:type="dxa"/>
            </w:tcMar>
            <w:vAlign w:val="center"/>
          </w:tcPr>
          <w:p>
            <w:pPr>
              <w:spacing w:after="0"/>
            </w:pPr>
            <w:r>
              <w:rPr>
                <w:sz w:val="17"/>
              </w:rPr>
              <w:t>Change F1 reported</w:t>
            </w:r>
          </w:p>
        </w:tc>
      </w:tr>
      <w:tr>
        <w:trPr>
          <w:cantSplit/>
        </w:trPr>
        <w:tc>
          <w:tcPr>
            <w:tcW w:type="dxa" w:w="1728"/>
            <w:tcMar>
              <w:top w:w="100" w:type="dxa"/>
              <w:start w:w="120" w:type="dxa"/>
              <w:bottom w:w="100" w:type="dxa"/>
              <w:end w:w="120" w:type="dxa"/>
            </w:tcMar>
            <w:vAlign w:val="center"/>
            <w:shd w:fill="F5F8F8"/>
          </w:tcPr>
          <w:p>
            <w:pPr>
              <w:spacing w:after="0"/>
            </w:pPr>
            <w:r>
              <w:rPr>
                <w:sz w:val="17"/>
              </w:rPr>
              <w:t>4 VQA adaptation</w:t>
            </w:r>
          </w:p>
        </w:tc>
        <w:tc>
          <w:tcPr>
            <w:tcW w:type="dxa" w:w="4608"/>
            <w:tcMar>
              <w:top w:w="100" w:type="dxa"/>
              <w:start w:w="120" w:type="dxa"/>
              <w:bottom w:w="100" w:type="dxa"/>
              <w:end w:w="120" w:type="dxa"/>
            </w:tcMar>
            <w:vAlign w:val="center"/>
            <w:shd w:fill="F5F8F8"/>
          </w:tcPr>
          <w:p>
            <w:pPr>
              <w:spacing w:after="0"/>
            </w:pPr>
            <w:r>
              <w:rPr>
                <w:sz w:val="17"/>
              </w:rPr>
              <w:t>LoRA adapted remote sensing VLM</w:t>
            </w:r>
          </w:p>
        </w:tc>
        <w:tc>
          <w:tcPr>
            <w:tcW w:type="dxa" w:w="2880"/>
            <w:tcMar>
              <w:top w:w="100" w:type="dxa"/>
              <w:start w:w="120" w:type="dxa"/>
              <w:bottom w:w="100" w:type="dxa"/>
              <w:end w:w="120" w:type="dxa"/>
            </w:tcMar>
            <w:vAlign w:val="center"/>
            <w:shd w:fill="F5F8F8"/>
          </w:tcPr>
          <w:p>
            <w:pPr>
              <w:spacing w:after="0"/>
            </w:pPr>
            <w:r>
              <w:rPr>
                <w:sz w:val="17"/>
              </w:rPr>
              <w:t>Improves over zero shot baseline</w:t>
            </w:r>
          </w:p>
        </w:tc>
      </w:tr>
      <w:tr>
        <w:trPr>
          <w:cantSplit/>
        </w:trPr>
        <w:tc>
          <w:tcPr>
            <w:tcW w:type="dxa" w:w="1728"/>
            <w:tcMar>
              <w:top w:w="100" w:type="dxa"/>
              <w:start w:w="120" w:type="dxa"/>
              <w:bottom w:w="100" w:type="dxa"/>
              <w:end w:w="120" w:type="dxa"/>
            </w:tcMar>
            <w:vAlign w:val="center"/>
          </w:tcPr>
          <w:p>
            <w:pPr>
              <w:spacing w:after="0"/>
            </w:pPr>
            <w:r>
              <w:rPr>
                <w:sz w:val="17"/>
              </w:rPr>
              <w:t>5 Optical SAR</w:t>
            </w:r>
          </w:p>
        </w:tc>
        <w:tc>
          <w:tcPr>
            <w:tcW w:type="dxa" w:w="4608"/>
            <w:tcMar>
              <w:top w:w="100" w:type="dxa"/>
              <w:start w:w="120" w:type="dxa"/>
              <w:bottom w:w="100" w:type="dxa"/>
              <w:end w:w="120" w:type="dxa"/>
            </w:tcMar>
            <w:vAlign w:val="center"/>
          </w:tcPr>
          <w:p>
            <w:pPr>
              <w:spacing w:after="0"/>
            </w:pPr>
            <w:r>
              <w:rPr>
                <w:sz w:val="17"/>
              </w:rPr>
              <w:t>Separate encoders and late fusion</w:t>
            </w:r>
          </w:p>
        </w:tc>
        <w:tc>
          <w:tcPr>
            <w:tcW w:type="dxa" w:w="2880"/>
            <w:tcMar>
              <w:top w:w="100" w:type="dxa"/>
              <w:start w:w="120" w:type="dxa"/>
              <w:bottom w:w="100" w:type="dxa"/>
              <w:end w:w="120" w:type="dxa"/>
            </w:tcMar>
            <w:vAlign w:val="center"/>
          </w:tcPr>
          <w:p>
            <w:pPr>
              <w:spacing w:after="0"/>
            </w:pPr>
            <w:r>
              <w:rPr>
                <w:sz w:val="17"/>
              </w:rPr>
              <w:t>Fusion beats at least one single modality baseline</w:t>
            </w:r>
          </w:p>
        </w:tc>
      </w:tr>
      <w:tr>
        <w:trPr>
          <w:cantSplit/>
        </w:trPr>
        <w:tc>
          <w:tcPr>
            <w:tcW w:type="dxa" w:w="1728"/>
            <w:tcMar>
              <w:top w:w="100" w:type="dxa"/>
              <w:start w:w="120" w:type="dxa"/>
              <w:bottom w:w="100" w:type="dxa"/>
              <w:end w:w="120" w:type="dxa"/>
            </w:tcMar>
            <w:vAlign w:val="center"/>
            <w:shd w:fill="F5F8F8"/>
          </w:tcPr>
          <w:p>
            <w:pPr>
              <w:spacing w:after="0"/>
            </w:pPr>
            <w:r>
              <w:rPr>
                <w:sz w:val="17"/>
              </w:rPr>
              <w:t>6 Pilot</w:t>
            </w:r>
          </w:p>
        </w:tc>
        <w:tc>
          <w:tcPr>
            <w:tcW w:type="dxa" w:w="4608"/>
            <w:tcMar>
              <w:top w:w="100" w:type="dxa"/>
              <w:start w:w="120" w:type="dxa"/>
              <w:bottom w:w="100" w:type="dxa"/>
              <w:end w:w="120" w:type="dxa"/>
            </w:tcMar>
            <w:vAlign w:val="center"/>
            <w:shd w:fill="F5F8F8"/>
          </w:tcPr>
          <w:p>
            <w:pPr>
              <w:spacing w:after="0"/>
            </w:pPr>
            <w:r>
              <w:rPr>
                <w:sz w:val="17"/>
              </w:rPr>
              <w:t>Failure cases, human review and deployment test</w:t>
            </w:r>
          </w:p>
        </w:tc>
        <w:tc>
          <w:tcPr>
            <w:tcW w:type="dxa" w:w="2880"/>
            <w:tcMar>
              <w:top w:w="100" w:type="dxa"/>
              <w:start w:w="120" w:type="dxa"/>
              <w:bottom w:w="100" w:type="dxa"/>
              <w:end w:w="120" w:type="dxa"/>
            </w:tcMar>
            <w:vAlign w:val="center"/>
            <w:shd w:fill="F5F8F8"/>
          </w:tcPr>
          <w:p>
            <w:pPr>
              <w:spacing w:after="0"/>
            </w:pPr>
            <w:r>
              <w:rPr>
                <w:sz w:val="17"/>
              </w:rPr>
              <w:t>Analyst can verify or reject results</w:t>
            </w:r>
          </w:p>
        </w:tc>
      </w:tr>
    </w:tbl>
    <w:p>
      <w:pPr>
        <w:spacing w:after="0"/>
      </w:pPr>
    </w:p>
    <w:p>
      <w:pPr>
        <w:pStyle w:val="Heading1"/>
      </w:pPr>
      <w:r>
        <w:t>9 Estimated Cost</w:t>
      </w:r>
    </w:p>
    <w:p>
      <w:r>
        <w:t>The following figures are planning estimates in Indian rupees, not vendor quotations. They assume open datasets and models, an existing student laptop, one modest cloud GPU for experiments, and a small web demonstration. Commercial satellite imagery, salaries and production security can change the total substantially.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trPr>
        <w:tc>
          <w:tcPr>
            <w:tcW w:type="dxa" w:w="1944"/>
            <w:shd w:fill="123B4A"/>
            <w:tcMar>
              <w:top w:w="100" w:type="dxa"/>
              <w:start w:w="120" w:type="dxa"/>
              <w:bottom w:w="100" w:type="dxa"/>
              <w:end w:w="120" w:type="dxa"/>
            </w:tcMar>
            <w:vAlign w:val="center"/>
          </w:tcPr>
          <w:p>
            <w:r>
              <w:rPr>
                <w:b/>
                <w:color w:val="FFFFFF"/>
                <w:sz w:val="18"/>
              </w:rPr>
              <w:t>Cost item</w:t>
            </w:r>
          </w:p>
        </w:tc>
        <w:tc>
          <w:tcPr>
            <w:tcW w:type="dxa" w:w="1728"/>
            <w:shd w:fill="123B4A"/>
            <w:tcMar>
              <w:top w:w="100" w:type="dxa"/>
              <w:start w:w="120" w:type="dxa"/>
              <w:bottom w:w="100" w:type="dxa"/>
              <w:end w:w="120" w:type="dxa"/>
            </w:tcMar>
            <w:vAlign w:val="center"/>
          </w:tcPr>
          <w:p>
            <w:r>
              <w:rPr>
                <w:b/>
                <w:color w:val="FFFFFF"/>
                <w:sz w:val="18"/>
              </w:rPr>
              <w:t>Hackathon MVP</w:t>
            </w:r>
          </w:p>
        </w:tc>
        <w:tc>
          <w:tcPr>
            <w:tcW w:type="dxa" w:w="2088"/>
            <w:shd w:fill="123B4A"/>
            <w:tcMar>
              <w:top w:w="100" w:type="dxa"/>
              <w:start w:w="120" w:type="dxa"/>
              <w:bottom w:w="100" w:type="dxa"/>
              <w:end w:w="120" w:type="dxa"/>
            </w:tcMar>
            <w:vAlign w:val="center"/>
          </w:tcPr>
          <w:p>
            <w:r>
              <w:rPr>
                <w:b/>
                <w:color w:val="FFFFFF"/>
                <w:sz w:val="18"/>
              </w:rPr>
              <w:t>Three to six month pilot</w:t>
            </w:r>
          </w:p>
        </w:tc>
        <w:tc>
          <w:tcPr>
            <w:tcW w:type="dxa" w:w="3456"/>
            <w:shd w:fill="123B4A"/>
            <w:tcMar>
              <w:top w:w="100" w:type="dxa"/>
              <w:start w:w="120" w:type="dxa"/>
              <w:bottom w:w="100" w:type="dxa"/>
              <w:end w:w="120" w:type="dxa"/>
            </w:tcMar>
            <w:vAlign w:val="center"/>
          </w:tcPr>
          <w:p>
            <w:r>
              <w:rPr>
                <w:b/>
                <w:color w:val="FFFFFF"/>
                <w:sz w:val="18"/>
              </w:rPr>
              <w:t>Assumption</w:t>
            </w:r>
          </w:p>
        </w:tc>
      </w:tr>
      <w:tr>
        <w:trPr>
          <w:cantSplit/>
        </w:trPr>
        <w:tc>
          <w:tcPr>
            <w:tcW w:type="dxa" w:w="1944"/>
            <w:tcMar>
              <w:top w:w="100" w:type="dxa"/>
              <w:start w:w="120" w:type="dxa"/>
              <w:bottom w:w="100" w:type="dxa"/>
              <w:end w:w="120" w:type="dxa"/>
            </w:tcMar>
            <w:vAlign w:val="center"/>
          </w:tcPr>
          <w:p>
            <w:pPr>
              <w:spacing w:after="0"/>
            </w:pPr>
            <w:r>
              <w:rPr>
                <w:sz w:val="17"/>
              </w:rPr>
              <w:t>Open datasets and models</w:t>
            </w:r>
          </w:p>
        </w:tc>
        <w:tc>
          <w:tcPr>
            <w:tcW w:type="dxa" w:w="1728"/>
            <w:tcMar>
              <w:top w:w="100" w:type="dxa"/>
              <w:start w:w="120" w:type="dxa"/>
              <w:bottom w:w="100" w:type="dxa"/>
              <w:end w:w="120" w:type="dxa"/>
            </w:tcMar>
            <w:vAlign w:val="center"/>
          </w:tcPr>
          <w:p>
            <w:pPr>
              <w:spacing w:after="0"/>
            </w:pPr>
            <w:r>
              <w:rPr>
                <w:sz w:val="17"/>
              </w:rPr>
              <w:t>Rs 0</w:t>
            </w:r>
          </w:p>
        </w:tc>
        <w:tc>
          <w:tcPr>
            <w:tcW w:type="dxa" w:w="2088"/>
            <w:tcMar>
              <w:top w:w="100" w:type="dxa"/>
              <w:start w:w="120" w:type="dxa"/>
              <w:bottom w:w="100" w:type="dxa"/>
              <w:end w:w="120" w:type="dxa"/>
            </w:tcMar>
            <w:vAlign w:val="center"/>
          </w:tcPr>
          <w:p>
            <w:pPr>
              <w:spacing w:after="0"/>
            </w:pPr>
            <w:r>
              <w:rPr>
                <w:sz w:val="17"/>
              </w:rPr>
              <w:t>Rs 0 to 50,000</w:t>
            </w:r>
          </w:p>
        </w:tc>
        <w:tc>
          <w:tcPr>
            <w:tcW w:type="dxa" w:w="3456"/>
            <w:tcMar>
              <w:top w:w="100" w:type="dxa"/>
              <w:start w:w="120" w:type="dxa"/>
              <w:bottom w:w="100" w:type="dxa"/>
              <w:end w:w="120" w:type="dxa"/>
            </w:tcMar>
            <w:vAlign w:val="center"/>
          </w:tcPr>
          <w:p>
            <w:pPr>
              <w:spacing w:after="0"/>
            </w:pPr>
            <w:r>
              <w:rPr>
                <w:sz w:val="17"/>
              </w:rPr>
              <w:t>Licence review and data preparation may require effort</w:t>
            </w:r>
          </w:p>
        </w:tc>
      </w:tr>
      <w:tr>
        <w:trPr>
          <w:cantSplit/>
        </w:trPr>
        <w:tc>
          <w:tcPr>
            <w:tcW w:type="dxa" w:w="1944"/>
            <w:tcMar>
              <w:top w:w="100" w:type="dxa"/>
              <w:start w:w="120" w:type="dxa"/>
              <w:bottom w:w="100" w:type="dxa"/>
              <w:end w:w="120" w:type="dxa"/>
            </w:tcMar>
            <w:vAlign w:val="center"/>
            <w:shd w:fill="F5F8F8"/>
          </w:tcPr>
          <w:p>
            <w:pPr>
              <w:spacing w:after="0"/>
            </w:pPr>
            <w:r>
              <w:rPr>
                <w:sz w:val="17"/>
              </w:rPr>
              <w:t>GPU experimentation</w:t>
            </w:r>
          </w:p>
        </w:tc>
        <w:tc>
          <w:tcPr>
            <w:tcW w:type="dxa" w:w="1728"/>
            <w:tcMar>
              <w:top w:w="100" w:type="dxa"/>
              <w:start w:w="120" w:type="dxa"/>
              <w:bottom w:w="100" w:type="dxa"/>
              <w:end w:w="120" w:type="dxa"/>
            </w:tcMar>
            <w:vAlign w:val="center"/>
            <w:shd w:fill="F5F8F8"/>
          </w:tcPr>
          <w:p>
            <w:pPr>
              <w:spacing w:after="0"/>
            </w:pPr>
            <w:r>
              <w:rPr>
                <w:sz w:val="17"/>
              </w:rPr>
              <w:t>Rs 8,000 to 45,000</w:t>
            </w:r>
          </w:p>
        </w:tc>
        <w:tc>
          <w:tcPr>
            <w:tcW w:type="dxa" w:w="2088"/>
            <w:tcMar>
              <w:top w:w="100" w:type="dxa"/>
              <w:start w:w="120" w:type="dxa"/>
              <w:bottom w:w="100" w:type="dxa"/>
              <w:end w:w="120" w:type="dxa"/>
            </w:tcMar>
            <w:vAlign w:val="center"/>
            <w:shd w:fill="F5F8F8"/>
          </w:tcPr>
          <w:p>
            <w:pPr>
              <w:spacing w:after="0"/>
            </w:pPr>
            <w:r>
              <w:rPr>
                <w:sz w:val="17"/>
              </w:rPr>
              <w:t>Rs 1.5 to 6 lakh</w:t>
            </w:r>
          </w:p>
        </w:tc>
        <w:tc>
          <w:tcPr>
            <w:tcW w:type="dxa" w:w="3456"/>
            <w:tcMar>
              <w:top w:w="100" w:type="dxa"/>
              <w:start w:w="120" w:type="dxa"/>
              <w:bottom w:w="100" w:type="dxa"/>
              <w:end w:w="120" w:type="dxa"/>
            </w:tcMar>
            <w:vAlign w:val="center"/>
            <w:shd w:fill="F5F8F8"/>
          </w:tcPr>
          <w:p>
            <w:pPr>
              <w:spacing w:after="0"/>
            </w:pPr>
            <w:r>
              <w:rPr>
                <w:sz w:val="17"/>
              </w:rPr>
              <w:t>Quantized inference and LoRA, not full foundation training</w:t>
            </w:r>
          </w:p>
        </w:tc>
      </w:tr>
      <w:tr>
        <w:trPr>
          <w:cantSplit/>
        </w:trPr>
        <w:tc>
          <w:tcPr>
            <w:tcW w:type="dxa" w:w="1944"/>
            <w:tcMar>
              <w:top w:w="100" w:type="dxa"/>
              <w:start w:w="120" w:type="dxa"/>
              <w:bottom w:w="100" w:type="dxa"/>
              <w:end w:w="120" w:type="dxa"/>
            </w:tcMar>
            <w:vAlign w:val="center"/>
          </w:tcPr>
          <w:p>
            <w:pPr>
              <w:spacing w:after="0"/>
            </w:pPr>
            <w:r>
              <w:rPr>
                <w:sz w:val="17"/>
              </w:rPr>
              <w:t>Storage and backups</w:t>
            </w:r>
          </w:p>
        </w:tc>
        <w:tc>
          <w:tcPr>
            <w:tcW w:type="dxa" w:w="1728"/>
            <w:tcMar>
              <w:top w:w="100" w:type="dxa"/>
              <w:start w:w="120" w:type="dxa"/>
              <w:bottom w:w="100" w:type="dxa"/>
              <w:end w:w="120" w:type="dxa"/>
            </w:tcMar>
            <w:vAlign w:val="center"/>
          </w:tcPr>
          <w:p>
            <w:pPr>
              <w:spacing w:after="0"/>
            </w:pPr>
            <w:r>
              <w:rPr>
                <w:sz w:val="17"/>
              </w:rPr>
              <w:t>Rs 1,000 to 5,000</w:t>
            </w:r>
          </w:p>
        </w:tc>
        <w:tc>
          <w:tcPr>
            <w:tcW w:type="dxa" w:w="2088"/>
            <w:tcMar>
              <w:top w:w="100" w:type="dxa"/>
              <w:start w:w="120" w:type="dxa"/>
              <w:bottom w:w="100" w:type="dxa"/>
              <w:end w:w="120" w:type="dxa"/>
            </w:tcMar>
            <w:vAlign w:val="center"/>
          </w:tcPr>
          <w:p>
            <w:pPr>
              <w:spacing w:after="0"/>
            </w:pPr>
            <w:r>
              <w:rPr>
                <w:sz w:val="17"/>
              </w:rPr>
              <w:t>Rs 20,000 to 1 lakh</w:t>
            </w:r>
          </w:p>
        </w:tc>
        <w:tc>
          <w:tcPr>
            <w:tcW w:type="dxa" w:w="3456"/>
            <w:tcMar>
              <w:top w:w="100" w:type="dxa"/>
              <w:start w:w="120" w:type="dxa"/>
              <w:bottom w:w="100" w:type="dxa"/>
              <w:end w:w="120" w:type="dxa"/>
            </w:tcMar>
            <w:vAlign w:val="center"/>
          </w:tcPr>
          <w:p>
            <w:pPr>
              <w:spacing w:after="0"/>
            </w:pPr>
            <w:r>
              <w:rPr>
                <w:sz w:val="17"/>
              </w:rPr>
              <w:t>Hundreds of GB to several TB</w:t>
            </w:r>
          </w:p>
        </w:tc>
      </w:tr>
      <w:tr>
        <w:trPr>
          <w:cantSplit/>
        </w:trPr>
        <w:tc>
          <w:tcPr>
            <w:tcW w:type="dxa" w:w="1944"/>
            <w:tcMar>
              <w:top w:w="100" w:type="dxa"/>
              <w:start w:w="120" w:type="dxa"/>
              <w:bottom w:w="100" w:type="dxa"/>
              <w:end w:w="120" w:type="dxa"/>
            </w:tcMar>
            <w:vAlign w:val="center"/>
            <w:shd w:fill="F5F8F8"/>
          </w:tcPr>
          <w:p>
            <w:pPr>
              <w:spacing w:after="0"/>
            </w:pPr>
            <w:r>
              <w:rPr>
                <w:sz w:val="17"/>
              </w:rPr>
              <w:t>Web hosting and domain</w:t>
            </w:r>
          </w:p>
        </w:tc>
        <w:tc>
          <w:tcPr>
            <w:tcW w:type="dxa" w:w="1728"/>
            <w:tcMar>
              <w:top w:w="100" w:type="dxa"/>
              <w:start w:w="120" w:type="dxa"/>
              <w:bottom w:w="100" w:type="dxa"/>
              <w:end w:w="120" w:type="dxa"/>
            </w:tcMar>
            <w:vAlign w:val="center"/>
            <w:shd w:fill="F5F8F8"/>
          </w:tcPr>
          <w:p>
            <w:pPr>
              <w:spacing w:after="0"/>
            </w:pPr>
            <w:r>
              <w:rPr>
                <w:sz w:val="17"/>
              </w:rPr>
              <w:t>Rs 0 to 5,000</w:t>
            </w:r>
          </w:p>
        </w:tc>
        <w:tc>
          <w:tcPr>
            <w:tcW w:type="dxa" w:w="2088"/>
            <w:tcMar>
              <w:top w:w="100" w:type="dxa"/>
              <w:start w:w="120" w:type="dxa"/>
              <w:bottom w:w="100" w:type="dxa"/>
              <w:end w:w="120" w:type="dxa"/>
            </w:tcMar>
            <w:vAlign w:val="center"/>
            <w:shd w:fill="F5F8F8"/>
          </w:tcPr>
          <w:p>
            <w:pPr>
              <w:spacing w:after="0"/>
            </w:pPr>
            <w:r>
              <w:rPr>
                <w:sz w:val="17"/>
              </w:rPr>
              <w:t>Rs 30,000 to 1.5 lakh</w:t>
            </w:r>
          </w:p>
        </w:tc>
        <w:tc>
          <w:tcPr>
            <w:tcW w:type="dxa" w:w="3456"/>
            <w:tcMar>
              <w:top w:w="100" w:type="dxa"/>
              <w:start w:w="120" w:type="dxa"/>
              <w:bottom w:w="100" w:type="dxa"/>
              <w:end w:w="120" w:type="dxa"/>
            </w:tcMar>
            <w:vAlign w:val="center"/>
            <w:shd w:fill="F5F8F8"/>
          </w:tcPr>
          <w:p>
            <w:pPr>
              <w:spacing w:after="0"/>
            </w:pPr>
            <w:r>
              <w:rPr>
                <w:sz w:val="17"/>
              </w:rPr>
              <w:t>Small demo versus secured service</w:t>
            </w:r>
          </w:p>
        </w:tc>
      </w:tr>
      <w:tr>
        <w:trPr>
          <w:cantSplit/>
        </w:trPr>
        <w:tc>
          <w:tcPr>
            <w:tcW w:type="dxa" w:w="1944"/>
            <w:tcMar>
              <w:top w:w="100" w:type="dxa"/>
              <w:start w:w="120" w:type="dxa"/>
              <w:bottom w:w="100" w:type="dxa"/>
              <w:end w:w="120" w:type="dxa"/>
            </w:tcMar>
            <w:vAlign w:val="center"/>
          </w:tcPr>
          <w:p>
            <w:pPr>
              <w:spacing w:after="0"/>
            </w:pPr>
            <w:r>
              <w:rPr>
                <w:sz w:val="17"/>
              </w:rPr>
              <w:t>Engineering labour</w:t>
            </w:r>
          </w:p>
        </w:tc>
        <w:tc>
          <w:tcPr>
            <w:tcW w:type="dxa" w:w="1728"/>
            <w:tcMar>
              <w:top w:w="100" w:type="dxa"/>
              <w:start w:w="120" w:type="dxa"/>
              <w:bottom w:w="100" w:type="dxa"/>
              <w:end w:w="120" w:type="dxa"/>
            </w:tcMar>
            <w:vAlign w:val="center"/>
          </w:tcPr>
          <w:p>
            <w:pPr>
              <w:spacing w:after="0"/>
            </w:pPr>
            <w:r>
              <w:rPr>
                <w:sz w:val="17"/>
              </w:rPr>
              <w:t>Student contribution</w:t>
            </w:r>
          </w:p>
        </w:tc>
        <w:tc>
          <w:tcPr>
            <w:tcW w:type="dxa" w:w="2088"/>
            <w:tcMar>
              <w:top w:w="100" w:type="dxa"/>
              <w:start w:w="120" w:type="dxa"/>
              <w:bottom w:w="100" w:type="dxa"/>
              <w:end w:w="120" w:type="dxa"/>
            </w:tcMar>
            <w:vAlign w:val="center"/>
          </w:tcPr>
          <w:p>
            <w:pPr>
              <w:spacing w:after="0"/>
            </w:pPr>
            <w:r>
              <w:rPr>
                <w:sz w:val="17"/>
              </w:rPr>
              <w:t>Rs 12 to 35 lakh</w:t>
            </w:r>
          </w:p>
        </w:tc>
        <w:tc>
          <w:tcPr>
            <w:tcW w:type="dxa" w:w="3456"/>
            <w:tcMar>
              <w:top w:w="100" w:type="dxa"/>
              <w:start w:w="120" w:type="dxa"/>
              <w:bottom w:w="100" w:type="dxa"/>
              <w:end w:w="120" w:type="dxa"/>
            </w:tcMar>
            <w:vAlign w:val="center"/>
          </w:tcPr>
          <w:p>
            <w:pPr>
              <w:spacing w:after="0"/>
            </w:pPr>
            <w:r>
              <w:rPr>
                <w:sz w:val="17"/>
              </w:rPr>
              <w:t>Four to six people depending on rates and duration</w:t>
            </w:r>
          </w:p>
        </w:tc>
      </w:tr>
      <w:tr>
        <w:trPr>
          <w:cantSplit/>
        </w:trPr>
        <w:tc>
          <w:tcPr>
            <w:tcW w:type="dxa" w:w="1944"/>
            <w:tcMar>
              <w:top w:w="100" w:type="dxa"/>
              <w:start w:w="120" w:type="dxa"/>
              <w:bottom w:w="100" w:type="dxa"/>
              <w:end w:w="120" w:type="dxa"/>
            </w:tcMar>
            <w:vAlign w:val="center"/>
            <w:shd w:fill="F5F8F8"/>
          </w:tcPr>
          <w:p>
            <w:pPr>
              <w:spacing w:after="0"/>
            </w:pPr>
            <w:r>
              <w:rPr>
                <w:sz w:val="17"/>
              </w:rPr>
              <w:t>Commercial imagery</w:t>
            </w:r>
          </w:p>
        </w:tc>
        <w:tc>
          <w:tcPr>
            <w:tcW w:type="dxa" w:w="1728"/>
            <w:tcMar>
              <w:top w:w="100" w:type="dxa"/>
              <w:start w:w="120" w:type="dxa"/>
              <w:bottom w:w="100" w:type="dxa"/>
              <w:end w:w="120" w:type="dxa"/>
            </w:tcMar>
            <w:vAlign w:val="center"/>
            <w:shd w:fill="F5F8F8"/>
          </w:tcPr>
          <w:p>
            <w:pPr>
              <w:spacing w:after="0"/>
            </w:pPr>
            <w:r>
              <w:rPr>
                <w:sz w:val="17"/>
              </w:rPr>
              <w:t>Avoid for MVP</w:t>
            </w:r>
          </w:p>
        </w:tc>
        <w:tc>
          <w:tcPr>
            <w:tcW w:type="dxa" w:w="2088"/>
            <w:tcMar>
              <w:top w:w="100" w:type="dxa"/>
              <w:start w:w="120" w:type="dxa"/>
              <w:bottom w:w="100" w:type="dxa"/>
              <w:end w:w="120" w:type="dxa"/>
            </w:tcMar>
            <w:vAlign w:val="center"/>
            <w:shd w:fill="F5F8F8"/>
          </w:tcPr>
          <w:p>
            <w:pPr>
              <w:spacing w:after="0"/>
            </w:pPr>
            <w:r>
              <w:rPr>
                <w:sz w:val="17"/>
              </w:rPr>
              <w:t>Rs 0 to several lakh</w:t>
            </w:r>
          </w:p>
        </w:tc>
        <w:tc>
          <w:tcPr>
            <w:tcW w:type="dxa" w:w="3456"/>
            <w:tcMar>
              <w:top w:w="100" w:type="dxa"/>
              <w:start w:w="120" w:type="dxa"/>
              <w:bottom w:w="100" w:type="dxa"/>
              <w:end w:w="120" w:type="dxa"/>
            </w:tcMar>
            <w:vAlign w:val="center"/>
            <w:shd w:fill="F5F8F8"/>
          </w:tcPr>
          <w:p>
            <w:pPr>
              <w:spacing w:after="0"/>
            </w:pPr>
            <w:r>
              <w:rPr>
                <w:sz w:val="17"/>
              </w:rPr>
              <w:t>Use ISRO or licensed data; provider pricing varies</w:t>
            </w:r>
          </w:p>
        </w:tc>
      </w:tr>
      <w:tr>
        <w:trPr>
          <w:cantSplit/>
        </w:trPr>
        <w:tc>
          <w:tcPr>
            <w:tcW w:type="dxa" w:w="1944"/>
            <w:tcMar>
              <w:top w:w="100" w:type="dxa"/>
              <w:start w:w="120" w:type="dxa"/>
              <w:bottom w:w="100" w:type="dxa"/>
              <w:end w:w="120" w:type="dxa"/>
            </w:tcMar>
            <w:vAlign w:val="center"/>
          </w:tcPr>
          <w:p>
            <w:pPr>
              <w:spacing w:after="0"/>
            </w:pPr>
            <w:r>
              <w:rPr>
                <w:sz w:val="17"/>
              </w:rPr>
              <w:t>Estimated total</w:t>
            </w:r>
          </w:p>
        </w:tc>
        <w:tc>
          <w:tcPr>
            <w:tcW w:type="dxa" w:w="1728"/>
            <w:tcMar>
              <w:top w:w="100" w:type="dxa"/>
              <w:start w:w="120" w:type="dxa"/>
              <w:bottom w:w="100" w:type="dxa"/>
              <w:end w:w="120" w:type="dxa"/>
            </w:tcMar>
            <w:vAlign w:val="center"/>
          </w:tcPr>
          <w:p>
            <w:pPr>
              <w:spacing w:after="0"/>
            </w:pPr>
            <w:r>
              <w:rPr>
                <w:sz w:val="17"/>
              </w:rPr>
              <w:t>Rs 10,000 to 60,000</w:t>
            </w:r>
          </w:p>
        </w:tc>
        <w:tc>
          <w:tcPr>
            <w:tcW w:type="dxa" w:w="2088"/>
            <w:tcMar>
              <w:top w:w="100" w:type="dxa"/>
              <w:start w:w="120" w:type="dxa"/>
              <w:bottom w:w="100" w:type="dxa"/>
              <w:end w:w="120" w:type="dxa"/>
            </w:tcMar>
            <w:vAlign w:val="center"/>
          </w:tcPr>
          <w:p>
            <w:pPr>
              <w:spacing w:after="0"/>
            </w:pPr>
            <w:r>
              <w:rPr>
                <w:sz w:val="17"/>
              </w:rPr>
              <w:t>Rs 15 to 45 lakh plus imagery</w:t>
            </w:r>
          </w:p>
        </w:tc>
        <w:tc>
          <w:tcPr>
            <w:tcW w:type="dxa" w:w="3456"/>
            <w:tcMar>
              <w:top w:w="100" w:type="dxa"/>
              <w:start w:w="120" w:type="dxa"/>
              <w:bottom w:w="100" w:type="dxa"/>
              <w:end w:w="120" w:type="dxa"/>
            </w:tcMar>
            <w:vAlign w:val="center"/>
          </w:tcPr>
          <w:p>
            <w:pPr>
              <w:spacing w:after="0"/>
            </w:pPr>
            <w:r>
              <w:rPr>
                <w:sz w:val="17"/>
              </w:rPr>
              <w:t>Excludes production scale operations</w:t>
            </w:r>
          </w:p>
        </w:tc>
      </w:tr>
    </w:tbl>
    <w:p>
      <w:pPr>
        <w:spacing w:after="0"/>
      </w:pPr>
    </w:p>
    <w:p>
      <w:pPr>
        <w:pStyle w:val="Heading1"/>
      </w:pPr>
      <w:r>
        <w:t>10 Users and Future Applications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448"/>
            <w:shd w:fill="123B4A"/>
            <w:tcMar>
              <w:top w:w="100" w:type="dxa"/>
              <w:start w:w="120" w:type="dxa"/>
              <w:bottom w:w="100" w:type="dxa"/>
              <w:end w:w="120" w:type="dxa"/>
            </w:tcMar>
            <w:vAlign w:val="center"/>
          </w:tcPr>
          <w:p>
            <w:r>
              <w:rPr>
                <w:b/>
                <w:color w:val="FFFFFF"/>
                <w:sz w:val="18"/>
              </w:rPr>
              <w:t>User</w:t>
            </w:r>
          </w:p>
        </w:tc>
        <w:tc>
          <w:tcPr>
            <w:tcW w:type="dxa" w:w="3600"/>
            <w:shd w:fill="123B4A"/>
            <w:tcMar>
              <w:top w:w="100" w:type="dxa"/>
              <w:start w:w="120" w:type="dxa"/>
              <w:bottom w:w="100" w:type="dxa"/>
              <w:end w:w="120" w:type="dxa"/>
            </w:tcMar>
            <w:vAlign w:val="center"/>
          </w:tcPr>
          <w:p>
            <w:r>
              <w:rPr>
                <w:b/>
                <w:color w:val="FFFFFF"/>
                <w:sz w:val="18"/>
              </w:rPr>
              <w:t>Application</w:t>
            </w:r>
          </w:p>
        </w:tc>
        <w:tc>
          <w:tcPr>
            <w:tcW w:type="dxa" w:w="3168"/>
            <w:shd w:fill="123B4A"/>
            <w:tcMar>
              <w:top w:w="100" w:type="dxa"/>
              <w:start w:w="120" w:type="dxa"/>
              <w:bottom w:w="100" w:type="dxa"/>
              <w:end w:w="120" w:type="dxa"/>
            </w:tcMar>
            <w:vAlign w:val="center"/>
          </w:tcPr>
          <w:p>
            <w:r>
              <w:rPr>
                <w:b/>
                <w:color w:val="FFFFFF"/>
                <w:sz w:val="18"/>
              </w:rPr>
              <w:t>Example question</w:t>
            </w:r>
          </w:p>
        </w:tc>
      </w:tr>
      <w:tr>
        <w:trPr>
          <w:cantSplit/>
        </w:trPr>
        <w:tc>
          <w:tcPr>
            <w:tcW w:type="dxa" w:w="2448"/>
            <w:tcMar>
              <w:top w:w="100" w:type="dxa"/>
              <w:start w:w="120" w:type="dxa"/>
              <w:bottom w:w="100" w:type="dxa"/>
              <w:end w:w="120" w:type="dxa"/>
            </w:tcMar>
            <w:vAlign w:val="center"/>
          </w:tcPr>
          <w:p>
            <w:pPr>
              <w:spacing w:after="0"/>
            </w:pPr>
            <w:r>
              <w:rPr>
                <w:sz w:val="17"/>
              </w:rPr>
              <w:t>ISRO and remote sensing centres</w:t>
            </w:r>
          </w:p>
        </w:tc>
        <w:tc>
          <w:tcPr>
            <w:tcW w:type="dxa" w:w="3600"/>
            <w:tcMar>
              <w:top w:w="100" w:type="dxa"/>
              <w:start w:w="120" w:type="dxa"/>
              <w:bottom w:w="100" w:type="dxa"/>
              <w:end w:w="120" w:type="dxa"/>
            </w:tcMar>
            <w:vAlign w:val="center"/>
          </w:tcPr>
          <w:p>
            <w:pPr>
              <w:spacing w:after="0"/>
            </w:pPr>
            <w:r>
              <w:rPr>
                <w:sz w:val="17"/>
              </w:rPr>
              <w:t>Image interpretation and evaluation</w:t>
            </w:r>
          </w:p>
        </w:tc>
        <w:tc>
          <w:tcPr>
            <w:tcW w:type="dxa" w:w="3168"/>
            <w:tcMar>
              <w:top w:w="100" w:type="dxa"/>
              <w:start w:w="120" w:type="dxa"/>
              <w:bottom w:w="100" w:type="dxa"/>
              <w:end w:w="120" w:type="dxa"/>
            </w:tcMar>
            <w:vAlign w:val="center"/>
          </w:tcPr>
          <w:p>
            <w:pPr>
              <w:spacing w:after="0"/>
            </w:pPr>
            <w:r>
              <w:rPr>
                <w:sz w:val="17"/>
              </w:rPr>
              <w:t>Where is inland water visible?</w:t>
            </w:r>
          </w:p>
        </w:tc>
      </w:tr>
      <w:tr>
        <w:trPr>
          <w:cantSplit/>
        </w:trPr>
        <w:tc>
          <w:tcPr>
            <w:tcW w:type="dxa" w:w="2448"/>
            <w:tcMar>
              <w:top w:w="100" w:type="dxa"/>
              <w:start w:w="120" w:type="dxa"/>
              <w:bottom w:w="100" w:type="dxa"/>
              <w:end w:w="120" w:type="dxa"/>
            </w:tcMar>
            <w:vAlign w:val="center"/>
            <w:shd w:fill="F5F8F8"/>
          </w:tcPr>
          <w:p>
            <w:pPr>
              <w:spacing w:after="0"/>
            </w:pPr>
            <w:r>
              <w:rPr>
                <w:sz w:val="17"/>
              </w:rPr>
              <w:t>Disaster authorities</w:t>
            </w:r>
          </w:p>
        </w:tc>
        <w:tc>
          <w:tcPr>
            <w:tcW w:type="dxa" w:w="3600"/>
            <w:tcMar>
              <w:top w:w="100" w:type="dxa"/>
              <w:start w:w="120" w:type="dxa"/>
              <w:bottom w:w="100" w:type="dxa"/>
              <w:end w:w="120" w:type="dxa"/>
            </w:tcMar>
            <w:vAlign w:val="center"/>
            <w:shd w:fill="F5F8F8"/>
          </w:tcPr>
          <w:p>
            <w:pPr>
              <w:spacing w:after="0"/>
            </w:pPr>
            <w:r>
              <w:rPr>
                <w:sz w:val="17"/>
              </w:rPr>
              <w:t>Flood, fire and landslide screening</w:t>
            </w:r>
          </w:p>
        </w:tc>
        <w:tc>
          <w:tcPr>
            <w:tcW w:type="dxa" w:w="3168"/>
            <w:tcMar>
              <w:top w:w="100" w:type="dxa"/>
              <w:start w:w="120" w:type="dxa"/>
              <w:bottom w:w="100" w:type="dxa"/>
              <w:end w:w="120" w:type="dxa"/>
            </w:tcMar>
            <w:vAlign w:val="center"/>
            <w:shd w:fill="F5F8F8"/>
          </w:tcPr>
          <w:p>
            <w:pPr>
              <w:spacing w:after="0"/>
            </w:pPr>
            <w:r>
              <w:rPr>
                <w:sz w:val="17"/>
              </w:rPr>
              <w:t>Which regions changed after the flood?</w:t>
            </w:r>
          </w:p>
        </w:tc>
      </w:tr>
      <w:tr>
        <w:trPr>
          <w:cantSplit/>
        </w:trPr>
        <w:tc>
          <w:tcPr>
            <w:tcW w:type="dxa" w:w="2448"/>
            <w:tcMar>
              <w:top w:w="100" w:type="dxa"/>
              <w:start w:w="120" w:type="dxa"/>
              <w:bottom w:w="100" w:type="dxa"/>
              <w:end w:w="120" w:type="dxa"/>
            </w:tcMar>
            <w:vAlign w:val="center"/>
          </w:tcPr>
          <w:p>
            <w:pPr>
              <w:spacing w:after="0"/>
            </w:pPr>
            <w:r>
              <w:rPr>
                <w:sz w:val="17"/>
              </w:rPr>
              <w:t>Agriculture departments</w:t>
            </w:r>
          </w:p>
        </w:tc>
        <w:tc>
          <w:tcPr>
            <w:tcW w:type="dxa" w:w="3600"/>
            <w:tcMar>
              <w:top w:w="100" w:type="dxa"/>
              <w:start w:w="120" w:type="dxa"/>
              <w:bottom w:w="100" w:type="dxa"/>
              <w:end w:w="120" w:type="dxa"/>
            </w:tcMar>
            <w:vAlign w:val="center"/>
          </w:tcPr>
          <w:p>
            <w:pPr>
              <w:spacing w:after="0"/>
            </w:pPr>
            <w:r>
              <w:rPr>
                <w:sz w:val="17"/>
              </w:rPr>
              <w:t>Crop stress, acreage and flood impact</w:t>
            </w:r>
          </w:p>
        </w:tc>
        <w:tc>
          <w:tcPr>
            <w:tcW w:type="dxa" w:w="3168"/>
            <w:tcMar>
              <w:top w:w="100" w:type="dxa"/>
              <w:start w:w="120" w:type="dxa"/>
              <w:bottom w:w="100" w:type="dxa"/>
              <w:end w:w="120" w:type="dxa"/>
            </w:tcMar>
            <w:vAlign w:val="center"/>
          </w:tcPr>
          <w:p>
            <w:pPr>
              <w:spacing w:after="0"/>
            </w:pPr>
            <w:r>
              <w:rPr>
                <w:sz w:val="17"/>
              </w:rPr>
              <w:t>Which fields show reduced vegetation?</w:t>
            </w:r>
          </w:p>
        </w:tc>
      </w:tr>
      <w:tr>
        <w:trPr>
          <w:cantSplit/>
        </w:trPr>
        <w:tc>
          <w:tcPr>
            <w:tcW w:type="dxa" w:w="2448"/>
            <w:tcMar>
              <w:top w:w="100" w:type="dxa"/>
              <w:start w:w="120" w:type="dxa"/>
              <w:bottom w:w="100" w:type="dxa"/>
              <w:end w:w="120" w:type="dxa"/>
            </w:tcMar>
            <w:vAlign w:val="center"/>
            <w:shd w:fill="F5F8F8"/>
          </w:tcPr>
          <w:p>
            <w:pPr>
              <w:spacing w:after="0"/>
            </w:pPr>
            <w:r>
              <w:rPr>
                <w:sz w:val="17"/>
              </w:rPr>
              <w:t>Forest departments</w:t>
            </w:r>
          </w:p>
        </w:tc>
        <w:tc>
          <w:tcPr>
            <w:tcW w:type="dxa" w:w="3600"/>
            <w:tcMar>
              <w:top w:w="100" w:type="dxa"/>
              <w:start w:w="120" w:type="dxa"/>
              <w:bottom w:w="100" w:type="dxa"/>
              <w:end w:w="120" w:type="dxa"/>
            </w:tcMar>
            <w:vAlign w:val="center"/>
            <w:shd w:fill="F5F8F8"/>
          </w:tcPr>
          <w:p>
            <w:pPr>
              <w:spacing w:after="0"/>
            </w:pPr>
            <w:r>
              <w:rPr>
                <w:sz w:val="17"/>
              </w:rPr>
              <w:t>Deforestation, fire recovery and encroachment</w:t>
            </w:r>
          </w:p>
        </w:tc>
        <w:tc>
          <w:tcPr>
            <w:tcW w:type="dxa" w:w="3168"/>
            <w:tcMar>
              <w:top w:w="100" w:type="dxa"/>
              <w:start w:w="120" w:type="dxa"/>
              <w:bottom w:w="100" w:type="dxa"/>
              <w:end w:w="120" w:type="dxa"/>
            </w:tcMar>
            <w:vAlign w:val="center"/>
            <w:shd w:fill="F5F8F8"/>
          </w:tcPr>
          <w:p>
            <w:pPr>
              <w:spacing w:after="0"/>
            </w:pPr>
            <w:r>
              <w:rPr>
                <w:sz w:val="17"/>
              </w:rPr>
              <w:t>Highlight new clearings.</w:t>
            </w:r>
          </w:p>
        </w:tc>
      </w:tr>
      <w:tr>
        <w:trPr>
          <w:cantSplit/>
        </w:trPr>
        <w:tc>
          <w:tcPr>
            <w:tcW w:type="dxa" w:w="2448"/>
            <w:tcMar>
              <w:top w:w="100" w:type="dxa"/>
              <w:start w:w="120" w:type="dxa"/>
              <w:bottom w:w="100" w:type="dxa"/>
              <w:end w:w="120" w:type="dxa"/>
            </w:tcMar>
            <w:vAlign w:val="center"/>
          </w:tcPr>
          <w:p>
            <w:pPr>
              <w:spacing w:after="0"/>
            </w:pPr>
            <w:r>
              <w:rPr>
                <w:sz w:val="17"/>
              </w:rPr>
              <w:t>Municipalities</w:t>
            </w:r>
          </w:p>
        </w:tc>
        <w:tc>
          <w:tcPr>
            <w:tcW w:type="dxa" w:w="3600"/>
            <w:tcMar>
              <w:top w:w="100" w:type="dxa"/>
              <w:start w:w="120" w:type="dxa"/>
              <w:bottom w:w="100" w:type="dxa"/>
              <w:end w:w="120" w:type="dxa"/>
            </w:tcMar>
            <w:vAlign w:val="center"/>
          </w:tcPr>
          <w:p>
            <w:pPr>
              <w:spacing w:after="0"/>
            </w:pPr>
            <w:r>
              <w:rPr>
                <w:sz w:val="17"/>
              </w:rPr>
              <w:t>Urban growth and water body encroachment</w:t>
            </w:r>
          </w:p>
        </w:tc>
        <w:tc>
          <w:tcPr>
            <w:tcW w:type="dxa" w:w="3168"/>
            <w:tcMar>
              <w:top w:w="100" w:type="dxa"/>
              <w:start w:w="120" w:type="dxa"/>
              <w:bottom w:w="100" w:type="dxa"/>
              <w:end w:w="120" w:type="dxa"/>
            </w:tcMar>
            <w:vAlign w:val="center"/>
          </w:tcPr>
          <w:p>
            <w:pPr>
              <w:spacing w:after="0"/>
            </w:pPr>
            <w:r>
              <w:rPr>
                <w:sz w:val="17"/>
              </w:rPr>
              <w:t>Where has construction increased?</w:t>
            </w:r>
          </w:p>
        </w:tc>
      </w:tr>
      <w:tr>
        <w:trPr>
          <w:cantSplit/>
        </w:trPr>
        <w:tc>
          <w:tcPr>
            <w:tcW w:type="dxa" w:w="2448"/>
            <w:tcMar>
              <w:top w:w="100" w:type="dxa"/>
              <w:start w:w="120" w:type="dxa"/>
              <w:bottom w:w="100" w:type="dxa"/>
              <w:end w:w="120" w:type="dxa"/>
            </w:tcMar>
            <w:vAlign w:val="center"/>
            <w:shd w:fill="F5F8F8"/>
          </w:tcPr>
          <w:p>
            <w:pPr>
              <w:spacing w:after="0"/>
            </w:pPr>
            <w:r>
              <w:rPr>
                <w:sz w:val="17"/>
              </w:rPr>
              <w:t>Infrastructure operators</w:t>
            </w:r>
          </w:p>
        </w:tc>
        <w:tc>
          <w:tcPr>
            <w:tcW w:type="dxa" w:w="3600"/>
            <w:tcMar>
              <w:top w:w="100" w:type="dxa"/>
              <w:start w:w="120" w:type="dxa"/>
              <w:bottom w:w="100" w:type="dxa"/>
              <w:end w:w="120" w:type="dxa"/>
            </w:tcMar>
            <w:vAlign w:val="center"/>
            <w:shd w:fill="F5F8F8"/>
          </w:tcPr>
          <w:p>
            <w:pPr>
              <w:spacing w:after="0"/>
            </w:pPr>
            <w:r>
              <w:rPr>
                <w:sz w:val="17"/>
              </w:rPr>
              <w:t>Road, railway, power and dam monitoring</w:t>
            </w:r>
          </w:p>
        </w:tc>
        <w:tc>
          <w:tcPr>
            <w:tcW w:type="dxa" w:w="3168"/>
            <w:tcMar>
              <w:top w:w="100" w:type="dxa"/>
              <w:start w:w="120" w:type="dxa"/>
              <w:bottom w:w="100" w:type="dxa"/>
              <w:end w:w="120" w:type="dxa"/>
            </w:tcMar>
            <w:vAlign w:val="center"/>
            <w:shd w:fill="F5F8F8"/>
          </w:tcPr>
          <w:p>
            <w:pPr>
              <w:spacing w:after="0"/>
            </w:pPr>
            <w:r>
              <w:rPr>
                <w:sz w:val="17"/>
              </w:rPr>
              <w:t>Is the corridor obstructed?</w:t>
            </w:r>
          </w:p>
        </w:tc>
      </w:tr>
      <w:tr>
        <w:trPr>
          <w:cantSplit/>
        </w:trPr>
        <w:tc>
          <w:tcPr>
            <w:tcW w:type="dxa" w:w="2448"/>
            <w:tcMar>
              <w:top w:w="100" w:type="dxa"/>
              <w:start w:w="120" w:type="dxa"/>
              <w:bottom w:w="100" w:type="dxa"/>
              <w:end w:w="120" w:type="dxa"/>
            </w:tcMar>
            <w:vAlign w:val="center"/>
          </w:tcPr>
          <w:p>
            <w:pPr>
              <w:spacing w:after="0"/>
            </w:pPr>
            <w:r>
              <w:rPr>
                <w:sz w:val="17"/>
              </w:rPr>
              <w:t>Insurers</w:t>
            </w:r>
          </w:p>
        </w:tc>
        <w:tc>
          <w:tcPr>
            <w:tcW w:type="dxa" w:w="3600"/>
            <w:tcMar>
              <w:top w:w="100" w:type="dxa"/>
              <w:start w:w="120" w:type="dxa"/>
              <w:bottom w:w="100" w:type="dxa"/>
              <w:end w:w="120" w:type="dxa"/>
            </w:tcMar>
            <w:vAlign w:val="center"/>
          </w:tcPr>
          <w:p>
            <w:pPr>
              <w:spacing w:after="0"/>
            </w:pPr>
            <w:r>
              <w:rPr>
                <w:sz w:val="17"/>
              </w:rPr>
              <w:t>Damage triage and claim prioritization</w:t>
            </w:r>
          </w:p>
        </w:tc>
        <w:tc>
          <w:tcPr>
            <w:tcW w:type="dxa" w:w="3168"/>
            <w:tcMar>
              <w:top w:w="100" w:type="dxa"/>
              <w:start w:w="120" w:type="dxa"/>
              <w:bottom w:w="100" w:type="dxa"/>
              <w:end w:w="120" w:type="dxa"/>
            </w:tcMar>
            <w:vAlign w:val="center"/>
          </w:tcPr>
          <w:p>
            <w:pPr>
              <w:spacing w:after="0"/>
            </w:pPr>
            <w:r>
              <w:rPr>
                <w:sz w:val="17"/>
              </w:rPr>
              <w:t>Which parcels need manual review?</w:t>
            </w:r>
          </w:p>
        </w:tc>
      </w:tr>
      <w:tr>
        <w:trPr>
          <w:cantSplit/>
        </w:trPr>
        <w:tc>
          <w:tcPr>
            <w:tcW w:type="dxa" w:w="2448"/>
            <w:tcMar>
              <w:top w:w="100" w:type="dxa"/>
              <w:start w:w="120" w:type="dxa"/>
              <w:bottom w:w="100" w:type="dxa"/>
              <w:end w:w="120" w:type="dxa"/>
            </w:tcMar>
            <w:vAlign w:val="center"/>
            <w:shd w:fill="F5F8F8"/>
          </w:tcPr>
          <w:p>
            <w:pPr>
              <w:spacing w:after="0"/>
            </w:pPr>
            <w:r>
              <w:rPr>
                <w:sz w:val="17"/>
              </w:rPr>
              <w:t>Researchers and universities</w:t>
            </w:r>
          </w:p>
        </w:tc>
        <w:tc>
          <w:tcPr>
            <w:tcW w:type="dxa" w:w="3600"/>
            <w:tcMar>
              <w:top w:w="100" w:type="dxa"/>
              <w:start w:w="120" w:type="dxa"/>
              <w:bottom w:w="100" w:type="dxa"/>
              <w:end w:w="120" w:type="dxa"/>
            </w:tcMar>
            <w:vAlign w:val="center"/>
            <w:shd w:fill="F5F8F8"/>
          </w:tcPr>
          <w:p>
            <w:pPr>
              <w:spacing w:after="0"/>
            </w:pPr>
            <w:r>
              <w:rPr>
                <w:sz w:val="17"/>
              </w:rPr>
              <w:t>Model comparison and dataset exploration</w:t>
            </w:r>
          </w:p>
        </w:tc>
        <w:tc>
          <w:tcPr>
            <w:tcW w:type="dxa" w:w="3168"/>
            <w:tcMar>
              <w:top w:w="100" w:type="dxa"/>
              <w:start w:w="120" w:type="dxa"/>
              <w:bottom w:w="100" w:type="dxa"/>
              <w:end w:w="120" w:type="dxa"/>
            </w:tcMar>
            <w:vAlign w:val="center"/>
            <w:shd w:fill="F5F8F8"/>
          </w:tcPr>
          <w:p>
            <w:pPr>
              <w:spacing w:after="0"/>
            </w:pPr>
            <w:r>
              <w:rPr>
                <w:sz w:val="17"/>
              </w:rPr>
              <w:t>Compare optical and SAR evidence.</w:t>
            </w:r>
          </w:p>
        </w:tc>
      </w:tr>
    </w:tbl>
    <w:p>
      <w:pPr>
        <w:spacing w:after="0"/>
      </w:pPr>
    </w:p>
    <w:p>
      <w:r>
        <w:t>ISRO is the initial challenge owner, not the only application. The reusable product is a natural language control and evidence layer; each sector can load its own data, labels, specialist models and safety thresholds.</w:t>
      </w:r>
    </w:p>
    <w:p>
      <w:pPr>
        <w:pStyle w:val="Heading1"/>
      </w:pPr>
      <w:r>
        <w:t>11 Risks and Controls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088"/>
            <w:shd w:fill="123B4A"/>
            <w:tcMar>
              <w:top w:w="100" w:type="dxa"/>
              <w:start w:w="120" w:type="dxa"/>
              <w:bottom w:w="100" w:type="dxa"/>
              <w:end w:w="120" w:type="dxa"/>
            </w:tcMar>
            <w:vAlign w:val="center"/>
          </w:tcPr>
          <w:p>
            <w:r>
              <w:rPr>
                <w:b/>
                <w:color w:val="FFFFFF"/>
                <w:sz w:val="18"/>
              </w:rPr>
              <w:t>Risk</w:t>
            </w:r>
          </w:p>
        </w:tc>
        <w:tc>
          <w:tcPr>
            <w:tcW w:type="dxa" w:w="3600"/>
            <w:shd w:fill="123B4A"/>
            <w:tcMar>
              <w:top w:w="100" w:type="dxa"/>
              <w:start w:w="120" w:type="dxa"/>
              <w:bottom w:w="100" w:type="dxa"/>
              <w:end w:w="120" w:type="dxa"/>
            </w:tcMar>
            <w:vAlign w:val="center"/>
          </w:tcPr>
          <w:p>
            <w:r>
              <w:rPr>
                <w:b/>
                <w:color w:val="FFFFFF"/>
                <w:sz w:val="18"/>
              </w:rPr>
              <w:t>Why it matters</w:t>
            </w:r>
          </w:p>
        </w:tc>
        <w:tc>
          <w:tcPr>
            <w:tcW w:type="dxa" w:w="3528"/>
            <w:shd w:fill="123B4A"/>
            <w:tcMar>
              <w:top w:w="100" w:type="dxa"/>
              <w:start w:w="120" w:type="dxa"/>
              <w:bottom w:w="100" w:type="dxa"/>
              <w:end w:w="120" w:type="dxa"/>
            </w:tcMar>
            <w:vAlign w:val="center"/>
          </w:tcPr>
          <w:p>
            <w:r>
              <w:rPr>
                <w:b/>
                <w:color w:val="FFFFFF"/>
                <w:sz w:val="18"/>
              </w:rPr>
              <w:t>Control</w:t>
            </w:r>
          </w:p>
        </w:tc>
      </w:tr>
      <w:tr>
        <w:trPr>
          <w:cantSplit/>
        </w:trPr>
        <w:tc>
          <w:tcPr>
            <w:tcW w:type="dxa" w:w="2088"/>
            <w:tcMar>
              <w:top w:w="100" w:type="dxa"/>
              <w:start w:w="120" w:type="dxa"/>
              <w:bottom w:w="100" w:type="dxa"/>
              <w:end w:w="120" w:type="dxa"/>
            </w:tcMar>
            <w:vAlign w:val="center"/>
          </w:tcPr>
          <w:p>
            <w:pPr>
              <w:spacing w:after="0"/>
            </w:pPr>
            <w:r>
              <w:rPr>
                <w:sz w:val="17"/>
              </w:rPr>
              <w:t>Hallucinated answers</w:t>
            </w:r>
          </w:p>
        </w:tc>
        <w:tc>
          <w:tcPr>
            <w:tcW w:type="dxa" w:w="3600"/>
            <w:tcMar>
              <w:top w:w="100" w:type="dxa"/>
              <w:start w:w="120" w:type="dxa"/>
              <w:bottom w:w="100" w:type="dxa"/>
              <w:end w:w="120" w:type="dxa"/>
            </w:tcMar>
            <w:vAlign w:val="center"/>
          </w:tcPr>
          <w:p>
            <w:pPr>
              <w:spacing w:after="0"/>
            </w:pPr>
            <w:r>
              <w:rPr>
                <w:sz w:val="17"/>
              </w:rPr>
              <w:t>Text may sound certain without visual support</w:t>
            </w:r>
          </w:p>
        </w:tc>
        <w:tc>
          <w:tcPr>
            <w:tcW w:type="dxa" w:w="3528"/>
            <w:tcMar>
              <w:top w:w="100" w:type="dxa"/>
              <w:start w:w="120" w:type="dxa"/>
              <w:bottom w:w="100" w:type="dxa"/>
              <w:end w:w="120" w:type="dxa"/>
            </w:tcMar>
            <w:vAlign w:val="center"/>
          </w:tcPr>
          <w:p>
            <w:pPr>
              <w:spacing w:after="0"/>
            </w:pPr>
            <w:r>
              <w:rPr>
                <w:sz w:val="17"/>
              </w:rPr>
              <w:t>Generate prose only from structured model outputs</w:t>
            </w:r>
          </w:p>
        </w:tc>
      </w:tr>
      <w:tr>
        <w:trPr>
          <w:cantSplit/>
        </w:trPr>
        <w:tc>
          <w:tcPr>
            <w:tcW w:type="dxa" w:w="2088"/>
            <w:tcMar>
              <w:top w:w="100" w:type="dxa"/>
              <w:start w:w="120" w:type="dxa"/>
              <w:bottom w:w="100" w:type="dxa"/>
              <w:end w:w="120" w:type="dxa"/>
            </w:tcMar>
            <w:vAlign w:val="center"/>
            <w:shd w:fill="F5F8F8"/>
          </w:tcPr>
          <w:p>
            <w:pPr>
              <w:spacing w:after="0"/>
            </w:pPr>
            <w:r>
              <w:rPr>
                <w:sz w:val="17"/>
              </w:rPr>
              <w:t>Poor registration</w:t>
            </w:r>
          </w:p>
        </w:tc>
        <w:tc>
          <w:tcPr>
            <w:tcW w:type="dxa" w:w="3600"/>
            <w:tcMar>
              <w:top w:w="100" w:type="dxa"/>
              <w:start w:w="120" w:type="dxa"/>
              <w:bottom w:w="100" w:type="dxa"/>
              <w:end w:w="120" w:type="dxa"/>
            </w:tcMar>
            <w:vAlign w:val="center"/>
            <w:shd w:fill="F5F8F8"/>
          </w:tcPr>
          <w:p>
            <w:pPr>
              <w:spacing w:after="0"/>
            </w:pPr>
            <w:r>
              <w:rPr>
                <w:sz w:val="17"/>
              </w:rPr>
              <w:t>Misalignment looks like physical change</w:t>
            </w:r>
          </w:p>
        </w:tc>
        <w:tc>
          <w:tcPr>
            <w:tcW w:type="dxa" w:w="3528"/>
            <w:tcMar>
              <w:top w:w="100" w:type="dxa"/>
              <w:start w:w="120" w:type="dxa"/>
              <w:bottom w:w="100" w:type="dxa"/>
              <w:end w:w="120" w:type="dxa"/>
            </w:tcMar>
            <w:vAlign w:val="center"/>
            <w:shd w:fill="F5F8F8"/>
          </w:tcPr>
          <w:p>
            <w:pPr>
              <w:spacing w:after="0"/>
            </w:pPr>
            <w:r>
              <w:rPr>
                <w:sz w:val="17"/>
              </w:rPr>
              <w:t>Registration score and refusal threshold</w:t>
            </w:r>
          </w:p>
        </w:tc>
      </w:tr>
      <w:tr>
        <w:trPr>
          <w:cantSplit/>
        </w:trPr>
        <w:tc>
          <w:tcPr>
            <w:tcW w:type="dxa" w:w="2088"/>
            <w:tcMar>
              <w:top w:w="100" w:type="dxa"/>
              <w:start w:w="120" w:type="dxa"/>
              <w:bottom w:w="100" w:type="dxa"/>
              <w:end w:w="120" w:type="dxa"/>
            </w:tcMar>
            <w:vAlign w:val="center"/>
          </w:tcPr>
          <w:p>
            <w:pPr>
              <w:spacing w:after="0"/>
            </w:pPr>
            <w:r>
              <w:rPr>
                <w:sz w:val="17"/>
              </w:rPr>
              <w:t>Sensor domain shift</w:t>
            </w:r>
          </w:p>
        </w:tc>
        <w:tc>
          <w:tcPr>
            <w:tcW w:type="dxa" w:w="3600"/>
            <w:tcMar>
              <w:top w:w="100" w:type="dxa"/>
              <w:start w:w="120" w:type="dxa"/>
              <w:bottom w:w="100" w:type="dxa"/>
              <w:end w:w="120" w:type="dxa"/>
            </w:tcMar>
            <w:vAlign w:val="center"/>
          </w:tcPr>
          <w:p>
            <w:pPr>
              <w:spacing w:after="0"/>
            </w:pPr>
            <w:r>
              <w:rPr>
                <w:sz w:val="17"/>
              </w:rPr>
              <w:t>A model trained on Sentinel may fail on Cartosat or RISAT</w:t>
            </w:r>
          </w:p>
        </w:tc>
        <w:tc>
          <w:tcPr>
            <w:tcW w:type="dxa" w:w="3528"/>
            <w:tcMar>
              <w:top w:w="100" w:type="dxa"/>
              <w:start w:w="120" w:type="dxa"/>
              <w:bottom w:w="100" w:type="dxa"/>
              <w:end w:w="120" w:type="dxa"/>
            </w:tcMar>
            <w:vAlign w:val="center"/>
          </w:tcPr>
          <w:p>
            <w:pPr>
              <w:spacing w:after="0"/>
            </w:pPr>
            <w:r>
              <w:rPr>
                <w:sz w:val="17"/>
              </w:rPr>
              <w:t>ISRO specific fine tuning and held out evaluation</w:t>
            </w:r>
          </w:p>
        </w:tc>
      </w:tr>
      <w:tr>
        <w:trPr>
          <w:cantSplit/>
        </w:trPr>
        <w:tc>
          <w:tcPr>
            <w:tcW w:type="dxa" w:w="2088"/>
            <w:tcMar>
              <w:top w:w="100" w:type="dxa"/>
              <w:start w:w="120" w:type="dxa"/>
              <w:bottom w:w="100" w:type="dxa"/>
              <w:end w:w="120" w:type="dxa"/>
            </w:tcMar>
            <w:vAlign w:val="center"/>
            <w:shd w:fill="F5F8F8"/>
          </w:tcPr>
          <w:p>
            <w:pPr>
              <w:spacing w:after="0"/>
            </w:pPr>
            <w:r>
              <w:rPr>
                <w:sz w:val="17"/>
              </w:rPr>
              <w:t>False confidence</w:t>
            </w:r>
          </w:p>
        </w:tc>
        <w:tc>
          <w:tcPr>
            <w:tcW w:type="dxa" w:w="3600"/>
            <w:tcMar>
              <w:top w:w="100" w:type="dxa"/>
              <w:start w:w="120" w:type="dxa"/>
              <w:bottom w:w="100" w:type="dxa"/>
              <w:end w:w="120" w:type="dxa"/>
            </w:tcMar>
            <w:vAlign w:val="center"/>
            <w:shd w:fill="F5F8F8"/>
          </w:tcPr>
          <w:p>
            <w:pPr>
              <w:spacing w:after="0"/>
            </w:pPr>
            <w:r>
              <w:rPr>
                <w:sz w:val="17"/>
              </w:rPr>
              <w:t>Raw neural scores are not calibrated probabilities</w:t>
            </w:r>
          </w:p>
        </w:tc>
        <w:tc>
          <w:tcPr>
            <w:tcW w:type="dxa" w:w="3528"/>
            <w:tcMar>
              <w:top w:w="100" w:type="dxa"/>
              <w:start w:w="120" w:type="dxa"/>
              <w:bottom w:w="100" w:type="dxa"/>
              <w:end w:w="120" w:type="dxa"/>
            </w:tcMar>
            <w:vAlign w:val="center"/>
            <w:shd w:fill="F5F8F8"/>
          </w:tcPr>
          <w:p>
            <w:pPr>
              <w:spacing w:after="0"/>
            </w:pPr>
            <w:r>
              <w:rPr>
                <w:sz w:val="17"/>
              </w:rPr>
              <w:t>Calibration set, confidence factors and human review</w:t>
            </w:r>
          </w:p>
        </w:tc>
      </w:tr>
      <w:tr>
        <w:trPr>
          <w:cantSplit/>
        </w:trPr>
        <w:tc>
          <w:tcPr>
            <w:tcW w:type="dxa" w:w="2088"/>
            <w:tcMar>
              <w:top w:w="100" w:type="dxa"/>
              <w:start w:w="120" w:type="dxa"/>
              <w:bottom w:w="100" w:type="dxa"/>
              <w:end w:w="120" w:type="dxa"/>
            </w:tcMar>
            <w:vAlign w:val="center"/>
          </w:tcPr>
          <w:p>
            <w:pPr>
              <w:spacing w:after="0"/>
            </w:pPr>
            <w:r>
              <w:rPr>
                <w:sz w:val="17"/>
              </w:rPr>
              <w:t>Unknown data licence</w:t>
            </w:r>
          </w:p>
        </w:tc>
        <w:tc>
          <w:tcPr>
            <w:tcW w:type="dxa" w:w="3600"/>
            <w:tcMar>
              <w:top w:w="100" w:type="dxa"/>
              <w:start w:w="120" w:type="dxa"/>
              <w:bottom w:w="100" w:type="dxa"/>
              <w:end w:w="120" w:type="dxa"/>
            </w:tcMar>
            <w:vAlign w:val="center"/>
          </w:tcPr>
          <w:p>
            <w:pPr>
              <w:spacing w:after="0"/>
            </w:pPr>
            <w:r>
              <w:rPr>
                <w:sz w:val="17"/>
              </w:rPr>
              <w:t>Images may not be publishable</w:t>
            </w:r>
          </w:p>
        </w:tc>
        <w:tc>
          <w:tcPr>
            <w:tcW w:type="dxa" w:w="3528"/>
            <w:tcMar>
              <w:top w:w="100" w:type="dxa"/>
              <w:start w:w="120" w:type="dxa"/>
              <w:bottom w:w="100" w:type="dxa"/>
              <w:end w:w="120" w:type="dxa"/>
            </w:tcMar>
            <w:vAlign w:val="center"/>
          </w:tcPr>
          <w:p>
            <w:pPr>
              <w:spacing w:after="0"/>
            </w:pPr>
            <w:r>
              <w:rPr>
                <w:sz w:val="17"/>
              </w:rPr>
              <w:t>Record provenance and exclude unverified data from Git</w:t>
            </w:r>
          </w:p>
        </w:tc>
      </w:tr>
      <w:tr>
        <w:trPr>
          <w:cantSplit/>
        </w:trPr>
        <w:tc>
          <w:tcPr>
            <w:tcW w:type="dxa" w:w="2088"/>
            <w:tcMar>
              <w:top w:w="100" w:type="dxa"/>
              <w:start w:w="120" w:type="dxa"/>
              <w:bottom w:w="100" w:type="dxa"/>
              <w:end w:w="120" w:type="dxa"/>
            </w:tcMar>
            <w:vAlign w:val="center"/>
            <w:shd w:fill="F5F8F8"/>
          </w:tcPr>
          <w:p>
            <w:pPr>
              <w:spacing w:after="0"/>
            </w:pPr>
            <w:r>
              <w:rPr>
                <w:sz w:val="17"/>
              </w:rPr>
              <w:t>Scope explosion</w:t>
            </w:r>
          </w:p>
        </w:tc>
        <w:tc>
          <w:tcPr>
            <w:tcW w:type="dxa" w:w="3600"/>
            <w:tcMar>
              <w:top w:w="100" w:type="dxa"/>
              <w:start w:w="120" w:type="dxa"/>
              <w:bottom w:w="100" w:type="dxa"/>
              <w:end w:w="120" w:type="dxa"/>
            </w:tcMar>
            <w:vAlign w:val="center"/>
            <w:shd w:fill="F5F8F8"/>
          </w:tcPr>
          <w:p>
            <w:pPr>
              <w:spacing w:after="0"/>
            </w:pPr>
            <w:r>
              <w:rPr>
                <w:sz w:val="17"/>
              </w:rPr>
              <w:t>Arbitrary question answering is not feasible initially</w:t>
            </w:r>
          </w:p>
        </w:tc>
        <w:tc>
          <w:tcPr>
            <w:tcW w:type="dxa" w:w="3528"/>
            <w:tcMar>
              <w:top w:w="100" w:type="dxa"/>
              <w:start w:w="120" w:type="dxa"/>
              <w:bottom w:w="100" w:type="dxa"/>
              <w:end w:w="120" w:type="dxa"/>
            </w:tcMar>
            <w:vAlign w:val="center"/>
            <w:shd w:fill="F5F8F8"/>
          </w:tcPr>
          <w:p>
            <w:pPr>
              <w:spacing w:after="0"/>
            </w:pPr>
            <w:r>
              <w:rPr>
                <w:sz w:val="17"/>
              </w:rPr>
              <w:t>Publish supported tasks and refusal behaviour</w:t>
            </w:r>
          </w:p>
        </w:tc>
      </w:tr>
    </w:tbl>
    <w:p>
      <w:pPr>
        <w:spacing w:after="0"/>
      </w:pPr>
    </w:p>
    <w:p>
      <w:pPr>
        <w:pStyle w:val="Heading1"/>
      </w:pPr>
      <w:r>
        <w:t>12 SIH Submission Strategy</w:t>
      </w:r>
    </w:p>
    <w:p>
      <w:pPr>
        <w:pStyle w:val="ListBullet"/>
      </w:pPr>
      <w:r>
        <w:t>Show one complete working loop: question, automatic routing, specialist analysis, visual evidence, answer and trace.</w:t>
      </w:r>
    </w:p>
    <w:p>
      <w:pPr>
        <w:pStyle w:val="ListBullet"/>
      </w:pPr>
      <w:r>
        <w:t>Demonstrate a real trained component and compare it with the baseline; do not present colour thresholds as the final AI model.</w:t>
      </w:r>
    </w:p>
    <w:p>
      <w:pPr>
        <w:pStyle w:val="ListBullet"/>
      </w:pPr>
      <w:r>
        <w:t>Report held out metrics and at least three failure cases.</w:t>
      </w:r>
    </w:p>
    <w:p>
      <w:pPr>
        <w:pStyle w:val="ListBullet"/>
      </w:pPr>
      <w:r>
        <w:t>Explain why evidence, local deployment and ISRO specific validation matter more than a generic chatbot interface.</w:t>
      </w:r>
    </w:p>
    <w:p>
      <w:pPr>
        <w:pStyle w:val="ListBullet"/>
      </w:pPr>
      <w:r>
        <w:t>Use three demonstrations: RGB grounding, temporal change and constrained optical SAR analysis.</w:t>
      </w:r>
    </w:p>
    <w:p>
      <w:pPr>
        <w:pStyle w:val="ListBullet"/>
      </w:pPr>
      <w:r>
        <w:t>Keep a human analyst responsible for final decisions and let the system refuse unsupported requests.</w:t>
      </w:r>
    </w:p>
    <w:p>
      <w:pPr>
        <w:pStyle w:val="ListBullet"/>
      </w:pPr>
      <w:r>
        <w:t>Align the six slide pitch to problem understanding, innovation, technical feasibility, prototype readiness, impact and communication.</w:t>
      </w:r>
    </w:p>
    <w:p>
      <w:pPr>
        <w:pStyle w:val="Heading1"/>
      </w:pPr>
      <w:r>
        <w:t>13 Recommended Final Claim</w:t>
      </w:r>
    </w:p>
    <w:p>
      <w:r>
        <w:t>SatQuery is a locally deployable, evidence grounded remote sensing assistant that converts a natural language question into a validated specialist workflow across RGB optical, temporal and optical SAR imagery, then returns spatial evidence, confidence factors and an auditable execution trace.</w:t>
      </w:r>
    </w:p>
    <w:p>
      <w:pPr>
        <w:pStyle w:val="Heading1"/>
      </w:pPr>
      <w:r>
        <w:t>14 Sources</w:t>
      </w:r>
    </w:p>
    <w:p>
      <w:pPr>
        <w:pStyle w:val="ListBullet"/>
      </w:pPr>
      <w:hyperlink r:id="rId9">
        <w:r>
          <w:rPr>
            <w:color w:val="0563C1"/>
            <w:u w:val="single"/>
          </w:rPr>
          <w:t>SIH26167 problem statement</w:t>
        </w:r>
      </w:hyperlink>
    </w:p>
    <w:p>
      <w:pPr>
        <w:pStyle w:val="ListBullet"/>
      </w:pPr>
      <w:hyperlink r:id="rId10">
        <w:r>
          <w:rPr>
            <w:color w:val="0563C1"/>
            <w:u w:val="single"/>
          </w:rPr>
          <w:t>Google Earth Engine overview</w:t>
        </w:r>
      </w:hyperlink>
    </w:p>
    <w:p>
      <w:pPr>
        <w:pStyle w:val="ListBullet"/>
      </w:pPr>
      <w:hyperlink r:id="rId11">
        <w:r>
          <w:rPr>
            <w:color w:val="0563C1"/>
            <w:u w:val="single"/>
          </w:rPr>
          <w:t>Planet Insights Platform</w:t>
        </w:r>
      </w:hyperlink>
    </w:p>
    <w:p>
      <w:pPr>
        <w:pStyle w:val="ListBullet"/>
      </w:pPr>
      <w:hyperlink r:id="rId12">
        <w:r>
          <w:rPr>
            <w:color w:val="0563C1"/>
            <w:u w:val="single"/>
          </w:rPr>
          <w:t>Planet analysis documentation</w:t>
        </w:r>
      </w:hyperlink>
    </w:p>
    <w:p>
      <w:pPr>
        <w:pStyle w:val="ListBullet"/>
      </w:pPr>
      <w:hyperlink r:id="rId13">
        <w:r>
          <w:rPr>
            <w:color w:val="0563C1"/>
            <w:u w:val="single"/>
          </w:rPr>
          <w:t>Esri vision language models for geospatial analysis</w:t>
        </w:r>
      </w:hyperlink>
    </w:p>
    <w:p>
      <w:pPr>
        <w:pStyle w:val="ListBullet"/>
      </w:pPr>
      <w:hyperlink r:id="rId14">
        <w:r>
          <w:rPr>
            <w:color w:val="0563C1"/>
            <w:u w:val="single"/>
          </w:rPr>
          <w:t>Microsoft Earth Copilot repository</w:t>
        </w:r>
      </w:hyperlink>
    </w:p>
    <w:p>
      <w:pPr>
        <w:pStyle w:val="ListBullet"/>
      </w:pPr>
      <w:hyperlink r:id="rId15">
        <w:r>
          <w:rPr>
            <w:color w:val="0563C1"/>
            <w:u w:val="single"/>
          </w:rPr>
          <w:t>UP42 platform overview</w:t>
        </w:r>
      </w:hyperlink>
    </w:p>
    <w:p>
      <w:pPr>
        <w:pStyle w:val="ListBullet"/>
      </w:pPr>
      <w:hyperlink r:id="rId16">
        <w:r>
          <w:rPr>
            <w:color w:val="0563C1"/>
            <w:u w:val="single"/>
          </w:rPr>
          <w:t>UP42 processing</w:t>
        </w:r>
      </w:hyperlink>
    </w:p>
    <w:p>
      <w:pPr>
        <w:pStyle w:val="ListBullet"/>
      </w:pPr>
      <w:hyperlink r:id="rId17">
        <w:r>
          <w:rPr>
            <w:color w:val="0563C1"/>
            <w:u w:val="single"/>
          </w:rPr>
          <w:t>BigEarthNet v2</w:t>
        </w:r>
      </w:hyperlink>
    </w:p>
    <w:p>
      <w:pPr>
        <w:pStyle w:val="ListBullet"/>
      </w:pPr>
      <w:hyperlink r:id="rId18">
        <w:r>
          <w:rPr>
            <w:color w:val="0563C1"/>
            <w:u w:val="single"/>
          </w:rPr>
          <w:t>VRSBench</w:t>
        </w:r>
      </w:hyperlink>
    </w:p>
    <w:p>
      <w:pPr>
        <w:pStyle w:val="ListBullet"/>
      </w:pPr>
      <w:hyperlink r:id="rId19">
        <w:r>
          <w:rPr>
            <w:color w:val="0563C1"/>
            <w:u w:val="single"/>
          </w:rPr>
          <w:t>BigEarthNet txt dataset</w:t>
        </w:r>
      </w:hyperlink>
    </w:p>
    <w:p>
      <w:r>
        <w:br w:type="page"/>
      </w:r>
    </w:p>
    <w:p>
      <w:pPr>
        <w:pStyle w:val="Heading1"/>
      </w:pPr>
      <w:r>
        <w:t>15 Findings from the Five Supplied Documents</w:t>
      </w:r>
    </w:p>
    <w:p>
      <w:r>
        <w:t>The supplied files cover Google Earth Engine, Planet Insights Platform, Esri ArcGIS, Microsoft Earth Copilot and UP42. Two Planet documents contain the same comparison, so the source set represents five products rather than six. The strongest claims describe documented workflow gaps. Claims that a competitor cannot perform a task should be avoided unless its documentation states that limitation directly.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944"/>
            <w:shd w:fill="123B4A"/>
            <w:tcMar>
              <w:top w:w="110" w:type="dxa"/>
              <w:start w:w="110" w:type="dxa"/>
              <w:bottom w:w="110" w:type="dxa"/>
              <w:end w:w="110" w:type="dxa"/>
            </w:tcMar>
            <w:vAlign w:val="center"/>
          </w:tcPr>
          <w:p>
            <w:r>
              <w:rPr>
                <w:b/>
                <w:color w:val="FFFFFF"/>
                <w:sz w:val="18"/>
              </w:rPr>
              <w:t>Existing product</w:t>
            </w:r>
          </w:p>
        </w:tc>
        <w:tc>
          <w:tcPr>
            <w:tcW w:type="dxa" w:w="4392"/>
            <w:shd w:fill="123B4A"/>
            <w:tcMar>
              <w:top w:w="110" w:type="dxa"/>
              <w:start w:w="110" w:type="dxa"/>
              <w:bottom w:w="110" w:type="dxa"/>
              <w:end w:w="110" w:type="dxa"/>
            </w:tcMar>
            <w:vAlign w:val="center"/>
          </w:tcPr>
          <w:p>
            <w:r>
              <w:rPr>
                <w:b/>
                <w:color w:val="FFFFFF"/>
                <w:sz w:val="18"/>
              </w:rPr>
              <w:t>Specific disadvantage for this problem</w:t>
            </w:r>
          </w:p>
        </w:tc>
        <w:tc>
          <w:tcPr>
            <w:tcW w:type="dxa" w:w="3384"/>
            <w:shd w:fill="123B4A"/>
            <w:tcMar>
              <w:top w:w="110" w:type="dxa"/>
              <w:start w:w="110" w:type="dxa"/>
              <w:bottom w:w="110" w:type="dxa"/>
              <w:end w:w="110" w:type="dxa"/>
            </w:tcMar>
            <w:vAlign w:val="center"/>
          </w:tcPr>
          <w:p>
            <w:r>
              <w:rPr>
                <w:b/>
                <w:color w:val="FFFFFF"/>
                <w:sz w:val="18"/>
              </w:rPr>
              <w:t>SatQuery design response</w:t>
            </w:r>
          </w:p>
        </w:tc>
      </w:tr>
      <w:tr>
        <w:trPr>
          <w:cantSplit/>
        </w:trPr>
        <w:tc>
          <w:tcPr>
            <w:tcW w:type="dxa" w:w="1944"/>
            <w:tcMar>
              <w:top w:w="110" w:type="dxa"/>
              <w:start w:w="110" w:type="dxa"/>
              <w:bottom w:w="110" w:type="dxa"/>
              <w:end w:w="110" w:type="dxa"/>
            </w:tcMar>
            <w:vAlign w:val="center"/>
          </w:tcPr>
          <w:p>
            <w:pPr>
              <w:spacing w:after="0"/>
            </w:pPr>
            <w:r>
              <w:rPr>
                <w:sz w:val="17"/>
              </w:rPr>
              <w:t>Google Earth Engine</w:t>
            </w:r>
          </w:p>
        </w:tc>
        <w:tc>
          <w:tcPr>
            <w:tcW w:type="dxa" w:w="4392"/>
            <w:tcMar>
              <w:top w:w="110" w:type="dxa"/>
              <w:start w:w="110" w:type="dxa"/>
              <w:bottom w:w="110" w:type="dxa"/>
              <w:end w:w="110" w:type="dxa"/>
            </w:tcMar>
            <w:vAlign w:val="center"/>
          </w:tcPr>
          <w:p>
            <w:pPr>
              <w:spacing w:after="0"/>
            </w:pPr>
            <w:r>
              <w:rPr>
                <w:sz w:val="17"/>
              </w:rPr>
              <w:t>Users generally choose datasets, bands, filters and algorithms. The standard workflow assumes geospatial knowledge and does not present a unified question, evidence and confidence experience.</w:t>
            </w:r>
          </w:p>
        </w:tc>
        <w:tc>
          <w:tcPr>
            <w:tcW w:type="dxa" w:w="3384"/>
            <w:tcMar>
              <w:top w:w="110" w:type="dxa"/>
              <w:start w:w="110" w:type="dxa"/>
              <w:bottom w:w="110" w:type="dxa"/>
              <w:end w:w="110" w:type="dxa"/>
            </w:tcMar>
            <w:vAlign w:val="center"/>
          </w:tcPr>
          <w:p>
            <w:pPr>
              <w:spacing w:after="0"/>
            </w:pPr>
            <w:r>
              <w:rPr>
                <w:sz w:val="17"/>
              </w:rPr>
              <w:t>A query router chooses a supported workflow. The result includes a mask, confidence factors and a reproducible trace.</w:t>
            </w:r>
          </w:p>
        </w:tc>
      </w:tr>
      <w:tr>
        <w:trPr>
          <w:cantSplit/>
        </w:trPr>
        <w:tc>
          <w:tcPr>
            <w:tcW w:type="dxa" w:w="1944"/>
            <w:tcMar>
              <w:top w:w="110" w:type="dxa"/>
              <w:start w:w="110" w:type="dxa"/>
              <w:bottom w:w="110" w:type="dxa"/>
              <w:end w:w="110" w:type="dxa"/>
            </w:tcMar>
            <w:vAlign w:val="center"/>
            <w:shd w:fill="F3F7F8"/>
          </w:tcPr>
          <w:p>
            <w:pPr>
              <w:spacing w:after="0"/>
            </w:pPr>
            <w:r>
              <w:rPr>
                <w:sz w:val="17"/>
              </w:rPr>
              <w:t>Planet Insights Platform</w:t>
            </w:r>
          </w:p>
        </w:tc>
        <w:tc>
          <w:tcPr>
            <w:tcW w:type="dxa" w:w="4392"/>
            <w:tcMar>
              <w:top w:w="110" w:type="dxa"/>
              <w:start w:w="110" w:type="dxa"/>
              <w:bottom w:w="110" w:type="dxa"/>
              <w:end w:w="110" w:type="dxa"/>
            </w:tcMar>
            <w:vAlign w:val="center"/>
            <w:shd w:fill="F3F7F8"/>
          </w:tcPr>
          <w:p>
            <w:pPr>
              <w:spacing w:after="0"/>
            </w:pPr>
            <w:r>
              <w:rPr>
                <w:sz w:val="17"/>
              </w:rPr>
              <w:t>Planet provides strong commercial imagery and analytics, but access and processing depend on its commercial ecosystem. Public material does not establish Cartosat 2S and RISAT validation for this challenge.</w:t>
            </w:r>
          </w:p>
        </w:tc>
        <w:tc>
          <w:tcPr>
            <w:tcW w:type="dxa" w:w="3384"/>
            <w:tcMar>
              <w:top w:w="110" w:type="dxa"/>
              <w:start w:w="110" w:type="dxa"/>
              <w:bottom w:w="110" w:type="dxa"/>
              <w:end w:w="110" w:type="dxa"/>
            </w:tcMar>
            <w:vAlign w:val="center"/>
            <w:shd w:fill="F3F7F8"/>
          </w:tcPr>
          <w:p>
            <w:pPr>
              <w:spacing w:after="0"/>
            </w:pPr>
            <w:r>
              <w:rPr>
                <w:sz w:val="17"/>
              </w:rPr>
              <w:t>Accept user supplied ISRO imagery, support local inference and publish sensor specific evaluation results.</w:t>
            </w:r>
          </w:p>
        </w:tc>
      </w:tr>
      <w:tr>
        <w:trPr>
          <w:cantSplit/>
        </w:trPr>
        <w:tc>
          <w:tcPr>
            <w:tcW w:type="dxa" w:w="1944"/>
            <w:tcMar>
              <w:top w:w="110" w:type="dxa"/>
              <w:start w:w="110" w:type="dxa"/>
              <w:bottom w:w="110" w:type="dxa"/>
              <w:end w:w="110" w:type="dxa"/>
            </w:tcMar>
            <w:vAlign w:val="center"/>
          </w:tcPr>
          <w:p>
            <w:pPr>
              <w:spacing w:after="0"/>
            </w:pPr>
            <w:r>
              <w:rPr>
                <w:sz w:val="17"/>
              </w:rPr>
              <w:t>Esri ArcGIS</w:t>
            </w:r>
          </w:p>
        </w:tc>
        <w:tc>
          <w:tcPr>
            <w:tcW w:type="dxa" w:w="4392"/>
            <w:tcMar>
              <w:top w:w="110" w:type="dxa"/>
              <w:start w:w="110" w:type="dxa"/>
              <w:bottom w:w="110" w:type="dxa"/>
              <w:end w:w="110" w:type="dxa"/>
            </w:tcMar>
            <w:vAlign w:val="center"/>
          </w:tcPr>
          <w:p>
            <w:pPr>
              <w:spacing w:after="0"/>
            </w:pPr>
            <w:r>
              <w:rPr>
                <w:sz w:val="17"/>
              </w:rPr>
              <w:t>ArcGIS Pro has licence levels, substantial hardware recommendations and a broad expert interface. Some interoperability features require an extension, and ArcGIS Pro desktop targets Windows.</w:t>
            </w:r>
          </w:p>
        </w:tc>
        <w:tc>
          <w:tcPr>
            <w:tcW w:type="dxa" w:w="3384"/>
            <w:tcMar>
              <w:top w:w="110" w:type="dxa"/>
              <w:start w:w="110" w:type="dxa"/>
              <w:bottom w:w="110" w:type="dxa"/>
              <w:end w:w="110" w:type="dxa"/>
            </w:tcMar>
            <w:vAlign w:val="center"/>
          </w:tcPr>
          <w:p>
            <w:pPr>
              <w:spacing w:after="0"/>
            </w:pPr>
            <w:r>
              <w:rPr>
                <w:sz w:val="17"/>
              </w:rPr>
              <w:t>Use a browser interface, open formats, a small model stack and guided tasks that run on ordinary student hardware.</w:t>
            </w:r>
          </w:p>
        </w:tc>
      </w:tr>
      <w:tr>
        <w:trPr>
          <w:cantSplit/>
        </w:trPr>
        <w:tc>
          <w:tcPr>
            <w:tcW w:type="dxa" w:w="1944"/>
            <w:tcMar>
              <w:top w:w="110" w:type="dxa"/>
              <w:start w:w="110" w:type="dxa"/>
              <w:bottom w:w="110" w:type="dxa"/>
              <w:end w:w="110" w:type="dxa"/>
            </w:tcMar>
            <w:vAlign w:val="center"/>
            <w:shd w:fill="F3F7F8"/>
          </w:tcPr>
          <w:p>
            <w:pPr>
              <w:spacing w:after="0"/>
            </w:pPr>
            <w:r>
              <w:rPr>
                <w:sz w:val="17"/>
              </w:rPr>
              <w:t>Microsoft Earth Copilot</w:t>
            </w:r>
          </w:p>
        </w:tc>
        <w:tc>
          <w:tcPr>
            <w:tcW w:type="dxa" w:w="4392"/>
            <w:tcMar>
              <w:top w:w="110" w:type="dxa"/>
              <w:start w:w="110" w:type="dxa"/>
              <w:bottom w:w="110" w:type="dxa"/>
              <w:end w:w="110" w:type="dxa"/>
            </w:tcMar>
            <w:vAlign w:val="center"/>
            <w:shd w:fill="F3F7F8"/>
          </w:tcPr>
          <w:p>
            <w:pPr>
              <w:spacing w:after="0"/>
            </w:pPr>
            <w:r>
              <w:rPr>
                <w:sz w:val="17"/>
              </w:rPr>
              <w:t>Its public repository describes a proof of concept. Public descriptions emphasize NASA and Planetary Computer data discovery and do not publish Cartosat RISAT validation or the complete mask and confidence contract required here.</w:t>
            </w:r>
          </w:p>
        </w:tc>
        <w:tc>
          <w:tcPr>
            <w:tcW w:type="dxa" w:w="3384"/>
            <w:tcMar>
              <w:top w:w="110" w:type="dxa"/>
              <w:start w:w="110" w:type="dxa"/>
              <w:bottom w:w="110" w:type="dxa"/>
              <w:end w:w="110" w:type="dxa"/>
            </w:tcMar>
            <w:vAlign w:val="center"/>
            <w:shd w:fill="F3F7F8"/>
          </w:tcPr>
          <w:p>
            <w:pPr>
              <w:spacing w:after="0"/>
            </w:pPr>
            <w:r>
              <w:rPr>
                <w:sz w:val="17"/>
              </w:rPr>
              <w:t>Keep an explicit model registry, add spatial evidence, validate on the target sensors and support deployment within an ISRO controlled environment.</w:t>
            </w:r>
          </w:p>
        </w:tc>
      </w:tr>
      <w:tr>
        <w:trPr>
          <w:cantSplit/>
        </w:trPr>
        <w:tc>
          <w:tcPr>
            <w:tcW w:type="dxa" w:w="1944"/>
            <w:tcMar>
              <w:top w:w="110" w:type="dxa"/>
              <w:start w:w="110" w:type="dxa"/>
              <w:bottom w:w="110" w:type="dxa"/>
              <w:end w:w="110" w:type="dxa"/>
            </w:tcMar>
            <w:vAlign w:val="center"/>
          </w:tcPr>
          <w:p>
            <w:pPr>
              <w:spacing w:after="0"/>
            </w:pPr>
            <w:r>
              <w:rPr>
                <w:sz w:val="17"/>
              </w:rPr>
              <w:t>UP42</w:t>
            </w:r>
          </w:p>
        </w:tc>
        <w:tc>
          <w:tcPr>
            <w:tcW w:type="dxa" w:w="4392"/>
            <w:tcMar>
              <w:top w:w="110" w:type="dxa"/>
              <w:start w:w="110" w:type="dxa"/>
              <w:bottom w:w="110" w:type="dxa"/>
              <w:end w:w="110" w:type="dxa"/>
            </w:tcMar>
            <w:vAlign w:val="center"/>
          </w:tcPr>
          <w:p>
            <w:pPr>
              <w:spacing w:after="0"/>
            </w:pPr>
            <w:r>
              <w:rPr>
                <w:sz w:val="17"/>
              </w:rPr>
              <w:t>Users select data products and processing blocks. Pricing varies by provider, area and algorithm. The documented platform does not provide a natural language workflow as its primary interface.</w:t>
            </w:r>
          </w:p>
        </w:tc>
        <w:tc>
          <w:tcPr>
            <w:tcW w:type="dxa" w:w="3384"/>
            <w:tcMar>
              <w:top w:w="110" w:type="dxa"/>
              <w:start w:w="110" w:type="dxa"/>
              <w:bottom w:w="110" w:type="dxa"/>
              <w:end w:w="110" w:type="dxa"/>
            </w:tcMar>
            <w:vAlign w:val="center"/>
          </w:tcPr>
          <w:p>
            <w:pPr>
              <w:spacing w:after="0"/>
            </w:pPr>
            <w:r>
              <w:rPr>
                <w:sz w:val="17"/>
              </w:rPr>
              <w:t>Route a question to a preapproved processing chain and support open or organization supplied imagery for the prototype.</w:t>
            </w:r>
          </w:p>
        </w:tc>
      </w:tr>
    </w:tbl>
    <w:p>
      <w:pPr>
        <w:spacing w:after="0"/>
      </w:pPr>
    </w:p>
    <w:p>
      <w:pPr>
        <w:pStyle w:val="Heading1"/>
      </w:pPr>
      <w:r>
        <w:t>16 ISRO Existing Platforms and the Remaining Gap</w:t>
      </w:r>
    </w:p>
    <w:p>
      <w:r>
        <w:t>The closest public ISRO systems are Bhuvan, Bhoonidhi and VEDAS. They already provide imagery, thematic layers, downloads, visualization and application services. They should supply data and map context to SatQuery. They should not be presented as failed products or as systems that SatQuery replaces.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trPr>
        <w:tc>
          <w:tcPr>
            <w:tcW w:type="dxa" w:w="1584"/>
            <w:shd w:fill="123B4A"/>
            <w:tcMar>
              <w:top w:w="110" w:type="dxa"/>
              <w:start w:w="110" w:type="dxa"/>
              <w:bottom w:w="110" w:type="dxa"/>
              <w:end w:w="110" w:type="dxa"/>
            </w:tcMar>
            <w:vAlign w:val="center"/>
          </w:tcPr>
          <w:p>
            <w:r>
              <w:rPr>
                <w:b/>
                <w:color w:val="FFFFFF"/>
                <w:sz w:val="18"/>
              </w:rPr>
              <w:t>ISRO capability</w:t>
            </w:r>
          </w:p>
        </w:tc>
        <w:tc>
          <w:tcPr>
            <w:tcW w:type="dxa" w:w="2808"/>
            <w:shd w:fill="123B4A"/>
            <w:tcMar>
              <w:top w:w="110" w:type="dxa"/>
              <w:start w:w="110" w:type="dxa"/>
              <w:bottom w:w="110" w:type="dxa"/>
              <w:end w:w="110" w:type="dxa"/>
            </w:tcMar>
            <w:vAlign w:val="center"/>
          </w:tcPr>
          <w:p>
            <w:r>
              <w:rPr>
                <w:b/>
                <w:color w:val="FFFFFF"/>
                <w:sz w:val="18"/>
              </w:rPr>
              <w:t>Documented role</w:t>
            </w:r>
          </w:p>
        </w:tc>
        <w:tc>
          <w:tcPr>
            <w:tcW w:type="dxa" w:w="3384"/>
            <w:shd w:fill="123B4A"/>
            <w:tcMar>
              <w:top w:w="110" w:type="dxa"/>
              <w:start w:w="110" w:type="dxa"/>
              <w:bottom w:w="110" w:type="dxa"/>
              <w:end w:w="110" w:type="dxa"/>
            </w:tcMar>
            <w:vAlign w:val="center"/>
          </w:tcPr>
          <w:p>
            <w:r>
              <w:rPr>
                <w:b/>
                <w:color w:val="FFFFFF"/>
                <w:sz w:val="18"/>
              </w:rPr>
              <w:t>Gap that remains relevant</w:t>
            </w:r>
          </w:p>
        </w:tc>
        <w:tc>
          <w:tcPr>
            <w:tcW w:type="dxa" w:w="2088"/>
            <w:shd w:fill="123B4A"/>
            <w:tcMar>
              <w:top w:w="110" w:type="dxa"/>
              <w:start w:w="110" w:type="dxa"/>
              <w:bottom w:w="110" w:type="dxa"/>
              <w:end w:w="110" w:type="dxa"/>
            </w:tcMar>
            <w:vAlign w:val="center"/>
          </w:tcPr>
          <w:p>
            <w:r>
              <w:rPr>
                <w:b/>
                <w:color w:val="FFFFFF"/>
                <w:sz w:val="18"/>
              </w:rPr>
              <w:t>Proposed advantage</w:t>
            </w:r>
          </w:p>
        </w:tc>
      </w:tr>
      <w:tr>
        <w:trPr>
          <w:cantSplit/>
        </w:trPr>
        <w:tc>
          <w:tcPr>
            <w:tcW w:type="dxa" w:w="1584"/>
            <w:tcMar>
              <w:top w:w="110" w:type="dxa"/>
              <w:start w:w="110" w:type="dxa"/>
              <w:bottom w:w="110" w:type="dxa"/>
              <w:end w:w="110" w:type="dxa"/>
            </w:tcMar>
            <w:vAlign w:val="center"/>
          </w:tcPr>
          <w:p>
            <w:pPr>
              <w:spacing w:after="0"/>
            </w:pPr>
            <w:r>
              <w:rPr>
                <w:sz w:val="17"/>
              </w:rPr>
              <w:t>Bhuvan</w:t>
            </w:r>
          </w:p>
        </w:tc>
        <w:tc>
          <w:tcPr>
            <w:tcW w:type="dxa" w:w="2808"/>
            <w:tcMar>
              <w:top w:w="110" w:type="dxa"/>
              <w:start w:w="110" w:type="dxa"/>
              <w:bottom w:w="110" w:type="dxa"/>
              <w:end w:w="110" w:type="dxa"/>
            </w:tcMar>
            <w:vAlign w:val="center"/>
          </w:tcPr>
          <w:p>
            <w:pPr>
              <w:spacing w:after="0"/>
            </w:pPr>
            <w:r>
              <w:rPr>
                <w:sz w:val="17"/>
              </w:rPr>
              <w:t>Displays multi date and multi sensor imagery, thematic maps, queries, analysis and disaster services.</w:t>
            </w:r>
          </w:p>
        </w:tc>
        <w:tc>
          <w:tcPr>
            <w:tcW w:type="dxa" w:w="3384"/>
            <w:tcMar>
              <w:top w:w="110" w:type="dxa"/>
              <w:start w:w="110" w:type="dxa"/>
              <w:bottom w:w="110" w:type="dxa"/>
              <w:end w:w="110" w:type="dxa"/>
            </w:tcMar>
            <w:vAlign w:val="center"/>
          </w:tcPr>
          <w:p>
            <w:pPr>
              <w:spacing w:after="0"/>
            </w:pPr>
            <w:r>
              <w:rPr>
                <w:sz w:val="17"/>
              </w:rPr>
              <w:t>Public descriptions do not document a general natural language visual question answering pipeline that automatically selects models and returns pixel evidence.</w:t>
            </w:r>
          </w:p>
        </w:tc>
        <w:tc>
          <w:tcPr>
            <w:tcW w:type="dxa" w:w="2088"/>
            <w:tcMar>
              <w:top w:w="110" w:type="dxa"/>
              <w:start w:w="110" w:type="dxa"/>
              <w:bottom w:w="110" w:type="dxa"/>
              <w:end w:w="110" w:type="dxa"/>
            </w:tcMar>
            <w:vAlign w:val="center"/>
          </w:tcPr>
          <w:p>
            <w:pPr>
              <w:spacing w:after="0"/>
            </w:pPr>
            <w:r>
              <w:rPr>
                <w:sz w:val="17"/>
              </w:rPr>
              <w:t>SatQuery becomes an optional query and evidence service inside Bhuvan.</w:t>
            </w:r>
          </w:p>
        </w:tc>
      </w:tr>
      <w:tr>
        <w:trPr>
          <w:cantSplit/>
        </w:trPr>
        <w:tc>
          <w:tcPr>
            <w:tcW w:type="dxa" w:w="1584"/>
            <w:tcMar>
              <w:top w:w="110" w:type="dxa"/>
              <w:start w:w="110" w:type="dxa"/>
              <w:bottom w:w="110" w:type="dxa"/>
              <w:end w:w="110" w:type="dxa"/>
            </w:tcMar>
            <w:vAlign w:val="center"/>
            <w:shd w:fill="F3F7F8"/>
          </w:tcPr>
          <w:p>
            <w:pPr>
              <w:spacing w:after="0"/>
            </w:pPr>
            <w:r>
              <w:rPr>
                <w:sz w:val="17"/>
              </w:rPr>
              <w:t>Bhoonidhi</w:t>
            </w:r>
          </w:p>
        </w:tc>
        <w:tc>
          <w:tcPr>
            <w:tcW w:type="dxa" w:w="2808"/>
            <w:tcMar>
              <w:top w:w="110" w:type="dxa"/>
              <w:start w:w="110" w:type="dxa"/>
              <w:bottom w:w="110" w:type="dxa"/>
              <w:end w:w="110" w:type="dxa"/>
            </w:tcMar>
            <w:vAlign w:val="center"/>
            <w:shd w:fill="F3F7F8"/>
          </w:tcPr>
          <w:p>
            <w:pPr>
              <w:spacing w:after="0"/>
            </w:pPr>
            <w:r>
              <w:rPr>
                <w:sz w:val="17"/>
              </w:rPr>
              <w:t>Supports discovery and download of Indian and foreign Earth observation data products.</w:t>
            </w:r>
          </w:p>
        </w:tc>
        <w:tc>
          <w:tcPr>
            <w:tcW w:type="dxa" w:w="3384"/>
            <w:tcMar>
              <w:top w:w="110" w:type="dxa"/>
              <w:start w:w="110" w:type="dxa"/>
              <w:bottom w:w="110" w:type="dxa"/>
              <w:end w:w="110" w:type="dxa"/>
            </w:tcMar>
            <w:vAlign w:val="center"/>
            <w:shd w:fill="F3F7F8"/>
          </w:tcPr>
          <w:p>
            <w:pPr>
              <w:spacing w:after="0"/>
            </w:pPr>
            <w:r>
              <w:rPr>
                <w:sz w:val="17"/>
              </w:rPr>
              <w:t>Data access does not by itself convert an analyst question into a validated model workflow.</w:t>
            </w:r>
          </w:p>
        </w:tc>
        <w:tc>
          <w:tcPr>
            <w:tcW w:type="dxa" w:w="2088"/>
            <w:tcMar>
              <w:top w:w="110" w:type="dxa"/>
              <w:start w:w="110" w:type="dxa"/>
              <w:bottom w:w="110" w:type="dxa"/>
              <w:end w:w="110" w:type="dxa"/>
            </w:tcMar>
            <w:vAlign w:val="center"/>
            <w:shd w:fill="F3F7F8"/>
          </w:tcPr>
          <w:p>
            <w:pPr>
              <w:spacing w:after="0"/>
            </w:pPr>
            <w:r>
              <w:rPr>
                <w:sz w:val="17"/>
              </w:rPr>
              <w:t>Use Bhoonidhi products as governed inputs while SatQuery handles analysis.</w:t>
            </w:r>
          </w:p>
        </w:tc>
      </w:tr>
      <w:tr>
        <w:trPr>
          <w:cantSplit/>
        </w:trPr>
        <w:tc>
          <w:tcPr>
            <w:tcW w:type="dxa" w:w="1584"/>
            <w:tcMar>
              <w:top w:w="110" w:type="dxa"/>
              <w:start w:w="110" w:type="dxa"/>
              <w:bottom w:w="110" w:type="dxa"/>
              <w:end w:w="110" w:type="dxa"/>
            </w:tcMar>
            <w:vAlign w:val="center"/>
          </w:tcPr>
          <w:p>
            <w:pPr>
              <w:spacing w:after="0"/>
            </w:pPr>
            <w:r>
              <w:rPr>
                <w:sz w:val="17"/>
              </w:rPr>
              <w:t>VEDAS</w:t>
            </w:r>
          </w:p>
        </w:tc>
        <w:tc>
          <w:tcPr>
            <w:tcW w:type="dxa" w:w="2808"/>
            <w:tcMar>
              <w:top w:w="110" w:type="dxa"/>
              <w:start w:w="110" w:type="dxa"/>
              <w:bottom w:w="110" w:type="dxa"/>
              <w:end w:w="110" w:type="dxa"/>
            </w:tcMar>
            <w:vAlign w:val="center"/>
          </w:tcPr>
          <w:p>
            <w:pPr>
              <w:spacing w:after="0"/>
            </w:pPr>
            <w:r>
              <w:rPr>
                <w:sz w:val="17"/>
              </w:rPr>
              <w:t>Provides visualization and domain applications including urban growth and energy mapping.</w:t>
            </w:r>
          </w:p>
        </w:tc>
        <w:tc>
          <w:tcPr>
            <w:tcW w:type="dxa" w:w="3384"/>
            <w:tcMar>
              <w:top w:w="110" w:type="dxa"/>
              <w:start w:w="110" w:type="dxa"/>
              <w:bottom w:w="110" w:type="dxa"/>
              <w:end w:w="110" w:type="dxa"/>
            </w:tcMar>
            <w:vAlign w:val="center"/>
          </w:tcPr>
          <w:p>
            <w:pPr>
              <w:spacing w:after="0"/>
            </w:pPr>
            <w:r>
              <w:rPr>
                <w:sz w:val="17"/>
              </w:rPr>
              <w:t>Public services center on applications and layers rather than one open question interface across RGB, time series and optical SAR pairs.</w:t>
            </w:r>
          </w:p>
        </w:tc>
        <w:tc>
          <w:tcPr>
            <w:tcW w:type="dxa" w:w="2088"/>
            <w:tcMar>
              <w:top w:w="110" w:type="dxa"/>
              <w:start w:w="110" w:type="dxa"/>
              <w:bottom w:w="110" w:type="dxa"/>
              <w:end w:w="110" w:type="dxa"/>
            </w:tcMar>
            <w:vAlign w:val="center"/>
          </w:tcPr>
          <w:p>
            <w:pPr>
              <w:spacing w:after="0"/>
            </w:pPr>
            <w:r>
              <w:rPr>
                <w:sz w:val="17"/>
              </w:rPr>
              <w:t>Use VEDAS layers and services as tools available to the router.</w:t>
            </w:r>
          </w:p>
        </w:tc>
      </w:tr>
      <w:tr>
        <w:trPr>
          <w:cantSplit/>
        </w:trPr>
        <w:tc>
          <w:tcPr>
            <w:tcW w:type="dxa" w:w="1584"/>
            <w:tcMar>
              <w:top w:w="110" w:type="dxa"/>
              <w:start w:w="110" w:type="dxa"/>
              <w:bottom w:w="110" w:type="dxa"/>
              <w:end w:w="110" w:type="dxa"/>
            </w:tcMar>
            <w:vAlign w:val="center"/>
            <w:shd w:fill="F3F7F8"/>
          </w:tcPr>
          <w:p>
            <w:pPr>
              <w:spacing w:after="0"/>
            </w:pPr>
            <w:r>
              <w:rPr>
                <w:sz w:val="17"/>
              </w:rPr>
              <w:t>ISRO research proposals</w:t>
            </w:r>
          </w:p>
        </w:tc>
        <w:tc>
          <w:tcPr>
            <w:tcW w:type="dxa" w:w="2808"/>
            <w:tcMar>
              <w:top w:w="110" w:type="dxa"/>
              <w:start w:w="110" w:type="dxa"/>
              <w:bottom w:w="110" w:type="dxa"/>
              <w:end w:w="110" w:type="dxa"/>
            </w:tcMar>
            <w:vAlign w:val="center"/>
            <w:shd w:fill="F3F7F8"/>
          </w:tcPr>
          <w:p>
            <w:pPr>
              <w:spacing w:after="0"/>
            </w:pPr>
            <w:r>
              <w:rPr>
                <w:sz w:val="17"/>
              </w:rPr>
              <w:t>ISRO publications describe computer vision and NLP systems for user queries and research on geospatial foundation models.</w:t>
            </w:r>
          </w:p>
        </w:tc>
        <w:tc>
          <w:tcPr>
            <w:tcW w:type="dxa" w:w="3384"/>
            <w:tcMar>
              <w:top w:w="110" w:type="dxa"/>
              <w:start w:w="110" w:type="dxa"/>
              <w:bottom w:w="110" w:type="dxa"/>
              <w:end w:w="110" w:type="dxa"/>
            </w:tcMar>
            <w:vAlign w:val="center"/>
            <w:shd w:fill="F3F7F8"/>
          </w:tcPr>
          <w:p>
            <w:pPr>
              <w:spacing w:after="0"/>
            </w:pPr>
            <w:r>
              <w:rPr>
                <w:sz w:val="17"/>
              </w:rPr>
              <w:t>The publications describe expected deliverables or research methodology. They do not establish a publicly available production model satisfying SIH26167.</w:t>
            </w:r>
          </w:p>
        </w:tc>
        <w:tc>
          <w:tcPr>
            <w:tcW w:type="dxa" w:w="2088"/>
            <w:tcMar>
              <w:top w:w="110" w:type="dxa"/>
              <w:start w:w="110" w:type="dxa"/>
              <w:bottom w:w="110" w:type="dxa"/>
              <w:end w:w="110" w:type="dxa"/>
            </w:tcMar>
            <w:vAlign w:val="center"/>
            <w:shd w:fill="F3F7F8"/>
          </w:tcPr>
          <w:p>
            <w:pPr>
              <w:spacing w:after="0"/>
            </w:pPr>
            <w:r>
              <w:rPr>
                <w:sz w:val="17"/>
              </w:rPr>
              <w:t>Build a small integration prototype and evaluate it instead of training a new foundation model.</w:t>
            </w:r>
          </w:p>
        </w:tc>
      </w:tr>
    </w:tbl>
    <w:p>
      <w:pPr>
        <w:spacing w:after="0"/>
      </w:pPr>
    </w:p>
    <w:p>
      <w:r>
        <w:t>Defensible judge answer. ISRO owns valuable data portals and analytical services. SatQuery adds a question understanding, model routing and evidence layer that can call those services. ISRO's own RESPOND material asks for a working computer vision and natural language model that can integrate with Bhuvan and other NRSC portals, which confirms that this integration gap remains relevant.</w:t>
      </w:r>
    </w:p>
    <w:p>
      <w:pPr>
        <w:pStyle w:val="Heading1"/>
      </w:pPr>
      <w:r>
        <w:t>16A Complete Disadvantage Register from the Supplied Files</w:t>
      </w:r>
    </w:p>
    <w:p>
      <w:r>
        <w:t>This register preserves every distinct disadvantage or friction point contained in the supplied documents. Repeated Planet content appears once. Each item is written as a scoped product gap, because several source documents correctly warn against claiming that a mature platform cannot perform a task under any circumstances.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800"/>
            <w:shd w:fill="123B4A"/>
            <w:tcMar>
              <w:top w:w="110" w:type="dxa"/>
              <w:start w:w="110" w:type="dxa"/>
              <w:bottom w:w="110" w:type="dxa"/>
              <w:end w:w="110" w:type="dxa"/>
            </w:tcMar>
            <w:vAlign w:val="center"/>
          </w:tcPr>
          <w:p>
            <w:r>
              <w:rPr>
                <w:b/>
                <w:color w:val="FFFFFF"/>
                <w:sz w:val="18"/>
              </w:rPr>
              <w:t>Product</w:t>
            </w:r>
          </w:p>
        </w:tc>
        <w:tc>
          <w:tcPr>
            <w:tcW w:type="dxa" w:w="4824"/>
            <w:shd w:fill="123B4A"/>
            <w:tcMar>
              <w:top w:w="110" w:type="dxa"/>
              <w:start w:w="110" w:type="dxa"/>
              <w:bottom w:w="110" w:type="dxa"/>
              <w:end w:w="110" w:type="dxa"/>
            </w:tcMar>
            <w:vAlign w:val="center"/>
          </w:tcPr>
          <w:p>
            <w:r>
              <w:rPr>
                <w:b/>
                <w:color w:val="FFFFFF"/>
                <w:sz w:val="18"/>
              </w:rPr>
              <w:t>Disadvantage or friction in the supplied material</w:t>
            </w:r>
          </w:p>
        </w:tc>
        <w:tc>
          <w:tcPr>
            <w:tcW w:type="dxa" w:w="3096"/>
            <w:shd w:fill="123B4A"/>
            <w:tcMar>
              <w:top w:w="110" w:type="dxa"/>
              <w:start w:w="110" w:type="dxa"/>
              <w:bottom w:w="110" w:type="dxa"/>
              <w:end w:w="110" w:type="dxa"/>
            </w:tcMar>
            <w:vAlign w:val="center"/>
          </w:tcPr>
          <w:p>
            <w:r>
              <w:rPr>
                <w:b/>
                <w:color w:val="FFFFFF"/>
                <w:sz w:val="18"/>
              </w:rPr>
              <w:t>Advantage designed into SatQuery</w:t>
            </w:r>
          </w:p>
        </w:tc>
      </w:tr>
      <w:tr>
        <w:trPr>
          <w:cantSplit/>
        </w:trPr>
        <w:tc>
          <w:tcPr>
            <w:tcW w:type="dxa" w:w="1800"/>
            <w:tcMar>
              <w:top w:w="110" w:type="dxa"/>
              <w:start w:w="110" w:type="dxa"/>
              <w:bottom w:w="110" w:type="dxa"/>
              <w:end w:w="110" w:type="dxa"/>
            </w:tcMar>
            <w:vAlign w:val="center"/>
          </w:tcPr>
          <w:p>
            <w:pPr>
              <w:spacing w:after="0"/>
            </w:pPr>
            <w:r>
              <w:rPr>
                <w:sz w:val="17"/>
              </w:rPr>
              <w:t>Google Earth Engine</w:t>
            </w:r>
          </w:p>
        </w:tc>
        <w:tc>
          <w:tcPr>
            <w:tcW w:type="dxa" w:w="4824"/>
            <w:tcMar>
              <w:top w:w="110" w:type="dxa"/>
              <w:start w:w="110" w:type="dxa"/>
              <w:bottom w:w="110" w:type="dxa"/>
              <w:end w:w="110" w:type="dxa"/>
            </w:tcMar>
            <w:vAlign w:val="center"/>
          </w:tcPr>
          <w:p>
            <w:pPr>
              <w:spacing w:after="0"/>
            </w:pPr>
            <w:r>
              <w:rPr>
                <w:sz w:val="17"/>
              </w:rPr>
              <w:t>Analyst first workflow</w:t>
            </w:r>
          </w:p>
        </w:tc>
        <w:tc>
          <w:tcPr>
            <w:tcW w:type="dxa" w:w="3096"/>
            <w:tcMar>
              <w:top w:w="110" w:type="dxa"/>
              <w:start w:w="110" w:type="dxa"/>
              <w:bottom w:w="110" w:type="dxa"/>
              <w:end w:w="110" w:type="dxa"/>
            </w:tcMar>
            <w:vAlign w:val="center"/>
          </w:tcPr>
          <w:p>
            <w:pPr>
              <w:spacing w:after="0"/>
            </w:pPr>
            <w:r>
              <w:rPr>
                <w:sz w:val="17"/>
              </w:rPr>
              <w:t>Natural language input selects a supported task.</w:t>
            </w:r>
          </w:p>
        </w:tc>
      </w:tr>
      <w:tr>
        <w:trPr>
          <w:cantSplit/>
        </w:trPr>
        <w:tc>
          <w:tcPr>
            <w:tcW w:type="dxa" w:w="1800"/>
            <w:tcMar>
              <w:top w:w="110" w:type="dxa"/>
              <w:start w:w="110" w:type="dxa"/>
              <w:bottom w:w="110" w:type="dxa"/>
              <w:end w:w="110" w:type="dxa"/>
            </w:tcMar>
            <w:vAlign w:val="center"/>
            <w:shd w:fill="F3F7F8"/>
          </w:tcPr>
          <w:p>
            <w:pPr>
              <w:spacing w:after="0"/>
            </w:pPr>
            <w:r>
              <w:rPr>
                <w:sz w:val="17"/>
              </w:rPr>
              <w:t>Google Earth Engine</w:t>
            </w:r>
          </w:p>
        </w:tc>
        <w:tc>
          <w:tcPr>
            <w:tcW w:type="dxa" w:w="4824"/>
            <w:tcMar>
              <w:top w:w="110" w:type="dxa"/>
              <w:start w:w="110" w:type="dxa"/>
              <w:bottom w:w="110" w:type="dxa"/>
              <w:end w:w="110" w:type="dxa"/>
            </w:tcMar>
            <w:vAlign w:val="center"/>
            <w:shd w:fill="F3F7F8"/>
          </w:tcPr>
          <w:p>
            <w:pPr>
              <w:spacing w:after="0"/>
            </w:pPr>
            <w:r>
              <w:rPr>
                <w:sz w:val="17"/>
              </w:rPr>
              <w:t>No unified visual question answering workflow</w:t>
            </w:r>
          </w:p>
        </w:tc>
        <w:tc>
          <w:tcPr>
            <w:tcW w:type="dxa" w:w="3096"/>
            <w:tcMar>
              <w:top w:w="110" w:type="dxa"/>
              <w:start w:w="110" w:type="dxa"/>
              <w:bottom w:w="110" w:type="dxa"/>
              <w:end w:w="110" w:type="dxa"/>
            </w:tcMar>
            <w:vAlign w:val="center"/>
            <w:shd w:fill="F3F7F8"/>
          </w:tcPr>
          <w:p>
            <w:pPr>
              <w:spacing w:after="0"/>
            </w:pPr>
            <w:r>
              <w:rPr>
                <w:sz w:val="17"/>
              </w:rPr>
              <w:t>One interface handles controlled image questions.</w:t>
            </w:r>
          </w:p>
        </w:tc>
      </w:tr>
      <w:tr>
        <w:trPr>
          <w:cantSplit/>
        </w:trPr>
        <w:tc>
          <w:tcPr>
            <w:tcW w:type="dxa" w:w="1800"/>
            <w:tcMar>
              <w:top w:w="110" w:type="dxa"/>
              <w:start w:w="110" w:type="dxa"/>
              <w:bottom w:w="110" w:type="dxa"/>
              <w:end w:w="110" w:type="dxa"/>
            </w:tcMar>
            <w:vAlign w:val="center"/>
          </w:tcPr>
          <w:p>
            <w:pPr>
              <w:spacing w:after="0"/>
            </w:pPr>
            <w:r>
              <w:rPr>
                <w:sz w:val="17"/>
              </w:rPr>
              <w:t>Google Earth Engine</w:t>
            </w:r>
          </w:p>
        </w:tc>
        <w:tc>
          <w:tcPr>
            <w:tcW w:type="dxa" w:w="4824"/>
            <w:tcMar>
              <w:top w:w="110" w:type="dxa"/>
              <w:start w:w="110" w:type="dxa"/>
              <w:bottom w:w="110" w:type="dxa"/>
              <w:end w:w="110" w:type="dxa"/>
            </w:tcMar>
            <w:vAlign w:val="center"/>
          </w:tcPr>
          <w:p>
            <w:pPr>
              <w:spacing w:after="0"/>
            </w:pPr>
            <w:r>
              <w:rPr>
                <w:sz w:val="17"/>
              </w:rPr>
              <w:t>Visual grounding is not presented as a conversational default</w:t>
            </w:r>
          </w:p>
        </w:tc>
        <w:tc>
          <w:tcPr>
            <w:tcW w:type="dxa" w:w="3096"/>
            <w:tcMar>
              <w:top w:w="110" w:type="dxa"/>
              <w:start w:w="110" w:type="dxa"/>
              <w:bottom w:w="110" w:type="dxa"/>
              <w:end w:w="110" w:type="dxa"/>
            </w:tcMar>
            <w:vAlign w:val="center"/>
          </w:tcPr>
          <w:p>
            <w:pPr>
              <w:spacing w:after="0"/>
            </w:pPr>
            <w:r>
              <w:rPr>
                <w:sz w:val="17"/>
              </w:rPr>
              <w:t>Return a box or pixel mask with the answer.</w:t>
            </w:r>
          </w:p>
        </w:tc>
      </w:tr>
      <w:tr>
        <w:trPr>
          <w:cantSplit/>
        </w:trPr>
        <w:tc>
          <w:tcPr>
            <w:tcW w:type="dxa" w:w="1800"/>
            <w:tcMar>
              <w:top w:w="110" w:type="dxa"/>
              <w:start w:w="110" w:type="dxa"/>
              <w:bottom w:w="110" w:type="dxa"/>
              <w:end w:w="110" w:type="dxa"/>
            </w:tcMar>
            <w:vAlign w:val="center"/>
            <w:shd w:fill="F3F7F8"/>
          </w:tcPr>
          <w:p>
            <w:pPr>
              <w:spacing w:after="0"/>
            </w:pPr>
            <w:r>
              <w:rPr>
                <w:sz w:val="17"/>
              </w:rPr>
              <w:t>Google Earth Engine</w:t>
            </w:r>
          </w:p>
        </w:tc>
        <w:tc>
          <w:tcPr>
            <w:tcW w:type="dxa" w:w="4824"/>
            <w:tcMar>
              <w:top w:w="110" w:type="dxa"/>
              <w:start w:w="110" w:type="dxa"/>
              <w:bottom w:w="110" w:type="dxa"/>
              <w:end w:w="110" w:type="dxa"/>
            </w:tcMar>
            <w:vAlign w:val="center"/>
            <w:shd w:fill="F3F7F8"/>
          </w:tcPr>
          <w:p>
            <w:pPr>
              <w:spacing w:after="0"/>
            </w:pPr>
            <w:r>
              <w:rPr>
                <w:sz w:val="17"/>
              </w:rPr>
              <w:t>Classification, segmentation, change and SAR normally use separate workflows</w:t>
            </w:r>
          </w:p>
        </w:tc>
        <w:tc>
          <w:tcPr>
            <w:tcW w:type="dxa" w:w="3096"/>
            <w:tcMar>
              <w:top w:w="110" w:type="dxa"/>
              <w:start w:w="110" w:type="dxa"/>
              <w:bottom w:w="110" w:type="dxa"/>
              <w:end w:w="110" w:type="dxa"/>
            </w:tcMar>
            <w:vAlign w:val="center"/>
            <w:shd w:fill="F3F7F8"/>
          </w:tcPr>
          <w:p>
            <w:pPr>
              <w:spacing w:after="0"/>
            </w:pPr>
            <w:r>
              <w:rPr>
                <w:sz w:val="17"/>
              </w:rPr>
              <w:t>A model registry and router select the specialist pipeline.</w:t>
            </w:r>
          </w:p>
        </w:tc>
      </w:tr>
      <w:tr>
        <w:trPr>
          <w:cantSplit/>
        </w:trPr>
        <w:tc>
          <w:tcPr>
            <w:tcW w:type="dxa" w:w="1800"/>
            <w:tcMar>
              <w:top w:w="110" w:type="dxa"/>
              <w:start w:w="110" w:type="dxa"/>
              <w:bottom w:w="110" w:type="dxa"/>
              <w:end w:w="110" w:type="dxa"/>
            </w:tcMar>
            <w:vAlign w:val="center"/>
          </w:tcPr>
          <w:p>
            <w:pPr>
              <w:spacing w:after="0"/>
            </w:pPr>
            <w:r>
              <w:rPr>
                <w:sz w:val="17"/>
              </w:rPr>
              <w:t>Google Earth Engine</w:t>
            </w:r>
          </w:p>
        </w:tc>
        <w:tc>
          <w:tcPr>
            <w:tcW w:type="dxa" w:w="4824"/>
            <w:tcMar>
              <w:top w:w="110" w:type="dxa"/>
              <w:start w:w="110" w:type="dxa"/>
              <w:bottom w:w="110" w:type="dxa"/>
              <w:end w:w="110" w:type="dxa"/>
            </w:tcMar>
            <w:vAlign w:val="center"/>
          </w:tcPr>
          <w:p>
            <w:pPr>
              <w:spacing w:after="0"/>
            </w:pPr>
            <w:r>
              <w:rPr>
                <w:sz w:val="17"/>
              </w:rPr>
              <w:t>Optical SAR reasoning requires dataset and algorithm knowledge</w:t>
            </w:r>
          </w:p>
        </w:tc>
        <w:tc>
          <w:tcPr>
            <w:tcW w:type="dxa" w:w="3096"/>
            <w:tcMar>
              <w:top w:w="110" w:type="dxa"/>
              <w:start w:w="110" w:type="dxa"/>
              <w:bottom w:w="110" w:type="dxa"/>
              <w:end w:w="110" w:type="dxa"/>
            </w:tcMar>
            <w:vAlign w:val="center"/>
          </w:tcPr>
          <w:p>
            <w:pPr>
              <w:spacing w:after="0"/>
            </w:pPr>
            <w:r>
              <w:rPr>
                <w:sz w:val="17"/>
              </w:rPr>
              <w:t>A constrained fusion workflow validates and combines aligned inputs.</w:t>
            </w:r>
          </w:p>
        </w:tc>
      </w:tr>
      <w:tr>
        <w:trPr>
          <w:cantSplit/>
        </w:trPr>
        <w:tc>
          <w:tcPr>
            <w:tcW w:type="dxa" w:w="1800"/>
            <w:tcMar>
              <w:top w:w="110" w:type="dxa"/>
              <w:start w:w="110" w:type="dxa"/>
              <w:bottom w:w="110" w:type="dxa"/>
              <w:end w:w="110" w:type="dxa"/>
            </w:tcMar>
            <w:vAlign w:val="center"/>
            <w:shd w:fill="F3F7F8"/>
          </w:tcPr>
          <w:p>
            <w:pPr>
              <w:spacing w:after="0"/>
            </w:pPr>
            <w:r>
              <w:rPr>
                <w:sz w:val="17"/>
              </w:rPr>
              <w:t>Google Earth Engine</w:t>
            </w:r>
          </w:p>
        </w:tc>
        <w:tc>
          <w:tcPr>
            <w:tcW w:type="dxa" w:w="4824"/>
            <w:tcMar>
              <w:top w:w="110" w:type="dxa"/>
              <w:start w:w="110" w:type="dxa"/>
              <w:bottom w:w="110" w:type="dxa"/>
              <w:end w:w="110" w:type="dxa"/>
            </w:tcMar>
            <w:vAlign w:val="center"/>
            <w:shd w:fill="F3F7F8"/>
          </w:tcPr>
          <w:p>
            <w:pPr>
              <w:spacing w:after="0"/>
            </w:pPr>
            <w:r>
              <w:rPr>
                <w:sz w:val="17"/>
              </w:rPr>
              <w:t>Natural language ambiguity handling is not the standard workflow</w:t>
            </w:r>
          </w:p>
        </w:tc>
        <w:tc>
          <w:tcPr>
            <w:tcW w:type="dxa" w:w="3096"/>
            <w:tcMar>
              <w:top w:w="110" w:type="dxa"/>
              <w:start w:w="110" w:type="dxa"/>
              <w:bottom w:w="110" w:type="dxa"/>
              <w:end w:w="110" w:type="dxa"/>
            </w:tcMar>
            <w:vAlign w:val="center"/>
            <w:shd w:fill="F3F7F8"/>
          </w:tcPr>
          <w:p>
            <w:pPr>
              <w:spacing w:after="0"/>
            </w:pPr>
            <w:r>
              <w:rPr>
                <w:sz w:val="17"/>
              </w:rPr>
              <w:t>Clarify or refuse ambiguous requests such as highlight the line.</w:t>
            </w:r>
          </w:p>
        </w:tc>
      </w:tr>
      <w:tr>
        <w:trPr>
          <w:cantSplit/>
        </w:trPr>
        <w:tc>
          <w:tcPr>
            <w:tcW w:type="dxa" w:w="1800"/>
            <w:tcMar>
              <w:top w:w="110" w:type="dxa"/>
              <w:start w:w="110" w:type="dxa"/>
              <w:bottom w:w="110" w:type="dxa"/>
              <w:end w:w="110" w:type="dxa"/>
            </w:tcMar>
            <w:vAlign w:val="center"/>
          </w:tcPr>
          <w:p>
            <w:pPr>
              <w:spacing w:after="0"/>
            </w:pPr>
            <w:r>
              <w:rPr>
                <w:sz w:val="17"/>
              </w:rPr>
              <w:t>Google Earth Engine</w:t>
            </w:r>
          </w:p>
        </w:tc>
        <w:tc>
          <w:tcPr>
            <w:tcW w:type="dxa" w:w="4824"/>
            <w:tcMar>
              <w:top w:w="110" w:type="dxa"/>
              <w:start w:w="110" w:type="dxa"/>
              <w:bottom w:w="110" w:type="dxa"/>
              <w:end w:w="110" w:type="dxa"/>
            </w:tcMar>
            <w:vAlign w:val="center"/>
          </w:tcPr>
          <w:p>
            <w:pPr>
              <w:spacing w:after="0"/>
            </w:pPr>
            <w:r>
              <w:rPr>
                <w:sz w:val="17"/>
              </w:rPr>
              <w:t>Processing output does not automatically provide calibrated explanation</w:t>
            </w:r>
          </w:p>
        </w:tc>
        <w:tc>
          <w:tcPr>
            <w:tcW w:type="dxa" w:w="3096"/>
            <w:tcMar>
              <w:top w:w="110" w:type="dxa"/>
              <w:start w:w="110" w:type="dxa"/>
              <w:bottom w:w="110" w:type="dxa"/>
              <w:end w:w="110" w:type="dxa"/>
            </w:tcMar>
            <w:vAlign w:val="center"/>
          </w:tcPr>
          <w:p>
            <w:pPr>
              <w:spacing w:after="0"/>
            </w:pPr>
            <w:r>
              <w:rPr>
                <w:sz w:val="17"/>
              </w:rPr>
              <w:t>Show confidence factors, evidence and warnings.</w:t>
            </w:r>
          </w:p>
        </w:tc>
      </w:tr>
      <w:tr>
        <w:trPr>
          <w:cantSplit/>
        </w:trPr>
        <w:tc>
          <w:tcPr>
            <w:tcW w:type="dxa" w:w="1800"/>
            <w:tcMar>
              <w:top w:w="110" w:type="dxa"/>
              <w:start w:w="110" w:type="dxa"/>
              <w:bottom w:w="110" w:type="dxa"/>
              <w:end w:w="110" w:type="dxa"/>
            </w:tcMar>
            <w:vAlign w:val="center"/>
            <w:shd w:fill="F3F7F8"/>
          </w:tcPr>
          <w:p>
            <w:pPr>
              <w:spacing w:after="0"/>
            </w:pPr>
            <w:r>
              <w:rPr>
                <w:sz w:val="17"/>
              </w:rPr>
              <w:t>Google Earth Engine</w:t>
            </w:r>
          </w:p>
        </w:tc>
        <w:tc>
          <w:tcPr>
            <w:tcW w:type="dxa" w:w="4824"/>
            <w:tcMar>
              <w:top w:w="110" w:type="dxa"/>
              <w:start w:w="110" w:type="dxa"/>
              <w:bottom w:w="110" w:type="dxa"/>
              <w:end w:w="110" w:type="dxa"/>
            </w:tcMar>
            <w:vAlign w:val="center"/>
            <w:shd w:fill="F3F7F8"/>
          </w:tcPr>
          <w:p>
            <w:pPr>
              <w:spacing w:after="0"/>
            </w:pPr>
            <w:r>
              <w:rPr>
                <w:sz w:val="17"/>
              </w:rPr>
              <w:t>Generic workflows do not prove Cartosat RISAT performance</w:t>
            </w:r>
          </w:p>
        </w:tc>
        <w:tc>
          <w:tcPr>
            <w:tcW w:type="dxa" w:w="3096"/>
            <w:tcMar>
              <w:top w:w="110" w:type="dxa"/>
              <w:start w:w="110" w:type="dxa"/>
              <w:bottom w:w="110" w:type="dxa"/>
              <w:end w:w="110" w:type="dxa"/>
            </w:tcMar>
            <w:vAlign w:val="center"/>
            <w:shd w:fill="F3F7F8"/>
          </w:tcPr>
          <w:p>
            <w:pPr>
              <w:spacing w:after="0"/>
            </w:pPr>
            <w:r>
              <w:rPr>
                <w:sz w:val="17"/>
              </w:rPr>
              <w:t>Fine tune and evaluate on target sensor samples.</w:t>
            </w:r>
          </w:p>
        </w:tc>
      </w:tr>
      <w:tr>
        <w:trPr>
          <w:cantSplit/>
        </w:trPr>
        <w:tc>
          <w:tcPr>
            <w:tcW w:type="dxa" w:w="1800"/>
            <w:tcMar>
              <w:top w:w="110" w:type="dxa"/>
              <w:start w:w="110" w:type="dxa"/>
              <w:bottom w:w="110" w:type="dxa"/>
              <w:end w:w="110" w:type="dxa"/>
            </w:tcMar>
            <w:vAlign w:val="center"/>
          </w:tcPr>
          <w:p>
            <w:pPr>
              <w:spacing w:after="0"/>
            </w:pPr>
            <w:r>
              <w:rPr>
                <w:sz w:val="17"/>
              </w:rPr>
              <w:t>Google Earth Engine</w:t>
            </w:r>
          </w:p>
        </w:tc>
        <w:tc>
          <w:tcPr>
            <w:tcW w:type="dxa" w:w="4824"/>
            <w:tcMar>
              <w:top w:w="110" w:type="dxa"/>
              <w:start w:w="110" w:type="dxa"/>
              <w:bottom w:w="110" w:type="dxa"/>
              <w:end w:w="110" w:type="dxa"/>
            </w:tcMar>
            <w:vAlign w:val="center"/>
          </w:tcPr>
          <w:p>
            <w:pPr>
              <w:spacing w:after="0"/>
            </w:pPr>
            <w:r>
              <w:rPr>
                <w:sz w:val="17"/>
              </w:rPr>
              <w:t>Cloud centered operation may not suit sensitive imagery</w:t>
            </w:r>
          </w:p>
        </w:tc>
        <w:tc>
          <w:tcPr>
            <w:tcW w:type="dxa" w:w="3096"/>
            <w:tcMar>
              <w:top w:w="110" w:type="dxa"/>
              <w:start w:w="110" w:type="dxa"/>
              <w:bottom w:w="110" w:type="dxa"/>
              <w:end w:w="110" w:type="dxa"/>
            </w:tcMar>
            <w:vAlign w:val="center"/>
          </w:tcPr>
          <w:p>
            <w:pPr>
              <w:spacing w:after="0"/>
            </w:pPr>
            <w:r>
              <w:rPr>
                <w:sz w:val="17"/>
              </w:rPr>
              <w:t>Offer local or organization controlled inference.</w:t>
            </w:r>
          </w:p>
        </w:tc>
      </w:tr>
      <w:tr>
        <w:trPr>
          <w:cantSplit/>
        </w:trPr>
        <w:tc>
          <w:tcPr>
            <w:tcW w:type="dxa" w:w="1800"/>
            <w:tcMar>
              <w:top w:w="110" w:type="dxa"/>
              <w:start w:w="110" w:type="dxa"/>
              <w:bottom w:w="110" w:type="dxa"/>
              <w:end w:w="110" w:type="dxa"/>
            </w:tcMar>
            <w:vAlign w:val="center"/>
            <w:shd w:fill="F3F7F8"/>
          </w:tcPr>
          <w:p>
            <w:pPr>
              <w:spacing w:after="0"/>
            </w:pPr>
            <w:r>
              <w:rPr>
                <w:sz w:val="17"/>
              </w:rPr>
              <w:t>Google Earth Engine</w:t>
            </w:r>
          </w:p>
        </w:tc>
        <w:tc>
          <w:tcPr>
            <w:tcW w:type="dxa" w:w="4824"/>
            <w:tcMar>
              <w:top w:w="110" w:type="dxa"/>
              <w:start w:w="110" w:type="dxa"/>
              <w:bottom w:w="110" w:type="dxa"/>
              <w:end w:w="110" w:type="dxa"/>
            </w:tcMar>
            <w:vAlign w:val="center"/>
            <w:shd w:fill="F3F7F8"/>
          </w:tcPr>
          <w:p>
            <w:pPr>
              <w:spacing w:after="0"/>
            </w:pPr>
            <w:r>
              <w:rPr>
                <w:sz w:val="17"/>
              </w:rPr>
              <w:t>Question to task to evidence trace is not the default end user experience</w:t>
            </w:r>
          </w:p>
        </w:tc>
        <w:tc>
          <w:tcPr>
            <w:tcW w:type="dxa" w:w="3096"/>
            <w:tcMar>
              <w:top w:w="110" w:type="dxa"/>
              <w:start w:w="110" w:type="dxa"/>
              <w:bottom w:w="110" w:type="dxa"/>
              <w:end w:w="110" w:type="dxa"/>
            </w:tcMar>
            <w:vAlign w:val="center"/>
            <w:shd w:fill="F3F7F8"/>
          </w:tcPr>
          <w:p>
            <w:pPr>
              <w:spacing w:after="0"/>
            </w:pPr>
            <w:r>
              <w:rPr>
                <w:sz w:val="17"/>
              </w:rPr>
              <w:t>Return an execution trace for every result.</w:t>
            </w:r>
          </w:p>
        </w:tc>
      </w:tr>
      <w:tr>
        <w:trPr>
          <w:cantSplit/>
        </w:trPr>
        <w:tc>
          <w:tcPr>
            <w:tcW w:type="dxa" w:w="1800"/>
            <w:tcMar>
              <w:top w:w="110" w:type="dxa"/>
              <w:start w:w="110" w:type="dxa"/>
              <w:bottom w:w="110" w:type="dxa"/>
              <w:end w:w="110" w:type="dxa"/>
            </w:tcMar>
            <w:vAlign w:val="center"/>
          </w:tcPr>
          <w:p>
            <w:pPr>
              <w:spacing w:after="0"/>
            </w:pPr>
            <w:r>
              <w:rPr>
                <w:sz w:val="17"/>
              </w:rPr>
              <w:t>Google Earth Engine</w:t>
            </w:r>
          </w:p>
        </w:tc>
        <w:tc>
          <w:tcPr>
            <w:tcW w:type="dxa" w:w="4824"/>
            <w:tcMar>
              <w:top w:w="110" w:type="dxa"/>
              <w:start w:w="110" w:type="dxa"/>
              <w:bottom w:w="110" w:type="dxa"/>
              <w:end w:w="110" w:type="dxa"/>
            </w:tcMar>
            <w:vAlign w:val="center"/>
          </w:tcPr>
          <w:p>
            <w:pPr>
              <w:spacing w:after="0"/>
            </w:pPr>
            <w:r>
              <w:rPr>
                <w:sz w:val="17"/>
              </w:rPr>
              <w:t>Public catalogues do not solve restricted ISRO imagery access</w:t>
            </w:r>
          </w:p>
        </w:tc>
        <w:tc>
          <w:tcPr>
            <w:tcW w:type="dxa" w:w="3096"/>
            <w:tcMar>
              <w:top w:w="110" w:type="dxa"/>
              <w:start w:w="110" w:type="dxa"/>
              <w:bottom w:w="110" w:type="dxa"/>
              <w:end w:w="110" w:type="dxa"/>
            </w:tcMar>
            <w:vAlign w:val="center"/>
          </w:tcPr>
          <w:p>
            <w:pPr>
              <w:spacing w:after="0"/>
            </w:pPr>
            <w:r>
              <w:rPr>
                <w:sz w:val="17"/>
              </w:rPr>
              <w:t>Accept governed user supplied imagery without uploading it to a public catalogue.</w:t>
            </w:r>
          </w:p>
        </w:tc>
      </w:tr>
      <w:tr>
        <w:trPr>
          <w:cantSplit/>
        </w:trPr>
        <w:tc>
          <w:tcPr>
            <w:tcW w:type="dxa" w:w="1800"/>
            <w:tcMar>
              <w:top w:w="110" w:type="dxa"/>
              <w:start w:w="110" w:type="dxa"/>
              <w:bottom w:w="110" w:type="dxa"/>
              <w:end w:w="110" w:type="dxa"/>
            </w:tcMar>
            <w:vAlign w:val="center"/>
            <w:shd w:fill="F3F7F8"/>
          </w:tcPr>
          <w:p>
            <w:pPr>
              <w:spacing w:after="0"/>
            </w:pPr>
            <w:r>
              <w:rPr>
                <w:sz w:val="17"/>
              </w:rPr>
              <w:t>Google Earth Engine</w:t>
            </w:r>
          </w:p>
        </w:tc>
        <w:tc>
          <w:tcPr>
            <w:tcW w:type="dxa" w:w="4824"/>
            <w:tcMar>
              <w:top w:w="110" w:type="dxa"/>
              <w:start w:w="110" w:type="dxa"/>
              <w:bottom w:w="110" w:type="dxa"/>
              <w:end w:w="110" w:type="dxa"/>
            </w:tcMar>
            <w:vAlign w:val="center"/>
            <w:shd w:fill="F3F7F8"/>
          </w:tcPr>
          <w:p>
            <w:pPr>
              <w:spacing w:after="0"/>
            </w:pPr>
            <w:r>
              <w:rPr>
                <w:sz w:val="17"/>
              </w:rPr>
              <w:t>Effective use often requires remote sensing and Earth Engine knowledge</w:t>
            </w:r>
          </w:p>
        </w:tc>
        <w:tc>
          <w:tcPr>
            <w:tcW w:type="dxa" w:w="3096"/>
            <w:tcMar>
              <w:top w:w="110" w:type="dxa"/>
              <w:start w:w="110" w:type="dxa"/>
              <w:bottom w:w="110" w:type="dxa"/>
              <w:end w:w="110" w:type="dxa"/>
            </w:tcMar>
            <w:vAlign w:val="center"/>
            <w:shd w:fill="F3F7F8"/>
          </w:tcPr>
          <w:p>
            <w:pPr>
              <w:spacing w:after="0"/>
            </w:pPr>
            <w:r>
              <w:rPr>
                <w:sz w:val="17"/>
              </w:rPr>
              <w:t>Use guided questions and expose technical settings only when needed.</w:t>
            </w:r>
          </w:p>
        </w:tc>
      </w:tr>
      <w:tr>
        <w:trPr>
          <w:cantSplit/>
        </w:trPr>
        <w:tc>
          <w:tcPr>
            <w:tcW w:type="dxa" w:w="1800"/>
            <w:tcMar>
              <w:top w:w="110" w:type="dxa"/>
              <w:start w:w="110" w:type="dxa"/>
              <w:bottom w:w="110" w:type="dxa"/>
              <w:end w:w="110" w:type="dxa"/>
            </w:tcMar>
            <w:vAlign w:val="center"/>
          </w:tcPr>
          <w:p>
            <w:pPr>
              <w:spacing w:after="0"/>
            </w:pPr>
            <w:r>
              <w:rPr>
                <w:sz w:val="17"/>
              </w:rPr>
              <w:t>Planet Insights Platform</w:t>
            </w:r>
          </w:p>
        </w:tc>
        <w:tc>
          <w:tcPr>
            <w:tcW w:type="dxa" w:w="4824"/>
            <w:tcMar>
              <w:top w:w="110" w:type="dxa"/>
              <w:start w:w="110" w:type="dxa"/>
              <w:bottom w:w="110" w:type="dxa"/>
              <w:end w:w="110" w:type="dxa"/>
            </w:tcMar>
            <w:vAlign w:val="center"/>
          </w:tcPr>
          <w:p>
            <w:pPr>
              <w:spacing w:after="0"/>
            </w:pPr>
            <w:r>
              <w:rPr>
                <w:sz w:val="17"/>
              </w:rPr>
              <w:t>Users still need to understand data, layers and analytical workflows</w:t>
            </w:r>
          </w:p>
        </w:tc>
        <w:tc>
          <w:tcPr>
            <w:tcW w:type="dxa" w:w="3096"/>
            <w:tcMar>
              <w:top w:w="110" w:type="dxa"/>
              <w:start w:w="110" w:type="dxa"/>
              <w:bottom w:w="110" w:type="dxa"/>
              <w:end w:w="110" w:type="dxa"/>
            </w:tcMar>
            <w:vAlign w:val="center"/>
          </w:tcPr>
          <w:p>
            <w:pPr>
              <w:spacing w:after="0"/>
            </w:pPr>
            <w:r>
              <w:rPr>
                <w:sz w:val="17"/>
              </w:rPr>
              <w:t>Translate a supported question into a validated workflow.</w:t>
            </w:r>
          </w:p>
        </w:tc>
      </w:tr>
      <w:tr>
        <w:trPr>
          <w:cantSplit/>
        </w:trPr>
        <w:tc>
          <w:tcPr>
            <w:tcW w:type="dxa" w:w="1800"/>
            <w:tcMar>
              <w:top w:w="110" w:type="dxa"/>
              <w:start w:w="110" w:type="dxa"/>
              <w:bottom w:w="110" w:type="dxa"/>
              <w:end w:w="110" w:type="dxa"/>
            </w:tcMar>
            <w:vAlign w:val="center"/>
            <w:shd w:fill="F3F7F8"/>
          </w:tcPr>
          <w:p>
            <w:pPr>
              <w:spacing w:after="0"/>
            </w:pPr>
            <w:r>
              <w:rPr>
                <w:sz w:val="17"/>
              </w:rPr>
              <w:t>Planet Insights Platform</w:t>
            </w:r>
          </w:p>
        </w:tc>
        <w:tc>
          <w:tcPr>
            <w:tcW w:type="dxa" w:w="4824"/>
            <w:tcMar>
              <w:top w:w="110" w:type="dxa"/>
              <w:start w:w="110" w:type="dxa"/>
              <w:bottom w:w="110" w:type="dxa"/>
              <w:end w:w="110" w:type="dxa"/>
            </w:tcMar>
            <w:vAlign w:val="center"/>
            <w:shd w:fill="F3F7F8"/>
          </w:tcPr>
          <w:p>
            <w:pPr>
              <w:spacing w:after="0"/>
            </w:pPr>
            <w:r>
              <w:rPr>
                <w:sz w:val="17"/>
              </w:rPr>
              <w:t>Predefined analytics are not an open ended conversational reasoning system</w:t>
            </w:r>
          </w:p>
        </w:tc>
        <w:tc>
          <w:tcPr>
            <w:tcW w:type="dxa" w:w="3096"/>
            <w:tcMar>
              <w:top w:w="110" w:type="dxa"/>
              <w:start w:w="110" w:type="dxa"/>
              <w:bottom w:w="110" w:type="dxa"/>
              <w:end w:w="110" w:type="dxa"/>
            </w:tcMar>
            <w:vAlign w:val="center"/>
            <w:shd w:fill="F3F7F8"/>
          </w:tcPr>
          <w:p>
            <w:pPr>
              <w:spacing w:after="0"/>
            </w:pPr>
            <w:r>
              <w:rPr>
                <w:sz w:val="17"/>
              </w:rPr>
              <w:t>Route different questions to approved specialist models.</w:t>
            </w:r>
          </w:p>
        </w:tc>
      </w:tr>
      <w:tr>
        <w:trPr>
          <w:cantSplit/>
        </w:trPr>
        <w:tc>
          <w:tcPr>
            <w:tcW w:type="dxa" w:w="1800"/>
            <w:tcMar>
              <w:top w:w="110" w:type="dxa"/>
              <w:start w:w="110" w:type="dxa"/>
              <w:bottom w:w="110" w:type="dxa"/>
              <w:end w:w="110" w:type="dxa"/>
            </w:tcMar>
            <w:vAlign w:val="center"/>
          </w:tcPr>
          <w:p>
            <w:pPr>
              <w:spacing w:after="0"/>
            </w:pPr>
            <w:r>
              <w:rPr>
                <w:sz w:val="17"/>
              </w:rPr>
              <w:t>Planet Insights Platform</w:t>
            </w:r>
          </w:p>
        </w:tc>
        <w:tc>
          <w:tcPr>
            <w:tcW w:type="dxa" w:w="4824"/>
            <w:tcMar>
              <w:top w:w="110" w:type="dxa"/>
              <w:start w:w="110" w:type="dxa"/>
              <w:bottom w:w="110" w:type="dxa"/>
              <w:end w:w="110" w:type="dxa"/>
            </w:tcMar>
            <w:vAlign w:val="center"/>
          </w:tcPr>
          <w:p>
            <w:pPr>
              <w:spacing w:after="0"/>
            </w:pPr>
            <w:r>
              <w:rPr>
                <w:sz w:val="17"/>
              </w:rPr>
              <w:t>Commercial ecosystem does not target the Cartosat RISAT evaluation scenario</w:t>
            </w:r>
          </w:p>
        </w:tc>
        <w:tc>
          <w:tcPr>
            <w:tcW w:type="dxa" w:w="3096"/>
            <w:tcMar>
              <w:top w:w="110" w:type="dxa"/>
              <w:start w:w="110" w:type="dxa"/>
              <w:bottom w:w="110" w:type="dxa"/>
              <w:end w:w="110" w:type="dxa"/>
            </w:tcMar>
            <w:vAlign w:val="center"/>
          </w:tcPr>
          <w:p>
            <w:pPr>
              <w:spacing w:after="0"/>
            </w:pPr>
            <w:r>
              <w:rPr>
                <w:sz w:val="17"/>
              </w:rPr>
              <w:t>Support uploaded Indian Earth observation data and target sensor evaluation.</w:t>
            </w:r>
          </w:p>
        </w:tc>
      </w:tr>
      <w:tr>
        <w:trPr>
          <w:cantSplit/>
        </w:trPr>
        <w:tc>
          <w:tcPr>
            <w:tcW w:type="dxa" w:w="1800"/>
            <w:tcMar>
              <w:top w:w="110" w:type="dxa"/>
              <w:start w:w="110" w:type="dxa"/>
              <w:bottom w:w="110" w:type="dxa"/>
              <w:end w:w="110" w:type="dxa"/>
            </w:tcMar>
            <w:vAlign w:val="center"/>
            <w:shd w:fill="F3F7F8"/>
          </w:tcPr>
          <w:p>
            <w:pPr>
              <w:spacing w:after="0"/>
            </w:pPr>
            <w:r>
              <w:rPr>
                <w:sz w:val="17"/>
              </w:rPr>
              <w:t>Planet Insights Platform</w:t>
            </w:r>
          </w:p>
        </w:tc>
        <w:tc>
          <w:tcPr>
            <w:tcW w:type="dxa" w:w="4824"/>
            <w:tcMar>
              <w:top w:w="110" w:type="dxa"/>
              <w:start w:w="110" w:type="dxa"/>
              <w:bottom w:w="110" w:type="dxa"/>
              <w:end w:w="110" w:type="dxa"/>
            </w:tcMar>
            <w:vAlign w:val="center"/>
            <w:shd w:fill="F3F7F8"/>
          </w:tcPr>
          <w:p>
            <w:pPr>
              <w:spacing w:after="0"/>
            </w:pPr>
            <w:r>
              <w:rPr>
                <w:sz w:val="17"/>
              </w:rPr>
              <w:t>Users still frame multitemporal analysis and interpret its result</w:t>
            </w:r>
          </w:p>
        </w:tc>
        <w:tc>
          <w:tcPr>
            <w:tcW w:type="dxa" w:w="3096"/>
            <w:tcMar>
              <w:top w:w="110" w:type="dxa"/>
              <w:start w:w="110" w:type="dxa"/>
              <w:bottom w:w="110" w:type="dxa"/>
              <w:end w:w="110" w:type="dxa"/>
            </w:tcMar>
            <w:vAlign w:val="center"/>
            <w:shd w:fill="F3F7F8"/>
          </w:tcPr>
          <w:p>
            <w:pPr>
              <w:spacing w:after="0"/>
            </w:pPr>
            <w:r>
              <w:rPr>
                <w:sz w:val="17"/>
              </w:rPr>
              <w:t>Run change analysis from a controlled natural language question and return a mask.</w:t>
            </w:r>
          </w:p>
        </w:tc>
      </w:tr>
      <w:tr>
        <w:trPr>
          <w:cantSplit/>
        </w:trPr>
        <w:tc>
          <w:tcPr>
            <w:tcW w:type="dxa" w:w="1800"/>
            <w:tcMar>
              <w:top w:w="110" w:type="dxa"/>
              <w:start w:w="110" w:type="dxa"/>
              <w:bottom w:w="110" w:type="dxa"/>
              <w:end w:w="110" w:type="dxa"/>
            </w:tcMar>
            <w:vAlign w:val="center"/>
          </w:tcPr>
          <w:p>
            <w:pPr>
              <w:spacing w:after="0"/>
            </w:pPr>
            <w:r>
              <w:rPr>
                <w:sz w:val="17"/>
              </w:rPr>
              <w:t>Planet Insights Platform</w:t>
            </w:r>
          </w:p>
        </w:tc>
        <w:tc>
          <w:tcPr>
            <w:tcW w:type="dxa" w:w="4824"/>
            <w:tcMar>
              <w:top w:w="110" w:type="dxa"/>
              <w:start w:w="110" w:type="dxa"/>
              <w:bottom w:w="110" w:type="dxa"/>
              <w:end w:w="110" w:type="dxa"/>
            </w:tcMar>
            <w:vAlign w:val="center"/>
          </w:tcPr>
          <w:p>
            <w:pPr>
              <w:spacing w:after="0"/>
            </w:pPr>
            <w:r>
              <w:rPr>
                <w:sz w:val="17"/>
              </w:rPr>
              <w:t>Task specific tools remain separate</w:t>
            </w:r>
          </w:p>
        </w:tc>
        <w:tc>
          <w:tcPr>
            <w:tcW w:type="dxa" w:w="3096"/>
            <w:tcMar>
              <w:top w:w="110" w:type="dxa"/>
              <w:start w:w="110" w:type="dxa"/>
              <w:bottom w:w="110" w:type="dxa"/>
              <w:end w:w="110" w:type="dxa"/>
            </w:tcMar>
            <w:vAlign w:val="center"/>
          </w:tcPr>
          <w:p>
            <w:pPr>
              <w:spacing w:after="0"/>
            </w:pPr>
            <w:r>
              <w:rPr>
                <w:sz w:val="17"/>
              </w:rPr>
              <w:t>Use an orchestrator with a model registry.</w:t>
            </w:r>
          </w:p>
        </w:tc>
      </w:tr>
      <w:tr>
        <w:trPr>
          <w:cantSplit/>
        </w:trPr>
        <w:tc>
          <w:tcPr>
            <w:tcW w:type="dxa" w:w="1800"/>
            <w:tcMar>
              <w:top w:w="110" w:type="dxa"/>
              <w:start w:w="110" w:type="dxa"/>
              <w:bottom w:w="110" w:type="dxa"/>
              <w:end w:w="110" w:type="dxa"/>
            </w:tcMar>
            <w:vAlign w:val="center"/>
            <w:shd w:fill="F3F7F8"/>
          </w:tcPr>
          <w:p>
            <w:pPr>
              <w:spacing w:after="0"/>
            </w:pPr>
            <w:r>
              <w:rPr>
                <w:sz w:val="17"/>
              </w:rPr>
              <w:t>Planet Insights Platform</w:t>
            </w:r>
          </w:p>
        </w:tc>
        <w:tc>
          <w:tcPr>
            <w:tcW w:type="dxa" w:w="4824"/>
            <w:tcMar>
              <w:top w:w="110" w:type="dxa"/>
              <w:start w:w="110" w:type="dxa"/>
              <w:bottom w:w="110" w:type="dxa"/>
              <w:end w:w="110" w:type="dxa"/>
            </w:tcMar>
            <w:vAlign w:val="center"/>
            <w:shd w:fill="F3F7F8"/>
          </w:tcPr>
          <w:p>
            <w:pPr>
              <w:spacing w:after="0"/>
            </w:pPr>
            <w:r>
              <w:rPr>
                <w:sz w:val="17"/>
              </w:rPr>
              <w:t>An analytical result may not explain its basis</w:t>
            </w:r>
          </w:p>
        </w:tc>
        <w:tc>
          <w:tcPr>
            <w:tcW w:type="dxa" w:w="3096"/>
            <w:tcMar>
              <w:top w:w="110" w:type="dxa"/>
              <w:start w:w="110" w:type="dxa"/>
              <w:bottom w:w="110" w:type="dxa"/>
              <w:end w:w="110" w:type="dxa"/>
            </w:tcMar>
            <w:vAlign w:val="center"/>
            <w:shd w:fill="F3F7F8"/>
          </w:tcPr>
          <w:p>
            <w:pPr>
              <w:spacing w:after="0"/>
            </w:pPr>
            <w:r>
              <w:rPr>
                <w:sz w:val="17"/>
              </w:rPr>
              <w:t>Return visual evidence, confidence factors and execution details.</w:t>
            </w:r>
          </w:p>
        </w:tc>
      </w:tr>
      <w:tr>
        <w:trPr>
          <w:cantSplit/>
        </w:trPr>
        <w:tc>
          <w:tcPr>
            <w:tcW w:type="dxa" w:w="1800"/>
            <w:tcMar>
              <w:top w:w="110" w:type="dxa"/>
              <w:start w:w="110" w:type="dxa"/>
              <w:bottom w:w="110" w:type="dxa"/>
              <w:end w:w="110" w:type="dxa"/>
            </w:tcMar>
            <w:vAlign w:val="center"/>
          </w:tcPr>
          <w:p>
            <w:pPr>
              <w:spacing w:after="0"/>
            </w:pPr>
            <w:r>
              <w:rPr>
                <w:sz w:val="17"/>
              </w:rPr>
              <w:t>Esri ArcGIS</w:t>
            </w:r>
          </w:p>
        </w:tc>
        <w:tc>
          <w:tcPr>
            <w:tcW w:type="dxa" w:w="4824"/>
            <w:tcMar>
              <w:top w:w="110" w:type="dxa"/>
              <w:start w:w="110" w:type="dxa"/>
              <w:bottom w:w="110" w:type="dxa"/>
              <w:end w:w="110" w:type="dxa"/>
            </w:tcMar>
            <w:vAlign w:val="center"/>
          </w:tcPr>
          <w:p>
            <w:pPr>
              <w:spacing w:after="0"/>
            </w:pPr>
            <w:r>
              <w:rPr>
                <w:sz w:val="17"/>
              </w:rPr>
              <w:t>Licence cost and capability tiering</w:t>
            </w:r>
          </w:p>
        </w:tc>
        <w:tc>
          <w:tcPr>
            <w:tcW w:type="dxa" w:w="3096"/>
            <w:tcMar>
              <w:top w:w="110" w:type="dxa"/>
              <w:start w:w="110" w:type="dxa"/>
              <w:bottom w:w="110" w:type="dxa"/>
              <w:end w:w="110" w:type="dxa"/>
            </w:tcMar>
            <w:vAlign w:val="center"/>
          </w:tcPr>
          <w:p>
            <w:pPr>
              <w:spacing w:after="0"/>
            </w:pPr>
            <w:r>
              <w:rPr>
                <w:sz w:val="17"/>
              </w:rPr>
              <w:t>Keep the prototype open source and essential functions in one base application.</w:t>
            </w:r>
          </w:p>
        </w:tc>
      </w:tr>
      <w:tr>
        <w:trPr>
          <w:cantSplit/>
        </w:trPr>
        <w:tc>
          <w:tcPr>
            <w:tcW w:type="dxa" w:w="1800"/>
            <w:tcMar>
              <w:top w:w="110" w:type="dxa"/>
              <w:start w:w="110" w:type="dxa"/>
              <w:bottom w:w="110" w:type="dxa"/>
              <w:end w:w="110" w:type="dxa"/>
            </w:tcMar>
            <w:vAlign w:val="center"/>
            <w:shd w:fill="F3F7F8"/>
          </w:tcPr>
          <w:p>
            <w:pPr>
              <w:spacing w:after="0"/>
            </w:pPr>
            <w:r>
              <w:rPr>
                <w:sz w:val="17"/>
              </w:rPr>
              <w:t>Esri ArcGIS</w:t>
            </w:r>
          </w:p>
        </w:tc>
        <w:tc>
          <w:tcPr>
            <w:tcW w:type="dxa" w:w="4824"/>
            <w:tcMar>
              <w:top w:w="110" w:type="dxa"/>
              <w:start w:w="110" w:type="dxa"/>
              <w:bottom w:w="110" w:type="dxa"/>
              <w:end w:w="110" w:type="dxa"/>
            </w:tcMar>
            <w:vAlign w:val="center"/>
            <w:shd w:fill="F3F7F8"/>
          </w:tcPr>
          <w:p>
            <w:pPr>
              <w:spacing w:after="0"/>
            </w:pPr>
            <w:r>
              <w:rPr>
                <w:sz w:val="17"/>
              </w:rPr>
              <w:t>Relatively demanding desktop hardware recommendations</w:t>
            </w:r>
          </w:p>
        </w:tc>
        <w:tc>
          <w:tcPr>
            <w:tcW w:type="dxa" w:w="3096"/>
            <w:tcMar>
              <w:top w:w="110" w:type="dxa"/>
              <w:start w:w="110" w:type="dxa"/>
              <w:bottom w:w="110" w:type="dxa"/>
              <w:end w:w="110" w:type="dxa"/>
            </w:tcMar>
            <w:vAlign w:val="center"/>
            <w:shd w:fill="F3F7F8"/>
          </w:tcPr>
          <w:p>
            <w:pPr>
              <w:spacing w:after="0"/>
            </w:pPr>
            <w:r>
              <w:rPr>
                <w:sz w:val="17"/>
              </w:rPr>
              <w:t>Use lightweight models, progressive loading and optional remote inference.</w:t>
            </w:r>
          </w:p>
        </w:tc>
      </w:tr>
      <w:tr>
        <w:trPr>
          <w:cantSplit/>
        </w:trPr>
        <w:tc>
          <w:tcPr>
            <w:tcW w:type="dxa" w:w="1800"/>
            <w:tcMar>
              <w:top w:w="110" w:type="dxa"/>
              <w:start w:w="110" w:type="dxa"/>
              <w:bottom w:w="110" w:type="dxa"/>
              <w:end w:w="110" w:type="dxa"/>
            </w:tcMar>
            <w:vAlign w:val="center"/>
          </w:tcPr>
          <w:p>
            <w:pPr>
              <w:spacing w:after="0"/>
            </w:pPr>
            <w:r>
              <w:rPr>
                <w:sz w:val="17"/>
              </w:rPr>
              <w:t>Esri ArcGIS</w:t>
            </w:r>
          </w:p>
        </w:tc>
        <w:tc>
          <w:tcPr>
            <w:tcW w:type="dxa" w:w="4824"/>
            <w:tcMar>
              <w:top w:w="110" w:type="dxa"/>
              <w:start w:w="110" w:type="dxa"/>
              <w:bottom w:w="110" w:type="dxa"/>
              <w:end w:w="110" w:type="dxa"/>
            </w:tcMar>
            <w:vAlign w:val="center"/>
          </w:tcPr>
          <w:p>
            <w:pPr>
              <w:spacing w:after="0"/>
            </w:pPr>
            <w:r>
              <w:rPr>
                <w:sz w:val="17"/>
              </w:rPr>
              <w:t>Large professional feature set can increase the learning burden</w:t>
            </w:r>
          </w:p>
        </w:tc>
        <w:tc>
          <w:tcPr>
            <w:tcW w:type="dxa" w:w="3096"/>
            <w:tcMar>
              <w:top w:w="110" w:type="dxa"/>
              <w:start w:w="110" w:type="dxa"/>
              <w:bottom w:w="110" w:type="dxa"/>
              <w:end w:w="110" w:type="dxa"/>
            </w:tcMar>
            <w:vAlign w:val="center"/>
          </w:tcPr>
          <w:p>
            <w:pPr>
              <w:spacing w:after="0"/>
            </w:pPr>
            <w:r>
              <w:rPr>
                <w:sz w:val="17"/>
              </w:rPr>
              <w:t>Present task based workflows for non GIS users.</w:t>
            </w:r>
          </w:p>
        </w:tc>
      </w:tr>
      <w:tr>
        <w:trPr>
          <w:cantSplit/>
        </w:trPr>
        <w:tc>
          <w:tcPr>
            <w:tcW w:type="dxa" w:w="1800"/>
            <w:tcMar>
              <w:top w:w="110" w:type="dxa"/>
              <w:start w:w="110" w:type="dxa"/>
              <w:bottom w:w="110" w:type="dxa"/>
              <w:end w:w="110" w:type="dxa"/>
            </w:tcMar>
            <w:vAlign w:val="center"/>
            <w:shd w:fill="F3F7F8"/>
          </w:tcPr>
          <w:p>
            <w:pPr>
              <w:spacing w:after="0"/>
            </w:pPr>
            <w:r>
              <w:rPr>
                <w:sz w:val="17"/>
              </w:rPr>
              <w:t>Esri ArcGIS</w:t>
            </w:r>
          </w:p>
        </w:tc>
        <w:tc>
          <w:tcPr>
            <w:tcW w:type="dxa" w:w="4824"/>
            <w:tcMar>
              <w:top w:w="110" w:type="dxa"/>
              <w:start w:w="110" w:type="dxa"/>
              <w:bottom w:w="110" w:type="dxa"/>
              <w:end w:w="110" w:type="dxa"/>
            </w:tcMar>
            <w:vAlign w:val="center"/>
            <w:shd w:fill="F3F7F8"/>
          </w:tcPr>
          <w:p>
            <w:pPr>
              <w:spacing w:after="0"/>
            </w:pPr>
            <w:r>
              <w:rPr>
                <w:sz w:val="17"/>
              </w:rPr>
              <w:t>Some interoperability features depend on a licensed extension</w:t>
            </w:r>
          </w:p>
        </w:tc>
        <w:tc>
          <w:tcPr>
            <w:tcW w:type="dxa" w:w="3096"/>
            <w:tcMar>
              <w:top w:w="110" w:type="dxa"/>
              <w:start w:w="110" w:type="dxa"/>
              <w:bottom w:w="110" w:type="dxa"/>
              <w:end w:w="110" w:type="dxa"/>
            </w:tcMar>
            <w:vAlign w:val="center"/>
            <w:shd w:fill="F3F7F8"/>
          </w:tcPr>
          <w:p>
            <w:pPr>
              <w:spacing w:after="0"/>
            </w:pPr>
            <w:r>
              <w:rPr>
                <w:sz w:val="17"/>
              </w:rPr>
              <w:t>Support common open raster, vector and metadata formats as core features.</w:t>
            </w:r>
          </w:p>
        </w:tc>
      </w:tr>
      <w:tr>
        <w:trPr>
          <w:cantSplit/>
        </w:trPr>
        <w:tc>
          <w:tcPr>
            <w:tcW w:type="dxa" w:w="1800"/>
            <w:tcMar>
              <w:top w:w="110" w:type="dxa"/>
              <w:start w:w="110" w:type="dxa"/>
              <w:bottom w:w="110" w:type="dxa"/>
              <w:end w:w="110" w:type="dxa"/>
            </w:tcMar>
            <w:vAlign w:val="center"/>
          </w:tcPr>
          <w:p>
            <w:pPr>
              <w:spacing w:after="0"/>
            </w:pPr>
            <w:r>
              <w:rPr>
                <w:sz w:val="17"/>
              </w:rPr>
              <w:t>Esri ArcGIS</w:t>
            </w:r>
          </w:p>
        </w:tc>
        <w:tc>
          <w:tcPr>
            <w:tcW w:type="dxa" w:w="4824"/>
            <w:tcMar>
              <w:top w:w="110" w:type="dxa"/>
              <w:start w:w="110" w:type="dxa"/>
              <w:bottom w:w="110" w:type="dxa"/>
              <w:end w:w="110" w:type="dxa"/>
            </w:tcMar>
            <w:vAlign w:val="center"/>
          </w:tcPr>
          <w:p>
            <w:pPr>
              <w:spacing w:after="0"/>
            </w:pPr>
            <w:r>
              <w:rPr>
                <w:sz w:val="17"/>
              </w:rPr>
              <w:t>Offline maps require supported configurations and layer preparation</w:t>
            </w:r>
          </w:p>
        </w:tc>
        <w:tc>
          <w:tcPr>
            <w:tcW w:type="dxa" w:w="3096"/>
            <w:tcMar>
              <w:top w:w="110" w:type="dxa"/>
              <w:start w:w="110" w:type="dxa"/>
              <w:bottom w:w="110" w:type="dxa"/>
              <w:end w:w="110" w:type="dxa"/>
            </w:tcMar>
            <w:vAlign w:val="center"/>
          </w:tcPr>
          <w:p>
            <w:pPr>
              <w:spacing w:after="0"/>
            </w:pPr>
            <w:r>
              <w:rPr>
                <w:sz w:val="17"/>
              </w:rPr>
              <w:t>Design offline inference and later synchronization as a deployment option.</w:t>
            </w:r>
          </w:p>
        </w:tc>
      </w:tr>
      <w:tr>
        <w:trPr>
          <w:cantSplit/>
        </w:trPr>
        <w:tc>
          <w:tcPr>
            <w:tcW w:type="dxa" w:w="1800"/>
            <w:tcMar>
              <w:top w:w="110" w:type="dxa"/>
              <w:start w:w="110" w:type="dxa"/>
              <w:bottom w:w="110" w:type="dxa"/>
              <w:end w:w="110" w:type="dxa"/>
            </w:tcMar>
            <w:vAlign w:val="center"/>
            <w:shd w:fill="F3F7F8"/>
          </w:tcPr>
          <w:p>
            <w:pPr>
              <w:spacing w:after="0"/>
            </w:pPr>
            <w:r>
              <w:rPr>
                <w:sz w:val="17"/>
              </w:rPr>
              <w:t>Esri ArcGIS</w:t>
            </w:r>
          </w:p>
        </w:tc>
        <w:tc>
          <w:tcPr>
            <w:tcW w:type="dxa" w:w="4824"/>
            <w:tcMar>
              <w:top w:w="110" w:type="dxa"/>
              <w:start w:w="110" w:type="dxa"/>
              <w:bottom w:w="110" w:type="dxa"/>
              <w:end w:w="110" w:type="dxa"/>
            </w:tcMar>
            <w:vAlign w:val="center"/>
            <w:shd w:fill="F3F7F8"/>
          </w:tcPr>
          <w:p>
            <w:pPr>
              <w:spacing w:after="0"/>
            </w:pPr>
            <w:r>
              <w:rPr>
                <w:sz w:val="17"/>
              </w:rPr>
              <w:t>Named user licensing connects ArcGIS Pro to the ArcGIS ecosystem</w:t>
            </w:r>
          </w:p>
        </w:tc>
        <w:tc>
          <w:tcPr>
            <w:tcW w:type="dxa" w:w="3096"/>
            <w:tcMar>
              <w:top w:w="110" w:type="dxa"/>
              <w:start w:w="110" w:type="dxa"/>
              <w:bottom w:w="110" w:type="dxa"/>
              <w:end w:w="110" w:type="dxa"/>
            </w:tcMar>
            <w:vAlign w:val="center"/>
            <w:shd w:fill="F3F7F8"/>
          </w:tcPr>
          <w:p>
            <w:pPr>
              <w:spacing w:after="0"/>
            </w:pPr>
            <w:r>
              <w:rPr>
                <w:sz w:val="17"/>
              </w:rPr>
              <w:t>Use open interfaces and allow connection to different storage and GIS services.</w:t>
            </w:r>
          </w:p>
        </w:tc>
      </w:tr>
      <w:tr>
        <w:trPr>
          <w:cantSplit/>
        </w:trPr>
        <w:tc>
          <w:tcPr>
            <w:tcW w:type="dxa" w:w="1800"/>
            <w:tcMar>
              <w:top w:w="110" w:type="dxa"/>
              <w:start w:w="110" w:type="dxa"/>
              <w:bottom w:w="110" w:type="dxa"/>
              <w:end w:w="110" w:type="dxa"/>
            </w:tcMar>
            <w:vAlign w:val="center"/>
          </w:tcPr>
          <w:p>
            <w:pPr>
              <w:spacing w:after="0"/>
            </w:pPr>
            <w:r>
              <w:rPr>
                <w:sz w:val="17"/>
              </w:rPr>
              <w:t>Esri ArcGIS</w:t>
            </w:r>
          </w:p>
        </w:tc>
        <w:tc>
          <w:tcPr>
            <w:tcW w:type="dxa" w:w="4824"/>
            <w:tcMar>
              <w:top w:w="110" w:type="dxa"/>
              <w:start w:w="110" w:type="dxa"/>
              <w:bottom w:w="110" w:type="dxa"/>
              <w:end w:w="110" w:type="dxa"/>
            </w:tcMar>
            <w:vAlign w:val="center"/>
          </w:tcPr>
          <w:p>
            <w:pPr>
              <w:spacing w:after="0"/>
            </w:pPr>
            <w:r>
              <w:rPr>
                <w:sz w:val="17"/>
              </w:rPr>
              <w:t>ArcGIS Pro desktop targets supported Windows environments</w:t>
            </w:r>
          </w:p>
        </w:tc>
        <w:tc>
          <w:tcPr>
            <w:tcW w:type="dxa" w:w="3096"/>
            <w:tcMar>
              <w:top w:w="110" w:type="dxa"/>
              <w:start w:w="110" w:type="dxa"/>
              <w:bottom w:w="110" w:type="dxa"/>
              <w:end w:w="110" w:type="dxa"/>
            </w:tcMar>
            <w:vAlign w:val="center"/>
          </w:tcPr>
          <w:p>
            <w:pPr>
              <w:spacing w:after="0"/>
            </w:pPr>
            <w:r>
              <w:rPr>
                <w:sz w:val="17"/>
              </w:rPr>
              <w:t>Provide a browser based interface and a portable Python service.</w:t>
            </w:r>
          </w:p>
        </w:tc>
      </w:tr>
      <w:tr>
        <w:trPr>
          <w:cantSplit/>
        </w:trPr>
        <w:tc>
          <w:tcPr>
            <w:tcW w:type="dxa" w:w="1800"/>
            <w:tcMar>
              <w:top w:w="110" w:type="dxa"/>
              <w:start w:w="110" w:type="dxa"/>
              <w:bottom w:w="110" w:type="dxa"/>
              <w:end w:w="110" w:type="dxa"/>
            </w:tcMar>
            <w:vAlign w:val="center"/>
            <w:shd w:fill="F3F7F8"/>
          </w:tcPr>
          <w:p>
            <w:pPr>
              <w:spacing w:after="0"/>
            </w:pPr>
            <w:r>
              <w:rPr>
                <w:sz w:val="17"/>
              </w:rPr>
              <w:t>Esri ArcGIS</w:t>
            </w:r>
          </w:p>
        </w:tc>
        <w:tc>
          <w:tcPr>
            <w:tcW w:type="dxa" w:w="4824"/>
            <w:tcMar>
              <w:top w:w="110" w:type="dxa"/>
              <w:start w:w="110" w:type="dxa"/>
              <w:bottom w:w="110" w:type="dxa"/>
              <w:end w:w="110" w:type="dxa"/>
            </w:tcMar>
            <w:vAlign w:val="center"/>
            <w:shd w:fill="F3F7F8"/>
          </w:tcPr>
          <w:p>
            <w:pPr>
              <w:spacing w:after="0"/>
            </w:pPr>
            <w:r>
              <w:rPr>
                <w:sz w:val="17"/>
              </w:rPr>
              <w:t>Professional coordinate, layer and geodatabase workflows require technical knowledge</w:t>
            </w:r>
          </w:p>
        </w:tc>
        <w:tc>
          <w:tcPr>
            <w:tcW w:type="dxa" w:w="3096"/>
            <w:tcMar>
              <w:top w:w="110" w:type="dxa"/>
              <w:start w:w="110" w:type="dxa"/>
              <w:bottom w:w="110" w:type="dxa"/>
              <w:end w:w="110" w:type="dxa"/>
            </w:tcMar>
            <w:vAlign w:val="center"/>
            <w:shd w:fill="F3F7F8"/>
          </w:tcPr>
          <w:p>
            <w:pPr>
              <w:spacing w:after="0"/>
            </w:pPr>
            <w:r>
              <w:rPr>
                <w:sz w:val="17"/>
              </w:rPr>
              <w:t>Translate supported operations into plain language while retaining an audit trail.</w:t>
            </w:r>
          </w:p>
        </w:tc>
      </w:tr>
      <w:tr>
        <w:trPr>
          <w:cantSplit/>
        </w:trPr>
        <w:tc>
          <w:tcPr>
            <w:tcW w:type="dxa" w:w="1800"/>
            <w:tcMar>
              <w:top w:w="110" w:type="dxa"/>
              <w:start w:w="110" w:type="dxa"/>
              <w:bottom w:w="110" w:type="dxa"/>
              <w:end w:w="110" w:type="dxa"/>
            </w:tcMar>
            <w:vAlign w:val="center"/>
          </w:tcPr>
          <w:p>
            <w:pPr>
              <w:spacing w:after="0"/>
            </w:pPr>
            <w:r>
              <w:rPr>
                <w:sz w:val="17"/>
              </w:rPr>
              <w:t>Microsoft Earth Copilot</w:t>
            </w:r>
          </w:p>
        </w:tc>
        <w:tc>
          <w:tcPr>
            <w:tcW w:type="dxa" w:w="4824"/>
            <w:tcMar>
              <w:top w:w="110" w:type="dxa"/>
              <w:start w:w="110" w:type="dxa"/>
              <w:bottom w:w="110" w:type="dxa"/>
              <w:end w:w="110" w:type="dxa"/>
            </w:tcMar>
            <w:vAlign w:val="center"/>
          </w:tcPr>
          <w:p>
            <w:pPr>
              <w:spacing w:after="0"/>
            </w:pPr>
            <w:r>
              <w:rPr>
                <w:sz w:val="17"/>
              </w:rPr>
              <w:t>The repository describes a proof of concept rather than a production system</w:t>
            </w:r>
          </w:p>
        </w:tc>
        <w:tc>
          <w:tcPr>
            <w:tcW w:type="dxa" w:w="3096"/>
            <w:tcMar>
              <w:top w:w="110" w:type="dxa"/>
              <w:start w:w="110" w:type="dxa"/>
              <w:bottom w:w="110" w:type="dxa"/>
              <w:end w:w="110" w:type="dxa"/>
            </w:tcMar>
            <w:vAlign w:val="center"/>
          </w:tcPr>
          <w:p>
            <w:pPr>
              <w:spacing w:after="0"/>
            </w:pPr>
            <w:r>
              <w:rPr>
                <w:sz w:val="17"/>
              </w:rPr>
              <w:t>Deliver a tested, bounded prototype with explicit readiness claims.</w:t>
            </w:r>
          </w:p>
        </w:tc>
      </w:tr>
      <w:tr>
        <w:trPr>
          <w:cantSplit/>
        </w:trPr>
        <w:tc>
          <w:tcPr>
            <w:tcW w:type="dxa" w:w="1800"/>
            <w:tcMar>
              <w:top w:w="110" w:type="dxa"/>
              <w:start w:w="110" w:type="dxa"/>
              <w:bottom w:w="110" w:type="dxa"/>
              <w:end w:w="110" w:type="dxa"/>
            </w:tcMar>
            <w:vAlign w:val="center"/>
            <w:shd w:fill="F3F7F8"/>
          </w:tcPr>
          <w:p>
            <w:pPr>
              <w:spacing w:after="0"/>
            </w:pPr>
            <w:r>
              <w:rPr>
                <w:sz w:val="17"/>
              </w:rPr>
              <w:t>Microsoft Earth Copilot</w:t>
            </w:r>
          </w:p>
        </w:tc>
        <w:tc>
          <w:tcPr>
            <w:tcW w:type="dxa" w:w="4824"/>
            <w:tcMar>
              <w:top w:w="110" w:type="dxa"/>
              <w:start w:w="110" w:type="dxa"/>
              <w:bottom w:w="110" w:type="dxa"/>
              <w:end w:w="110" w:type="dxa"/>
            </w:tcMar>
            <w:vAlign w:val="center"/>
            <w:shd w:fill="F3F7F8"/>
          </w:tcPr>
          <w:p>
            <w:pPr>
              <w:spacing w:after="0"/>
            </w:pPr>
            <w:r>
              <w:rPr>
                <w:sz w:val="17"/>
              </w:rPr>
              <w:t>Published material notes the need for rigorous safety and misuse assessment</w:t>
            </w:r>
          </w:p>
        </w:tc>
        <w:tc>
          <w:tcPr>
            <w:tcW w:type="dxa" w:w="3096"/>
            <w:tcMar>
              <w:top w:w="110" w:type="dxa"/>
              <w:start w:w="110" w:type="dxa"/>
              <w:bottom w:w="110" w:type="dxa"/>
              <w:end w:w="110" w:type="dxa"/>
            </w:tcMar>
            <w:vAlign w:val="center"/>
            <w:shd w:fill="F3F7F8"/>
          </w:tcPr>
          <w:p>
            <w:pPr>
              <w:spacing w:after="0"/>
            </w:pPr>
            <w:r>
              <w:rPr>
                <w:sz w:val="17"/>
              </w:rPr>
              <w:t>Add refusal rules, confidence checks, logs and human review.</w:t>
            </w:r>
          </w:p>
        </w:tc>
      </w:tr>
      <w:tr>
        <w:trPr>
          <w:cantSplit/>
        </w:trPr>
        <w:tc>
          <w:tcPr>
            <w:tcW w:type="dxa" w:w="1800"/>
            <w:tcMar>
              <w:top w:w="110" w:type="dxa"/>
              <w:start w:w="110" w:type="dxa"/>
              <w:bottom w:w="110" w:type="dxa"/>
              <w:end w:w="110" w:type="dxa"/>
            </w:tcMar>
            <w:vAlign w:val="center"/>
          </w:tcPr>
          <w:p>
            <w:pPr>
              <w:spacing w:after="0"/>
            </w:pPr>
            <w:r>
              <w:rPr>
                <w:sz w:val="17"/>
              </w:rPr>
              <w:t>Microsoft Earth Copilot</w:t>
            </w:r>
          </w:p>
        </w:tc>
        <w:tc>
          <w:tcPr>
            <w:tcW w:type="dxa" w:w="4824"/>
            <w:tcMar>
              <w:top w:w="110" w:type="dxa"/>
              <w:start w:w="110" w:type="dxa"/>
              <w:bottom w:w="110" w:type="dxa"/>
              <w:end w:w="110" w:type="dxa"/>
            </w:tcMar>
            <w:vAlign w:val="center"/>
          </w:tcPr>
          <w:p>
            <w:pPr>
              <w:spacing w:after="0"/>
            </w:pPr>
            <w:r>
              <w:rPr>
                <w:sz w:val="17"/>
              </w:rPr>
              <w:t>No published Cartosat 2S or RISAT validation appears in the supplied evidence</w:t>
            </w:r>
          </w:p>
        </w:tc>
        <w:tc>
          <w:tcPr>
            <w:tcW w:type="dxa" w:w="3096"/>
            <w:tcMar>
              <w:top w:w="110" w:type="dxa"/>
              <w:start w:w="110" w:type="dxa"/>
              <w:bottom w:w="110" w:type="dxa"/>
              <w:end w:w="110" w:type="dxa"/>
            </w:tcMar>
            <w:vAlign w:val="center"/>
          </w:tcPr>
          <w:p>
            <w:pPr>
              <w:spacing w:after="0"/>
            </w:pPr>
            <w:r>
              <w:rPr>
                <w:sz w:val="17"/>
              </w:rPr>
              <w:t>Publish sensor specific benchmarks and failure cases.</w:t>
            </w:r>
          </w:p>
        </w:tc>
      </w:tr>
      <w:tr>
        <w:trPr>
          <w:cantSplit/>
        </w:trPr>
        <w:tc>
          <w:tcPr>
            <w:tcW w:type="dxa" w:w="1800"/>
            <w:tcMar>
              <w:top w:w="110" w:type="dxa"/>
              <w:start w:w="110" w:type="dxa"/>
              <w:bottom w:w="110" w:type="dxa"/>
              <w:end w:w="110" w:type="dxa"/>
            </w:tcMar>
            <w:vAlign w:val="center"/>
            <w:shd w:fill="F3F7F8"/>
          </w:tcPr>
          <w:p>
            <w:pPr>
              <w:spacing w:after="0"/>
            </w:pPr>
            <w:r>
              <w:rPr>
                <w:sz w:val="17"/>
              </w:rPr>
              <w:t>Microsoft Earth Copilot</w:t>
            </w:r>
          </w:p>
        </w:tc>
        <w:tc>
          <w:tcPr>
            <w:tcW w:type="dxa" w:w="4824"/>
            <w:tcMar>
              <w:top w:w="110" w:type="dxa"/>
              <w:start w:w="110" w:type="dxa"/>
              <w:bottom w:w="110" w:type="dxa"/>
              <w:end w:w="110" w:type="dxa"/>
            </w:tcMar>
            <w:vAlign w:val="center"/>
            <w:shd w:fill="F3F7F8"/>
          </w:tcPr>
          <w:p>
            <w:pPr>
              <w:spacing w:after="0"/>
            </w:pPr>
            <w:r>
              <w:rPr>
                <w:sz w:val="17"/>
              </w:rPr>
              <w:t>Public descriptions do not establish the complete mask, heatmap and confidence output contract</w:t>
            </w:r>
          </w:p>
        </w:tc>
        <w:tc>
          <w:tcPr>
            <w:tcW w:type="dxa" w:w="3096"/>
            <w:tcMar>
              <w:top w:w="110" w:type="dxa"/>
              <w:start w:w="110" w:type="dxa"/>
              <w:bottom w:w="110" w:type="dxa"/>
              <w:end w:w="110" w:type="dxa"/>
            </w:tcMar>
            <w:vAlign w:val="center"/>
            <w:shd w:fill="F3F7F8"/>
          </w:tcPr>
          <w:p>
            <w:pPr>
              <w:spacing w:after="0"/>
            </w:pPr>
            <w:r>
              <w:rPr>
                <w:sz w:val="17"/>
              </w:rPr>
              <w:t>Make pixel evidence and confidence factors required outputs for supported tasks.</w:t>
            </w:r>
          </w:p>
        </w:tc>
      </w:tr>
      <w:tr>
        <w:trPr>
          <w:cantSplit/>
        </w:trPr>
        <w:tc>
          <w:tcPr>
            <w:tcW w:type="dxa" w:w="1800"/>
            <w:tcMar>
              <w:top w:w="110" w:type="dxa"/>
              <w:start w:w="110" w:type="dxa"/>
              <w:bottom w:w="110" w:type="dxa"/>
              <w:end w:w="110" w:type="dxa"/>
            </w:tcMar>
            <w:vAlign w:val="center"/>
          </w:tcPr>
          <w:p>
            <w:pPr>
              <w:spacing w:after="0"/>
            </w:pPr>
            <w:r>
              <w:rPr>
                <w:sz w:val="17"/>
              </w:rPr>
              <w:t>UP42</w:t>
            </w:r>
          </w:p>
        </w:tc>
        <w:tc>
          <w:tcPr>
            <w:tcW w:type="dxa" w:w="4824"/>
            <w:tcMar>
              <w:top w:w="110" w:type="dxa"/>
              <w:start w:w="110" w:type="dxa"/>
              <w:bottom w:w="110" w:type="dxa"/>
              <w:end w:w="110" w:type="dxa"/>
            </w:tcMar>
            <w:vAlign w:val="center"/>
          </w:tcPr>
          <w:p>
            <w:pPr>
              <w:spacing w:after="0"/>
            </w:pPr>
            <w:r>
              <w:rPr>
                <w:sz w:val="17"/>
              </w:rPr>
              <w:t>No natural language question interface is documented as the primary workflow</w:t>
            </w:r>
          </w:p>
        </w:tc>
        <w:tc>
          <w:tcPr>
            <w:tcW w:type="dxa" w:w="3096"/>
            <w:tcMar>
              <w:top w:w="110" w:type="dxa"/>
              <w:start w:w="110" w:type="dxa"/>
              <w:bottom w:w="110" w:type="dxa"/>
              <w:end w:w="110" w:type="dxa"/>
            </w:tcMar>
            <w:vAlign w:val="center"/>
          </w:tcPr>
          <w:p>
            <w:pPr>
              <w:spacing w:after="0"/>
            </w:pPr>
            <w:r>
              <w:rPr>
                <w:sz w:val="17"/>
              </w:rPr>
              <w:t>Use natural language routing for a controlled task set.</w:t>
            </w:r>
          </w:p>
        </w:tc>
      </w:tr>
      <w:tr>
        <w:trPr>
          <w:cantSplit/>
        </w:trPr>
        <w:tc>
          <w:tcPr>
            <w:tcW w:type="dxa" w:w="1800"/>
            <w:tcMar>
              <w:top w:w="110" w:type="dxa"/>
              <w:start w:w="110" w:type="dxa"/>
              <w:bottom w:w="110" w:type="dxa"/>
              <w:end w:w="110" w:type="dxa"/>
            </w:tcMar>
            <w:vAlign w:val="center"/>
            <w:shd w:fill="F3F7F8"/>
          </w:tcPr>
          <w:p>
            <w:pPr>
              <w:spacing w:after="0"/>
            </w:pPr>
            <w:r>
              <w:rPr>
                <w:sz w:val="17"/>
              </w:rPr>
              <w:t>UP42</w:t>
            </w:r>
          </w:p>
        </w:tc>
        <w:tc>
          <w:tcPr>
            <w:tcW w:type="dxa" w:w="4824"/>
            <w:tcMar>
              <w:top w:w="110" w:type="dxa"/>
              <w:start w:w="110" w:type="dxa"/>
              <w:bottom w:w="110" w:type="dxa"/>
              <w:end w:w="110" w:type="dxa"/>
            </w:tcMar>
            <w:vAlign w:val="center"/>
            <w:shd w:fill="F3F7F8"/>
          </w:tcPr>
          <w:p>
            <w:pPr>
              <w:spacing w:after="0"/>
            </w:pPr>
            <w:r>
              <w:rPr>
                <w:sz w:val="17"/>
              </w:rPr>
              <w:t>Pricing varies with tasking requirements, area and processing algorithm</w:t>
            </w:r>
          </w:p>
        </w:tc>
        <w:tc>
          <w:tcPr>
            <w:tcW w:type="dxa" w:w="3096"/>
            <w:tcMar>
              <w:top w:w="110" w:type="dxa"/>
              <w:start w:w="110" w:type="dxa"/>
              <w:bottom w:w="110" w:type="dxa"/>
              <w:end w:w="110" w:type="dxa"/>
            </w:tcMar>
            <w:vAlign w:val="center"/>
            <w:shd w:fill="F3F7F8"/>
          </w:tcPr>
          <w:p>
            <w:pPr>
              <w:spacing w:after="0"/>
            </w:pPr>
            <w:r>
              <w:rPr>
                <w:sz w:val="17"/>
              </w:rPr>
              <w:t>Use open data and local models for the MVP and show cost before optional external jobs.</w:t>
            </w:r>
          </w:p>
        </w:tc>
      </w:tr>
      <w:tr>
        <w:trPr>
          <w:cantSplit/>
        </w:trPr>
        <w:tc>
          <w:tcPr>
            <w:tcW w:type="dxa" w:w="1800"/>
            <w:tcMar>
              <w:top w:w="110" w:type="dxa"/>
              <w:start w:w="110" w:type="dxa"/>
              <w:bottom w:w="110" w:type="dxa"/>
              <w:end w:w="110" w:type="dxa"/>
            </w:tcMar>
            <w:vAlign w:val="center"/>
          </w:tcPr>
          <w:p>
            <w:pPr>
              <w:spacing w:after="0"/>
            </w:pPr>
            <w:r>
              <w:rPr>
                <w:sz w:val="17"/>
              </w:rPr>
              <w:t>UP42</w:t>
            </w:r>
          </w:p>
        </w:tc>
        <w:tc>
          <w:tcPr>
            <w:tcW w:type="dxa" w:w="4824"/>
            <w:tcMar>
              <w:top w:w="110" w:type="dxa"/>
              <w:start w:w="110" w:type="dxa"/>
              <w:bottom w:w="110" w:type="dxa"/>
              <w:end w:w="110" w:type="dxa"/>
            </w:tcMar>
            <w:vAlign w:val="center"/>
          </w:tcPr>
          <w:p>
            <w:pPr>
              <w:spacing w:after="0"/>
            </w:pPr>
            <w:r>
              <w:rPr>
                <w:sz w:val="17"/>
              </w:rPr>
              <w:t>The reported credit model can disadvantage occasional small purchases</w:t>
            </w:r>
          </w:p>
        </w:tc>
        <w:tc>
          <w:tcPr>
            <w:tcW w:type="dxa" w:w="3096"/>
            <w:tcMar>
              <w:top w:w="110" w:type="dxa"/>
              <w:start w:w="110" w:type="dxa"/>
              <w:bottom w:w="110" w:type="dxa"/>
              <w:end w:w="110" w:type="dxa"/>
            </w:tcMar>
            <w:vAlign w:val="center"/>
          </w:tcPr>
          <w:p>
            <w:pPr>
              <w:spacing w:after="0"/>
            </w:pPr>
            <w:r>
              <w:rPr>
                <w:sz w:val="17"/>
              </w:rPr>
              <w:t>Allow users to bring licensed imagery and run local processing.</w:t>
            </w:r>
          </w:p>
        </w:tc>
      </w:tr>
      <w:tr>
        <w:trPr>
          <w:cantSplit/>
        </w:trPr>
        <w:tc>
          <w:tcPr>
            <w:tcW w:type="dxa" w:w="1800"/>
            <w:tcMar>
              <w:top w:w="110" w:type="dxa"/>
              <w:start w:w="110" w:type="dxa"/>
              <w:bottom w:w="110" w:type="dxa"/>
              <w:end w:w="110" w:type="dxa"/>
            </w:tcMar>
            <w:vAlign w:val="center"/>
            <w:shd w:fill="F3F7F8"/>
          </w:tcPr>
          <w:p>
            <w:pPr>
              <w:spacing w:after="0"/>
            </w:pPr>
            <w:r>
              <w:rPr>
                <w:sz w:val="17"/>
              </w:rPr>
              <w:t>UP42</w:t>
            </w:r>
          </w:p>
        </w:tc>
        <w:tc>
          <w:tcPr>
            <w:tcW w:type="dxa" w:w="4824"/>
            <w:tcMar>
              <w:top w:w="110" w:type="dxa"/>
              <w:start w:w="110" w:type="dxa"/>
              <w:bottom w:w="110" w:type="dxa"/>
              <w:end w:w="110" w:type="dxa"/>
            </w:tcMar>
            <w:vAlign w:val="center"/>
            <w:shd w:fill="F3F7F8"/>
          </w:tcPr>
          <w:p>
            <w:pPr>
              <w:spacing w:after="0"/>
            </w:pPr>
            <w:r>
              <w:rPr>
                <w:sz w:val="17"/>
              </w:rPr>
              <w:t>Independent comparison places it in a category that still requires technical setup</w:t>
            </w:r>
          </w:p>
        </w:tc>
        <w:tc>
          <w:tcPr>
            <w:tcW w:type="dxa" w:w="3096"/>
            <w:tcMar>
              <w:top w:w="110" w:type="dxa"/>
              <w:start w:w="110" w:type="dxa"/>
              <w:bottom w:w="110" w:type="dxa"/>
              <w:end w:w="110" w:type="dxa"/>
            </w:tcMar>
            <w:vAlign w:val="center"/>
            <w:shd w:fill="F3F7F8"/>
          </w:tcPr>
          <w:p>
            <w:pPr>
              <w:spacing w:after="0"/>
            </w:pPr>
            <w:r>
              <w:rPr>
                <w:sz w:val="17"/>
              </w:rPr>
              <w:t>Provide guided input validation and automatic pipeline selection.</w:t>
            </w:r>
          </w:p>
        </w:tc>
      </w:tr>
      <w:tr>
        <w:trPr>
          <w:cantSplit/>
        </w:trPr>
        <w:tc>
          <w:tcPr>
            <w:tcW w:type="dxa" w:w="1800"/>
            <w:tcMar>
              <w:top w:w="110" w:type="dxa"/>
              <w:start w:w="110" w:type="dxa"/>
              <w:bottom w:w="110" w:type="dxa"/>
              <w:end w:w="110" w:type="dxa"/>
            </w:tcMar>
            <w:vAlign w:val="center"/>
          </w:tcPr>
          <w:p>
            <w:pPr>
              <w:spacing w:after="0"/>
            </w:pPr>
            <w:r>
              <w:rPr>
                <w:sz w:val="17"/>
              </w:rPr>
              <w:t>ISRO Bhuvan</w:t>
            </w:r>
          </w:p>
        </w:tc>
        <w:tc>
          <w:tcPr>
            <w:tcW w:type="dxa" w:w="4824"/>
            <w:tcMar>
              <w:top w:w="110" w:type="dxa"/>
              <w:start w:w="110" w:type="dxa"/>
              <w:bottom w:w="110" w:type="dxa"/>
              <w:end w:w="110" w:type="dxa"/>
            </w:tcMar>
            <w:vAlign w:val="center"/>
          </w:tcPr>
          <w:p>
            <w:pPr>
              <w:spacing w:after="0"/>
            </w:pPr>
            <w:r>
              <w:rPr>
                <w:sz w:val="17"/>
              </w:rPr>
              <w:t>The portal provides imagery, layers and analysis but public descriptions do not establish general natural language visual question answering</w:t>
            </w:r>
          </w:p>
        </w:tc>
        <w:tc>
          <w:tcPr>
            <w:tcW w:type="dxa" w:w="3096"/>
            <w:tcMar>
              <w:top w:w="110" w:type="dxa"/>
              <w:start w:w="110" w:type="dxa"/>
              <w:bottom w:w="110" w:type="dxa"/>
              <w:end w:w="110" w:type="dxa"/>
            </w:tcMar>
            <w:vAlign w:val="center"/>
          </w:tcPr>
          <w:p>
            <w:pPr>
              <w:spacing w:after="0"/>
            </w:pPr>
            <w:r>
              <w:rPr>
                <w:sz w:val="17"/>
              </w:rPr>
              <w:t>Add a question and evidence service that can integrate with Bhuvan.</w:t>
            </w:r>
          </w:p>
        </w:tc>
      </w:tr>
      <w:tr>
        <w:trPr>
          <w:cantSplit/>
        </w:trPr>
        <w:tc>
          <w:tcPr>
            <w:tcW w:type="dxa" w:w="1800"/>
            <w:tcMar>
              <w:top w:w="110" w:type="dxa"/>
              <w:start w:w="110" w:type="dxa"/>
              <w:bottom w:w="110" w:type="dxa"/>
              <w:end w:w="110" w:type="dxa"/>
            </w:tcMar>
            <w:vAlign w:val="center"/>
            <w:shd w:fill="F3F7F8"/>
          </w:tcPr>
          <w:p>
            <w:pPr>
              <w:spacing w:after="0"/>
            </w:pPr>
            <w:r>
              <w:rPr>
                <w:sz w:val="17"/>
              </w:rPr>
              <w:t>ISRO Bhoonidhi</w:t>
            </w:r>
          </w:p>
        </w:tc>
        <w:tc>
          <w:tcPr>
            <w:tcW w:type="dxa" w:w="4824"/>
            <w:tcMar>
              <w:top w:w="110" w:type="dxa"/>
              <w:start w:w="110" w:type="dxa"/>
              <w:bottom w:w="110" w:type="dxa"/>
              <w:end w:w="110" w:type="dxa"/>
            </w:tcMar>
            <w:vAlign w:val="center"/>
            <w:shd w:fill="F3F7F8"/>
          </w:tcPr>
          <w:p>
            <w:pPr>
              <w:spacing w:after="0"/>
            </w:pPr>
            <w:r>
              <w:rPr>
                <w:sz w:val="17"/>
              </w:rPr>
              <w:t>Product discovery and download do not automatically answer image questions</w:t>
            </w:r>
          </w:p>
        </w:tc>
        <w:tc>
          <w:tcPr>
            <w:tcW w:type="dxa" w:w="3096"/>
            <w:tcMar>
              <w:top w:w="110" w:type="dxa"/>
              <w:start w:w="110" w:type="dxa"/>
              <w:bottom w:w="110" w:type="dxa"/>
              <w:end w:w="110" w:type="dxa"/>
            </w:tcMar>
            <w:vAlign w:val="center"/>
            <w:shd w:fill="F3F7F8"/>
          </w:tcPr>
          <w:p>
            <w:pPr>
              <w:spacing w:after="0"/>
            </w:pPr>
            <w:r>
              <w:rPr>
                <w:sz w:val="17"/>
              </w:rPr>
              <w:t>Use governed Bhoonidhi data as input to specialist models.</w:t>
            </w:r>
          </w:p>
        </w:tc>
      </w:tr>
      <w:tr>
        <w:trPr>
          <w:cantSplit/>
        </w:trPr>
        <w:tc>
          <w:tcPr>
            <w:tcW w:type="dxa" w:w="1800"/>
            <w:tcMar>
              <w:top w:w="110" w:type="dxa"/>
              <w:start w:w="110" w:type="dxa"/>
              <w:bottom w:w="110" w:type="dxa"/>
              <w:end w:w="110" w:type="dxa"/>
            </w:tcMar>
            <w:vAlign w:val="center"/>
          </w:tcPr>
          <w:p>
            <w:pPr>
              <w:spacing w:after="0"/>
            </w:pPr>
            <w:r>
              <w:rPr>
                <w:sz w:val="17"/>
              </w:rPr>
              <w:t>ISRO VEDAS</w:t>
            </w:r>
          </w:p>
        </w:tc>
        <w:tc>
          <w:tcPr>
            <w:tcW w:type="dxa" w:w="4824"/>
            <w:tcMar>
              <w:top w:w="110" w:type="dxa"/>
              <w:start w:w="110" w:type="dxa"/>
              <w:bottom w:w="110" w:type="dxa"/>
              <w:end w:w="110" w:type="dxa"/>
            </w:tcMar>
            <w:vAlign w:val="center"/>
          </w:tcPr>
          <w:p>
            <w:pPr>
              <w:spacing w:after="0"/>
            </w:pPr>
            <w:r>
              <w:rPr>
                <w:sz w:val="17"/>
              </w:rPr>
              <w:t>Domain applications and layers remain separate from one general query router</w:t>
            </w:r>
          </w:p>
        </w:tc>
        <w:tc>
          <w:tcPr>
            <w:tcW w:type="dxa" w:w="3096"/>
            <w:tcMar>
              <w:top w:w="110" w:type="dxa"/>
              <w:start w:w="110" w:type="dxa"/>
              <w:bottom w:w="110" w:type="dxa"/>
              <w:end w:w="110" w:type="dxa"/>
            </w:tcMar>
            <w:vAlign w:val="center"/>
          </w:tcPr>
          <w:p>
            <w:pPr>
              <w:spacing w:after="0"/>
            </w:pPr>
            <w:r>
              <w:rPr>
                <w:sz w:val="17"/>
              </w:rPr>
              <w:t>Expose approved VEDAS services as tools available to the router.</w:t>
            </w:r>
          </w:p>
        </w:tc>
      </w:tr>
      <w:tr>
        <w:trPr>
          <w:cantSplit/>
        </w:trPr>
        <w:tc>
          <w:tcPr>
            <w:tcW w:type="dxa" w:w="1800"/>
            <w:tcMar>
              <w:top w:w="110" w:type="dxa"/>
              <w:start w:w="110" w:type="dxa"/>
              <w:bottom w:w="110" w:type="dxa"/>
              <w:end w:w="110" w:type="dxa"/>
            </w:tcMar>
            <w:vAlign w:val="center"/>
            <w:shd w:fill="F3F7F8"/>
          </w:tcPr>
          <w:p>
            <w:pPr>
              <w:spacing w:after="0"/>
            </w:pPr>
            <w:r>
              <w:rPr>
                <w:sz w:val="17"/>
              </w:rPr>
              <w:t>ISRO research work</w:t>
            </w:r>
          </w:p>
        </w:tc>
        <w:tc>
          <w:tcPr>
            <w:tcW w:type="dxa" w:w="4824"/>
            <w:tcMar>
              <w:top w:w="110" w:type="dxa"/>
              <w:start w:w="110" w:type="dxa"/>
              <w:bottom w:w="110" w:type="dxa"/>
              <w:end w:w="110" w:type="dxa"/>
            </w:tcMar>
            <w:vAlign w:val="center"/>
            <w:shd w:fill="F3F7F8"/>
          </w:tcPr>
          <w:p>
            <w:pPr>
              <w:spacing w:after="0"/>
            </w:pPr>
            <w:r>
              <w:rPr>
                <w:sz w:val="17"/>
              </w:rPr>
              <w:t>Published research goals do not establish a public production model satisfying SIH26167</w:t>
            </w:r>
          </w:p>
        </w:tc>
        <w:tc>
          <w:tcPr>
            <w:tcW w:type="dxa" w:w="3096"/>
            <w:tcMar>
              <w:top w:w="110" w:type="dxa"/>
              <w:start w:w="110" w:type="dxa"/>
              <w:bottom w:w="110" w:type="dxa"/>
              <w:end w:w="110" w:type="dxa"/>
            </w:tcMar>
            <w:vAlign w:val="center"/>
            <w:shd w:fill="F3F7F8"/>
          </w:tcPr>
          <w:p>
            <w:pPr>
              <w:spacing w:after="0"/>
            </w:pPr>
            <w:r>
              <w:rPr>
                <w:sz w:val="17"/>
              </w:rPr>
              <w:t>Build and measure a small integration prototype instead of claiming a new foundation model.</w:t>
            </w:r>
          </w:p>
        </w:tc>
      </w:tr>
    </w:tbl>
    <w:p>
      <w:pPr>
        <w:spacing w:after="0"/>
      </w:pPr>
    </w:p>
    <w:p>
      <w:pPr>
        <w:pStyle w:val="Heading1"/>
      </w:pPr>
      <w:r>
        <w:t>17 Feasible Model Design</w:t>
      </w:r>
    </w:p>
    <w:p>
      <w:r>
        <w:t>A student team can build the proposed system if it limits the first release to a controlled task list and adapts pretrained models. Training a new foundation model, promising arbitrary questions, or claiming operational accuracy on Cartosat and RISAT without labelled evaluation data would not be feasible.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trPr>
        <w:tc>
          <w:tcPr>
            <w:tcW w:type="dxa" w:w="1656"/>
            <w:shd w:fill="123B4A"/>
            <w:tcMar>
              <w:top w:w="110" w:type="dxa"/>
              <w:start w:w="110" w:type="dxa"/>
              <w:bottom w:w="110" w:type="dxa"/>
              <w:end w:w="110" w:type="dxa"/>
            </w:tcMar>
            <w:vAlign w:val="center"/>
          </w:tcPr>
          <w:p>
            <w:r>
              <w:rPr>
                <w:b/>
                <w:color w:val="FFFFFF"/>
                <w:sz w:val="18"/>
              </w:rPr>
              <w:t>Module</w:t>
            </w:r>
          </w:p>
        </w:tc>
        <w:tc>
          <w:tcPr>
            <w:tcW w:type="dxa" w:w="3384"/>
            <w:shd w:fill="123B4A"/>
            <w:tcMar>
              <w:top w:w="110" w:type="dxa"/>
              <w:start w:w="110" w:type="dxa"/>
              <w:bottom w:w="110" w:type="dxa"/>
              <w:end w:w="110" w:type="dxa"/>
            </w:tcMar>
            <w:vAlign w:val="center"/>
          </w:tcPr>
          <w:p>
            <w:r>
              <w:rPr>
                <w:b/>
                <w:color w:val="FFFFFF"/>
                <w:sz w:val="18"/>
              </w:rPr>
              <w:t>Hackathon implementation</w:t>
            </w:r>
          </w:p>
        </w:tc>
        <w:tc>
          <w:tcPr>
            <w:tcW w:type="dxa" w:w="2520"/>
            <w:shd w:fill="123B4A"/>
            <w:tcMar>
              <w:top w:w="110" w:type="dxa"/>
              <w:start w:w="110" w:type="dxa"/>
              <w:bottom w:w="110" w:type="dxa"/>
              <w:end w:w="110" w:type="dxa"/>
            </w:tcMar>
            <w:vAlign w:val="center"/>
          </w:tcPr>
          <w:p>
            <w:r>
              <w:rPr>
                <w:b/>
                <w:color w:val="FFFFFF"/>
                <w:sz w:val="18"/>
              </w:rPr>
              <w:t>Later upgrade</w:t>
            </w:r>
          </w:p>
        </w:tc>
        <w:tc>
          <w:tcPr>
            <w:tcW w:type="dxa" w:w="2304"/>
            <w:shd w:fill="123B4A"/>
            <w:tcMar>
              <w:top w:w="110" w:type="dxa"/>
              <w:start w:w="110" w:type="dxa"/>
              <w:bottom w:w="110" w:type="dxa"/>
              <w:end w:w="110" w:type="dxa"/>
            </w:tcMar>
            <w:vAlign w:val="center"/>
          </w:tcPr>
          <w:p>
            <w:r>
              <w:rPr>
                <w:b/>
                <w:color w:val="FFFFFF"/>
                <w:sz w:val="18"/>
              </w:rPr>
              <w:t>Why this choice is feasible</w:t>
            </w:r>
          </w:p>
        </w:tc>
      </w:tr>
      <w:tr>
        <w:trPr>
          <w:cantSplit/>
        </w:trPr>
        <w:tc>
          <w:tcPr>
            <w:tcW w:type="dxa" w:w="1656"/>
            <w:tcMar>
              <w:top w:w="110" w:type="dxa"/>
              <w:start w:w="110" w:type="dxa"/>
              <w:bottom w:w="110" w:type="dxa"/>
              <w:end w:w="110" w:type="dxa"/>
            </w:tcMar>
            <w:vAlign w:val="center"/>
          </w:tcPr>
          <w:p>
            <w:pPr>
              <w:spacing w:after="0"/>
            </w:pPr>
            <w:r>
              <w:rPr>
                <w:sz w:val="17"/>
              </w:rPr>
              <w:t>Query router</w:t>
            </w:r>
          </w:p>
        </w:tc>
        <w:tc>
          <w:tcPr>
            <w:tcW w:type="dxa" w:w="3384"/>
            <w:tcMar>
              <w:top w:w="110" w:type="dxa"/>
              <w:start w:w="110" w:type="dxa"/>
              <w:bottom w:w="110" w:type="dxa"/>
              <w:end w:w="110" w:type="dxa"/>
            </w:tcMar>
            <w:vAlign w:val="center"/>
          </w:tcPr>
          <w:p>
            <w:pPr>
              <w:spacing w:after="0"/>
            </w:pPr>
            <w:r>
              <w:rPr>
                <w:sz w:val="17"/>
              </w:rPr>
              <w:t>Rules plus a compact sentence embedding model such as MiniLM</w:t>
            </w:r>
          </w:p>
        </w:tc>
        <w:tc>
          <w:tcPr>
            <w:tcW w:type="dxa" w:w="2520"/>
            <w:tcMar>
              <w:top w:w="110" w:type="dxa"/>
              <w:start w:w="110" w:type="dxa"/>
              <w:bottom w:w="110" w:type="dxa"/>
              <w:end w:w="110" w:type="dxa"/>
            </w:tcMar>
            <w:vAlign w:val="center"/>
          </w:tcPr>
          <w:p>
            <w:pPr>
              <w:spacing w:after="0"/>
            </w:pPr>
            <w:r>
              <w:rPr>
                <w:sz w:val="17"/>
              </w:rPr>
              <w:t>Fine tune the router using accepted and rejected query examples</w:t>
            </w:r>
          </w:p>
        </w:tc>
        <w:tc>
          <w:tcPr>
            <w:tcW w:type="dxa" w:w="2304"/>
            <w:tcMar>
              <w:top w:w="110" w:type="dxa"/>
              <w:start w:w="110" w:type="dxa"/>
              <w:bottom w:w="110" w:type="dxa"/>
              <w:end w:w="110" w:type="dxa"/>
            </w:tcMar>
            <w:vAlign w:val="center"/>
          </w:tcPr>
          <w:p>
            <w:pPr>
              <w:spacing w:after="0"/>
            </w:pPr>
            <w:r>
              <w:rPr>
                <w:sz w:val="17"/>
              </w:rPr>
              <w:t>Runs on CPU and makes model selection easy to audit.</w:t>
            </w:r>
          </w:p>
        </w:tc>
      </w:tr>
      <w:tr>
        <w:trPr>
          <w:cantSplit/>
        </w:trPr>
        <w:tc>
          <w:tcPr>
            <w:tcW w:type="dxa" w:w="1656"/>
            <w:tcMar>
              <w:top w:w="110" w:type="dxa"/>
              <w:start w:w="110" w:type="dxa"/>
              <w:bottom w:w="110" w:type="dxa"/>
              <w:end w:w="110" w:type="dxa"/>
            </w:tcMar>
            <w:vAlign w:val="center"/>
            <w:shd w:fill="F3F7F8"/>
          </w:tcPr>
          <w:p>
            <w:pPr>
              <w:spacing w:after="0"/>
            </w:pPr>
            <w:r>
              <w:rPr>
                <w:sz w:val="17"/>
              </w:rPr>
              <w:t>Scene understanding</w:t>
            </w:r>
          </w:p>
        </w:tc>
        <w:tc>
          <w:tcPr>
            <w:tcW w:type="dxa" w:w="3384"/>
            <w:tcMar>
              <w:top w:w="110" w:type="dxa"/>
              <w:start w:w="110" w:type="dxa"/>
              <w:bottom w:w="110" w:type="dxa"/>
              <w:end w:w="110" w:type="dxa"/>
            </w:tcMar>
            <w:vAlign w:val="center"/>
            <w:shd w:fill="F3F7F8"/>
          </w:tcPr>
          <w:p>
            <w:pPr>
              <w:spacing w:after="0"/>
            </w:pPr>
            <w:r>
              <w:rPr>
                <w:sz w:val="17"/>
              </w:rPr>
              <w:t>Current k nearest neighbour baseline, then MobileNetV3 or ResNet18 transfer learning</w:t>
            </w:r>
          </w:p>
        </w:tc>
        <w:tc>
          <w:tcPr>
            <w:tcW w:type="dxa" w:w="2520"/>
            <w:tcMar>
              <w:top w:w="110" w:type="dxa"/>
              <w:start w:w="110" w:type="dxa"/>
              <w:bottom w:w="110" w:type="dxa"/>
              <w:end w:w="110" w:type="dxa"/>
            </w:tcMar>
            <w:vAlign w:val="center"/>
            <w:shd w:fill="F3F7F8"/>
          </w:tcPr>
          <w:p>
            <w:pPr>
              <w:spacing w:after="0"/>
            </w:pPr>
            <w:r>
              <w:rPr>
                <w:sz w:val="17"/>
              </w:rPr>
              <w:t>Remote sensing encoder such as RemoteCLIP or a compact vision transformer</w:t>
            </w:r>
          </w:p>
        </w:tc>
        <w:tc>
          <w:tcPr>
            <w:tcW w:type="dxa" w:w="2304"/>
            <w:tcMar>
              <w:top w:w="110" w:type="dxa"/>
              <w:start w:w="110" w:type="dxa"/>
              <w:bottom w:w="110" w:type="dxa"/>
              <w:end w:w="110" w:type="dxa"/>
            </w:tcMar>
            <w:vAlign w:val="center"/>
            <w:shd w:fill="F3F7F8"/>
          </w:tcPr>
          <w:p>
            <w:pPr>
              <w:spacing w:after="0"/>
            </w:pPr>
            <w:r>
              <w:rPr>
                <w:sz w:val="17"/>
              </w:rPr>
              <w:t>The current seven class model already runs locally. Transfer learning needs much less data than foundation training.</w:t>
            </w:r>
          </w:p>
        </w:tc>
      </w:tr>
      <w:tr>
        <w:trPr>
          <w:cantSplit/>
        </w:trPr>
        <w:tc>
          <w:tcPr>
            <w:tcW w:type="dxa" w:w="1656"/>
            <w:tcMar>
              <w:top w:w="110" w:type="dxa"/>
              <w:start w:w="110" w:type="dxa"/>
              <w:bottom w:w="110" w:type="dxa"/>
              <w:end w:w="110" w:type="dxa"/>
            </w:tcMar>
            <w:vAlign w:val="center"/>
          </w:tcPr>
          <w:p>
            <w:pPr>
              <w:spacing w:after="0"/>
            </w:pPr>
            <w:r>
              <w:rPr>
                <w:sz w:val="17"/>
              </w:rPr>
              <w:t>Land cover masks</w:t>
            </w:r>
          </w:p>
        </w:tc>
        <w:tc>
          <w:tcPr>
            <w:tcW w:type="dxa" w:w="3384"/>
            <w:tcMar>
              <w:top w:w="110" w:type="dxa"/>
              <w:start w:w="110" w:type="dxa"/>
              <w:bottom w:w="110" w:type="dxa"/>
              <w:end w:w="110" w:type="dxa"/>
            </w:tcMar>
            <w:vAlign w:val="center"/>
          </w:tcPr>
          <w:p>
            <w:pPr>
              <w:spacing w:after="0"/>
            </w:pPr>
            <w:r>
              <w:rPr>
                <w:sz w:val="17"/>
              </w:rPr>
              <w:t>SegFormer B0 or a small U Net for water, vegetation, built up and bare land</w:t>
            </w:r>
          </w:p>
        </w:tc>
        <w:tc>
          <w:tcPr>
            <w:tcW w:type="dxa" w:w="2520"/>
            <w:tcMar>
              <w:top w:w="110" w:type="dxa"/>
              <w:start w:w="110" w:type="dxa"/>
              <w:bottom w:w="110" w:type="dxa"/>
              <w:end w:w="110" w:type="dxa"/>
            </w:tcMar>
            <w:vAlign w:val="center"/>
          </w:tcPr>
          <w:p>
            <w:pPr>
              <w:spacing w:after="0"/>
            </w:pPr>
            <w:r>
              <w:rPr>
                <w:sz w:val="17"/>
              </w:rPr>
              <w:t>Sensor specific SegFormer fine tuning</w:t>
            </w:r>
          </w:p>
        </w:tc>
        <w:tc>
          <w:tcPr>
            <w:tcW w:type="dxa" w:w="2304"/>
            <w:tcMar>
              <w:top w:w="110" w:type="dxa"/>
              <w:start w:w="110" w:type="dxa"/>
              <w:bottom w:w="110" w:type="dxa"/>
              <w:end w:w="110" w:type="dxa"/>
            </w:tcMar>
            <w:vAlign w:val="center"/>
          </w:tcPr>
          <w:p>
            <w:pPr>
              <w:spacing w:after="0"/>
            </w:pPr>
            <w:r>
              <w:rPr>
                <w:sz w:val="17"/>
              </w:rPr>
              <w:t>Small segmentation networks fit a single modest GPU and return actual pixel masks.</w:t>
            </w:r>
          </w:p>
        </w:tc>
      </w:tr>
      <w:tr>
        <w:trPr>
          <w:cantSplit/>
        </w:trPr>
        <w:tc>
          <w:tcPr>
            <w:tcW w:type="dxa" w:w="1656"/>
            <w:tcMar>
              <w:top w:w="110" w:type="dxa"/>
              <w:start w:w="110" w:type="dxa"/>
              <w:bottom w:w="110" w:type="dxa"/>
              <w:end w:w="110" w:type="dxa"/>
            </w:tcMar>
            <w:vAlign w:val="center"/>
            <w:shd w:fill="F3F7F8"/>
          </w:tcPr>
          <w:p>
            <w:pPr>
              <w:spacing w:after="0"/>
            </w:pPr>
            <w:r>
              <w:rPr>
                <w:sz w:val="17"/>
              </w:rPr>
              <w:t>Text guided grounding</w:t>
            </w:r>
          </w:p>
        </w:tc>
        <w:tc>
          <w:tcPr>
            <w:tcW w:type="dxa" w:w="3384"/>
            <w:tcMar>
              <w:top w:w="110" w:type="dxa"/>
              <w:start w:w="110" w:type="dxa"/>
              <w:bottom w:w="110" w:type="dxa"/>
              <w:end w:w="110" w:type="dxa"/>
            </w:tcMar>
            <w:vAlign w:val="center"/>
            <w:shd w:fill="F3F7F8"/>
          </w:tcPr>
          <w:p>
            <w:pPr>
              <w:spacing w:after="0"/>
            </w:pPr>
            <w:r>
              <w:rPr>
                <w:sz w:val="17"/>
              </w:rPr>
              <w:t>Grounding DINO Tiny or Florence 2 for candidate regions, followed by SAM 2 Tiny</w:t>
            </w:r>
          </w:p>
        </w:tc>
        <w:tc>
          <w:tcPr>
            <w:tcW w:type="dxa" w:w="2520"/>
            <w:tcMar>
              <w:top w:w="110" w:type="dxa"/>
              <w:start w:w="110" w:type="dxa"/>
              <w:bottom w:w="110" w:type="dxa"/>
              <w:end w:w="110" w:type="dxa"/>
            </w:tcMar>
            <w:vAlign w:val="center"/>
            <w:shd w:fill="F3F7F8"/>
          </w:tcPr>
          <w:p>
            <w:pPr>
              <w:spacing w:after="0"/>
            </w:pPr>
            <w:r>
              <w:rPr>
                <w:sz w:val="17"/>
              </w:rPr>
              <w:t>Fine tune on remote sensing boxes and masks</w:t>
            </w:r>
          </w:p>
        </w:tc>
        <w:tc>
          <w:tcPr>
            <w:tcW w:type="dxa" w:w="2304"/>
            <w:tcMar>
              <w:top w:w="110" w:type="dxa"/>
              <w:start w:w="110" w:type="dxa"/>
              <w:bottom w:w="110" w:type="dxa"/>
              <w:end w:w="110" w:type="dxa"/>
            </w:tcMar>
            <w:vAlign w:val="center"/>
            <w:shd w:fill="F3F7F8"/>
          </w:tcPr>
          <w:p>
            <w:pPr>
              <w:spacing w:after="0"/>
            </w:pPr>
            <w:r>
              <w:rPr>
                <w:sz w:val="17"/>
              </w:rPr>
              <w:t>Pretrained models provide a demo quickly, while the report clearly labels zero shot limitations.</w:t>
            </w:r>
          </w:p>
        </w:tc>
      </w:tr>
      <w:tr>
        <w:trPr>
          <w:cantSplit/>
        </w:trPr>
        <w:tc>
          <w:tcPr>
            <w:tcW w:type="dxa" w:w="1656"/>
            <w:tcMar>
              <w:top w:w="110" w:type="dxa"/>
              <w:start w:w="110" w:type="dxa"/>
              <w:bottom w:w="110" w:type="dxa"/>
              <w:end w:w="110" w:type="dxa"/>
            </w:tcMar>
            <w:vAlign w:val="center"/>
          </w:tcPr>
          <w:p>
            <w:pPr>
              <w:spacing w:after="0"/>
            </w:pPr>
            <w:r>
              <w:rPr>
                <w:sz w:val="17"/>
              </w:rPr>
              <w:t>Change detection</w:t>
            </w:r>
          </w:p>
        </w:tc>
        <w:tc>
          <w:tcPr>
            <w:tcW w:type="dxa" w:w="3384"/>
            <w:tcMar>
              <w:top w:w="110" w:type="dxa"/>
              <w:start w:w="110" w:type="dxa"/>
              <w:bottom w:w="110" w:type="dxa"/>
              <w:end w:w="110" w:type="dxa"/>
            </w:tcMar>
            <w:vAlign w:val="center"/>
          </w:tcPr>
          <w:p>
            <w:pPr>
              <w:spacing w:after="0"/>
            </w:pPr>
            <w:r>
              <w:rPr>
                <w:sz w:val="17"/>
              </w:rPr>
              <w:t>Image registration followed by a Siamese U Net</w:t>
            </w:r>
          </w:p>
        </w:tc>
        <w:tc>
          <w:tcPr>
            <w:tcW w:type="dxa" w:w="2520"/>
            <w:tcMar>
              <w:top w:w="110" w:type="dxa"/>
              <w:start w:w="110" w:type="dxa"/>
              <w:bottom w:w="110" w:type="dxa"/>
              <w:end w:w="110" w:type="dxa"/>
            </w:tcMar>
            <w:vAlign w:val="center"/>
          </w:tcPr>
          <w:p>
            <w:pPr>
              <w:spacing w:after="0"/>
            </w:pPr>
            <w:r>
              <w:rPr>
                <w:sz w:val="17"/>
              </w:rPr>
              <w:t>BIT or ChangeFormer after the baseline works</w:t>
            </w:r>
          </w:p>
        </w:tc>
        <w:tc>
          <w:tcPr>
            <w:tcW w:type="dxa" w:w="2304"/>
            <w:tcMar>
              <w:top w:w="110" w:type="dxa"/>
              <w:start w:w="110" w:type="dxa"/>
              <w:bottom w:w="110" w:type="dxa"/>
              <w:end w:w="110" w:type="dxa"/>
            </w:tcMar>
            <w:vAlign w:val="center"/>
          </w:tcPr>
          <w:p>
            <w:pPr>
              <w:spacing w:after="0"/>
            </w:pPr>
            <w:r>
              <w:rPr>
                <w:sz w:val="17"/>
              </w:rPr>
              <w:t>A Siamese U Net is easier to train and explain than a large transformer.</w:t>
            </w:r>
          </w:p>
        </w:tc>
      </w:tr>
      <w:tr>
        <w:trPr>
          <w:cantSplit/>
        </w:trPr>
        <w:tc>
          <w:tcPr>
            <w:tcW w:type="dxa" w:w="1656"/>
            <w:tcMar>
              <w:top w:w="110" w:type="dxa"/>
              <w:start w:w="110" w:type="dxa"/>
              <w:bottom w:w="110" w:type="dxa"/>
              <w:end w:w="110" w:type="dxa"/>
            </w:tcMar>
            <w:vAlign w:val="center"/>
            <w:shd w:fill="F3F7F8"/>
          </w:tcPr>
          <w:p>
            <w:pPr>
              <w:spacing w:after="0"/>
            </w:pPr>
            <w:r>
              <w:rPr>
                <w:sz w:val="17"/>
              </w:rPr>
              <w:t>Optical SAR analysis</w:t>
            </w:r>
          </w:p>
        </w:tc>
        <w:tc>
          <w:tcPr>
            <w:tcW w:type="dxa" w:w="3384"/>
            <w:tcMar>
              <w:top w:w="110" w:type="dxa"/>
              <w:start w:w="110" w:type="dxa"/>
              <w:bottom w:w="110" w:type="dxa"/>
              <w:end w:w="110" w:type="dxa"/>
            </w:tcMar>
            <w:vAlign w:val="center"/>
            <w:shd w:fill="F3F7F8"/>
          </w:tcPr>
          <w:p>
            <w:pPr>
              <w:spacing w:after="0"/>
            </w:pPr>
            <w:r>
              <w:rPr>
                <w:sz w:val="17"/>
              </w:rPr>
              <w:t>Two small encoders with late fusion and agreement scoring</w:t>
            </w:r>
          </w:p>
        </w:tc>
        <w:tc>
          <w:tcPr>
            <w:tcW w:type="dxa" w:w="2520"/>
            <w:tcMar>
              <w:top w:w="110" w:type="dxa"/>
              <w:start w:w="110" w:type="dxa"/>
              <w:bottom w:w="110" w:type="dxa"/>
              <w:end w:w="110" w:type="dxa"/>
            </w:tcMar>
            <w:vAlign w:val="center"/>
            <w:shd w:fill="F3F7F8"/>
          </w:tcPr>
          <w:p>
            <w:pPr>
              <w:spacing w:after="0"/>
            </w:pPr>
            <w:r>
              <w:rPr>
                <w:sz w:val="17"/>
              </w:rPr>
              <w:t>Cross attention fusion trained on aligned pairs</w:t>
            </w:r>
          </w:p>
        </w:tc>
        <w:tc>
          <w:tcPr>
            <w:tcW w:type="dxa" w:w="2304"/>
            <w:tcMar>
              <w:top w:w="110" w:type="dxa"/>
              <w:start w:w="110" w:type="dxa"/>
              <w:bottom w:w="110" w:type="dxa"/>
              <w:end w:w="110" w:type="dxa"/>
            </w:tcMar>
            <w:vAlign w:val="center"/>
            <w:shd w:fill="F3F7F8"/>
          </w:tcPr>
          <w:p>
            <w:pPr>
              <w:spacing w:after="0"/>
            </w:pPr>
            <w:r>
              <w:rPr>
                <w:sz w:val="17"/>
              </w:rPr>
              <w:t>Separate encoders respect the different sensor physics and keep failure analysis understandable.</w:t>
            </w:r>
          </w:p>
        </w:tc>
      </w:tr>
      <w:tr>
        <w:trPr>
          <w:cantSplit/>
        </w:trPr>
        <w:tc>
          <w:tcPr>
            <w:tcW w:type="dxa" w:w="1656"/>
            <w:tcMar>
              <w:top w:w="110" w:type="dxa"/>
              <w:start w:w="110" w:type="dxa"/>
              <w:bottom w:w="110" w:type="dxa"/>
              <w:end w:w="110" w:type="dxa"/>
            </w:tcMar>
            <w:vAlign w:val="center"/>
          </w:tcPr>
          <w:p>
            <w:pPr>
              <w:spacing w:after="0"/>
            </w:pPr>
            <w:r>
              <w:rPr>
                <w:sz w:val="17"/>
              </w:rPr>
              <w:t>Answer generation</w:t>
            </w:r>
          </w:p>
        </w:tc>
        <w:tc>
          <w:tcPr>
            <w:tcW w:type="dxa" w:w="3384"/>
            <w:tcMar>
              <w:top w:w="110" w:type="dxa"/>
              <w:start w:w="110" w:type="dxa"/>
              <w:bottom w:w="110" w:type="dxa"/>
              <w:end w:w="110" w:type="dxa"/>
            </w:tcMar>
            <w:vAlign w:val="center"/>
          </w:tcPr>
          <w:p>
            <w:pPr>
              <w:spacing w:after="0"/>
            </w:pPr>
            <w:r>
              <w:rPr>
                <w:sz w:val="17"/>
              </w:rPr>
              <w:t>Templates built from structured model outputs</w:t>
            </w:r>
          </w:p>
        </w:tc>
        <w:tc>
          <w:tcPr>
            <w:tcW w:type="dxa" w:w="2520"/>
            <w:tcMar>
              <w:top w:w="110" w:type="dxa"/>
              <w:start w:w="110" w:type="dxa"/>
              <w:bottom w:w="110" w:type="dxa"/>
              <w:end w:w="110" w:type="dxa"/>
            </w:tcMar>
            <w:vAlign w:val="center"/>
          </w:tcPr>
          <w:p>
            <w:pPr>
              <w:spacing w:after="0"/>
            </w:pPr>
            <w:r>
              <w:rPr>
                <w:sz w:val="17"/>
              </w:rPr>
              <w:t>Optional small language model for wording only</w:t>
            </w:r>
          </w:p>
        </w:tc>
        <w:tc>
          <w:tcPr>
            <w:tcW w:type="dxa" w:w="2304"/>
            <w:tcMar>
              <w:top w:w="110" w:type="dxa"/>
              <w:start w:w="110" w:type="dxa"/>
              <w:bottom w:w="110" w:type="dxa"/>
              <w:end w:w="110" w:type="dxa"/>
            </w:tcMar>
            <w:vAlign w:val="center"/>
          </w:tcPr>
          <w:p>
            <w:pPr>
              <w:spacing w:after="0"/>
            </w:pPr>
            <w:r>
              <w:rPr>
                <w:sz w:val="17"/>
              </w:rPr>
              <w:t>The answer cannot invent objects because the model results constrain the text.</w:t>
            </w:r>
          </w:p>
        </w:tc>
      </w:tr>
      <w:tr>
        <w:trPr>
          <w:cantSplit/>
        </w:trPr>
        <w:tc>
          <w:tcPr>
            <w:tcW w:type="dxa" w:w="1656"/>
            <w:tcMar>
              <w:top w:w="110" w:type="dxa"/>
              <w:start w:w="110" w:type="dxa"/>
              <w:bottom w:w="110" w:type="dxa"/>
              <w:end w:w="110" w:type="dxa"/>
            </w:tcMar>
            <w:vAlign w:val="center"/>
            <w:shd w:fill="F3F7F8"/>
          </w:tcPr>
          <w:p>
            <w:pPr>
              <w:spacing w:after="0"/>
            </w:pPr>
            <w:r>
              <w:rPr>
                <w:sz w:val="17"/>
              </w:rPr>
              <w:t>Confidence</w:t>
            </w:r>
          </w:p>
        </w:tc>
        <w:tc>
          <w:tcPr>
            <w:tcW w:type="dxa" w:w="3384"/>
            <w:tcMar>
              <w:top w:w="110" w:type="dxa"/>
              <w:start w:w="110" w:type="dxa"/>
              <w:bottom w:w="110" w:type="dxa"/>
              <w:end w:w="110" w:type="dxa"/>
            </w:tcMar>
            <w:vAlign w:val="center"/>
            <w:shd w:fill="F3F7F8"/>
          </w:tcPr>
          <w:p>
            <w:pPr>
              <w:spacing w:after="0"/>
            </w:pPr>
            <w:r>
              <w:rPr>
                <w:sz w:val="17"/>
              </w:rPr>
              <w:t>Task score, image quality, registration quality and modality agreement</w:t>
            </w:r>
          </w:p>
        </w:tc>
        <w:tc>
          <w:tcPr>
            <w:tcW w:type="dxa" w:w="2520"/>
            <w:tcMar>
              <w:top w:w="110" w:type="dxa"/>
              <w:start w:w="110" w:type="dxa"/>
              <w:bottom w:w="110" w:type="dxa"/>
              <w:end w:w="110" w:type="dxa"/>
            </w:tcMar>
            <w:vAlign w:val="center"/>
            <w:shd w:fill="F3F7F8"/>
          </w:tcPr>
          <w:p>
            <w:pPr>
              <w:spacing w:after="0"/>
            </w:pPr>
            <w:r>
              <w:rPr>
                <w:sz w:val="17"/>
              </w:rPr>
              <w:t>Temperature scaling on a held out calibration set</w:t>
            </w:r>
          </w:p>
        </w:tc>
        <w:tc>
          <w:tcPr>
            <w:tcW w:type="dxa" w:w="2304"/>
            <w:tcMar>
              <w:top w:w="110" w:type="dxa"/>
              <w:start w:w="110" w:type="dxa"/>
              <w:bottom w:w="110" w:type="dxa"/>
              <w:end w:w="110" w:type="dxa"/>
            </w:tcMar>
            <w:vAlign w:val="center"/>
            <w:shd w:fill="F3F7F8"/>
          </w:tcPr>
          <w:p>
            <w:pPr>
              <w:spacing w:after="0"/>
            </w:pPr>
            <w:r>
              <w:rPr>
                <w:sz w:val="17"/>
              </w:rPr>
              <w:t>The interface shows the factors and can refuse low quality cases.</w:t>
            </w:r>
          </w:p>
        </w:tc>
      </w:tr>
    </w:tbl>
    <w:p>
      <w:pPr>
        <w:spacing w:after="0"/>
      </w:pPr>
    </w:p>
    <w:p>
      <w:pPr>
        <w:pStyle w:val="Heading1"/>
      </w:pPr>
      <w:r>
        <w:t>18 Six Slide SIH Presentation Content</w:t>
      </w:r>
    </w:p>
    <w:p>
      <w:r>
        <w:t>The official SIH template permits six slides including the title slide. The following content follows the template headings and the evaluation rubric. Use short points and diagrams in the presentation. Keep the supporting detail in this report for the question and answer session.</w:t>
      </w:r>
    </w:p>
    <w:p>
      <w:pPr>
        <w:pStyle w:val="Heading2"/>
      </w:pPr>
      <w:r>
        <w:t>Slide 1 Title Page</w:t>
      </w:r>
    </w:p>
    <w:p>
      <w:pPr>
        <w:pStyle w:val="ListBullet"/>
      </w:pPr>
      <w:r>
        <w:t>Idea title: SatQuery AI</w:t>
      </w:r>
    </w:p>
    <w:p>
      <w:pPr>
        <w:pStyle w:val="ListBullet"/>
      </w:pPr>
      <w:r>
        <w:t>Problem statement: SIH26167 interactive vision language assistant for remote sensing imagery</w:t>
      </w:r>
    </w:p>
    <w:p>
      <w:pPr>
        <w:pStyle w:val="ListBullet"/>
      </w:pPr>
      <w:r>
        <w:t>Theme, category, team ID and registered team name: enter the exact portal values</w:t>
      </w:r>
    </w:p>
    <w:p>
      <w:pPr>
        <w:pStyle w:val="Heading2"/>
      </w:pPr>
      <w:r>
        <w:t>Slide 2 Proposed Solution</w:t>
      </w:r>
    </w:p>
    <w:p>
      <w:pPr>
        <w:pStyle w:val="ListBullet"/>
      </w:pPr>
      <w:r>
        <w:t>Upload one image, an aligned temporal pair, or a co registered optical and SAR pair.</w:t>
      </w:r>
    </w:p>
    <w:p>
      <w:pPr>
        <w:pStyle w:val="ListBullet"/>
      </w:pPr>
      <w:r>
        <w:t>Ask a supported question in natural language. The router selects VQA, grounding, change detection or fusion.</w:t>
      </w:r>
    </w:p>
    <w:p>
      <w:pPr>
        <w:pStyle w:val="ListBullet"/>
      </w:pPr>
      <w:r>
        <w:t>Return a concise answer, pixel mask or bounding box, confidence factors and execution trace.</w:t>
      </w:r>
    </w:p>
    <w:p>
      <w:pPr>
        <w:pStyle w:val="ListBullet"/>
      </w:pPr>
      <w:r>
        <w:t>Innovation: one controlled interface joins specialist models and can integrate with Bhuvan, Bhoonidhi and VEDAS.</w:t>
      </w:r>
    </w:p>
    <w:p>
      <w:pPr>
        <w:pStyle w:val="ListBullet"/>
      </w:pPr>
      <w:r>
        <w:t>Differentiation: local deployment, target sensor evaluation, explicit refusal and evidence instead of text alone.</w:t>
      </w:r>
    </w:p>
    <w:p>
      <w:pPr>
        <w:pStyle w:val="Heading2"/>
      </w:pPr>
      <w:r>
        <w:t>Slide 3 Technical Approach</w:t>
      </w:r>
    </w:p>
    <w:p>
      <w:pPr>
        <w:pStyle w:val="ListBullet"/>
      </w:pPr>
      <w:r>
        <w:t>Frontend: HTML, CSS and JavaScript. Backend: Python API. Image processing: Pillow, NumPy, OpenCV and Rasterio for geospatial releases.</w:t>
      </w:r>
    </w:p>
    <w:p>
      <w:pPr>
        <w:pStyle w:val="ListBullet"/>
      </w:pPr>
      <w:r>
        <w:t>Models: MiniLM router, MobileNetV3 or RemoteCLIP scene encoder, SegFormer B0 or U Net segmentation, Grounding DINO plus SAM 2, Siamese U Net change detection and dual encoder optical SAR fusion.</w:t>
      </w:r>
    </w:p>
    <w:p>
      <w:pPr>
        <w:pStyle w:val="ListBullet"/>
      </w:pPr>
      <w:r>
        <w:t>Flow: input validation, preprocessing, structured query, model registry, specialist inference, evidence rendering, confidence check and response.</w:t>
      </w:r>
    </w:p>
    <w:p>
      <w:pPr>
        <w:pStyle w:val="ListBullet"/>
      </w:pPr>
      <w:r>
        <w:t>Pixel evidence: the model creates a binary mask. The renderer blends a transparent colour only into selected pixels and draws the boundary.</w:t>
      </w:r>
    </w:p>
    <w:p>
      <w:pPr>
        <w:pStyle w:val="Heading2"/>
      </w:pPr>
      <w:r>
        <w:t>Slide 4 Feasibility and Viability</w:t>
      </w:r>
    </w:p>
    <w:p>
      <w:pPr>
        <w:pStyle w:val="ListBullet"/>
      </w:pPr>
      <w:r>
        <w:t>Feasible scope: four controlled workflows, open datasets, pretrained weights and parameter efficient fine tuning.</w:t>
      </w:r>
    </w:p>
    <w:p>
      <w:pPr>
        <w:pStyle w:val="ListBullet"/>
      </w:pPr>
      <w:r>
        <w:t>Current prototype: runnable browser application, routing, RGB overlays, change and fusion baselines, trained seven class scene component and automated tests.</w:t>
      </w:r>
    </w:p>
    <w:p>
      <w:pPr>
        <w:pStyle w:val="ListBullet"/>
      </w:pPr>
      <w:r>
        <w:t>Corrected dataset split: 350 training and 351 held out test images after removing 18 exact duplicates. The scene baseline achieved 92.0 percent on its seven labels.</w:t>
      </w:r>
    </w:p>
    <w:p>
      <w:pPr>
        <w:pStyle w:val="ListBullet"/>
      </w:pPr>
      <w:r>
        <w:t>Main risks: unknown dataset licence, sensor domain shift, image misregistration and uncalibrated confidence.</w:t>
      </w:r>
    </w:p>
    <w:p>
      <w:pPr>
        <w:pStyle w:val="ListBullet"/>
      </w:pPr>
      <w:r>
        <w:t>Controls: verified data provenance, geographic train test separation, registration checks, human review and unsupported query refusal.</w:t>
      </w:r>
    </w:p>
    <w:p>
      <w:pPr>
        <w:pStyle w:val="ListBullet"/>
      </w:pPr>
      <w:r>
        <w:t>Estimated hackathon cash cost: Rs 10,000 to Rs 60,000 when the team uses open data and existing laptops.</w:t>
      </w:r>
    </w:p>
    <w:p>
      <w:pPr>
        <w:pStyle w:val="Heading2"/>
      </w:pPr>
      <w:r>
        <w:t>Slide 5 Impact and Benefits</w:t>
      </w:r>
    </w:p>
    <w:p>
      <w:pPr>
        <w:pStyle w:val="ListBullet"/>
      </w:pPr>
      <w:r>
        <w:t>ISRO and NRSC: faster exploration of imagery with results that analysts can inspect.</w:t>
      </w:r>
    </w:p>
    <w:p>
      <w:pPr>
        <w:pStyle w:val="ListBullet"/>
      </w:pPr>
      <w:r>
        <w:t>Disaster agencies: flood, fire and landslide screening using before and after imagery.</w:t>
      </w:r>
    </w:p>
    <w:p>
      <w:pPr>
        <w:pStyle w:val="ListBullet"/>
      </w:pPr>
      <w:r>
        <w:t>Agriculture, forest and municipal teams: crop stress, clearing, urban growth and water body monitoring.</w:t>
      </w:r>
    </w:p>
    <w:p>
      <w:pPr>
        <w:pStyle w:val="ListBullet"/>
      </w:pPr>
      <w:r>
        <w:t>Researchers and students: a lower learning barrier for remote sensing experiments.</w:t>
      </w:r>
    </w:p>
    <w:p>
      <w:pPr>
        <w:pStyle w:val="ListBullet"/>
      </w:pPr>
      <w:r>
        <w:t>Digital India and Make in India alignment: an India focused, locally deployable interface that can use Indian Earth observation data and open standards.</w:t>
      </w:r>
    </w:p>
    <w:p>
      <w:pPr>
        <w:pStyle w:val="ListBullet"/>
      </w:pPr>
      <w:r>
        <w:t>Startup path: configurable deployments for government departments, insurers, infrastructure operators and universities.</w:t>
      </w:r>
    </w:p>
    <w:p>
      <w:pPr>
        <w:pStyle w:val="Heading2"/>
      </w:pPr>
      <w:r>
        <w:t>Slide 6 Research and References</w:t>
      </w:r>
    </w:p>
    <w:p>
      <w:pPr>
        <w:pStyle w:val="ListBullet"/>
      </w:pPr>
      <w:r>
        <w:t>SIH26167 problem statement and SIH evaluation rubric</w:t>
      </w:r>
    </w:p>
    <w:p>
      <w:pPr>
        <w:pStyle w:val="ListBullet"/>
      </w:pPr>
      <w:r>
        <w:t>ISRO RESPOND Basket 2024, Bhuvan services, VEDAS services and space based Earth observation applications</w:t>
      </w:r>
    </w:p>
    <w:p>
      <w:pPr>
        <w:pStyle w:val="ListBullet"/>
      </w:pPr>
      <w:r>
        <w:t>Official documentation for Google Earth Engine, Planet, Esri ArcGIS, Microsoft Earth Copilot and UP42</w:t>
      </w:r>
    </w:p>
    <w:p>
      <w:pPr>
        <w:pStyle w:val="ListBullet"/>
      </w:pPr>
      <w:r>
        <w:t>BigEarthNet v2, VRSBench and optical SAR remote sensing VQA research</w:t>
      </w:r>
    </w:p>
    <w:p>
      <w:pPr>
        <w:pStyle w:val="ListBullet"/>
      </w:pPr>
      <w:r>
        <w:t>Repository evidence: source code, model registry, tests, 50/50 split report and failure cases</w:t>
      </w:r>
    </w:p>
    <w:p>
      <w:pPr>
        <w:pStyle w:val="Heading1"/>
      </w:pPr>
      <w:r>
        <w:t>19 Implementation Schedule and Team Feasibility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008"/>
            <w:shd w:fill="123B4A"/>
            <w:tcMar>
              <w:top w:w="110" w:type="dxa"/>
              <w:start w:w="110" w:type="dxa"/>
              <w:bottom w:w="110" w:type="dxa"/>
              <w:end w:w="110" w:type="dxa"/>
            </w:tcMar>
            <w:vAlign w:val="center"/>
          </w:tcPr>
          <w:p>
            <w:r>
              <w:rPr>
                <w:b/>
                <w:color w:val="FFFFFF"/>
                <w:sz w:val="18"/>
              </w:rPr>
              <w:t>Week</w:t>
            </w:r>
          </w:p>
        </w:tc>
        <w:tc>
          <w:tcPr>
            <w:tcW w:type="dxa" w:w="5256"/>
            <w:shd w:fill="123B4A"/>
            <w:tcMar>
              <w:top w:w="110" w:type="dxa"/>
              <w:start w:w="110" w:type="dxa"/>
              <w:bottom w:w="110" w:type="dxa"/>
              <w:end w:w="110" w:type="dxa"/>
            </w:tcMar>
            <w:vAlign w:val="center"/>
          </w:tcPr>
          <w:p>
            <w:r>
              <w:rPr>
                <w:b/>
                <w:color w:val="FFFFFF"/>
                <w:sz w:val="18"/>
              </w:rPr>
              <w:t>Work</w:t>
            </w:r>
          </w:p>
        </w:tc>
        <w:tc>
          <w:tcPr>
            <w:tcW w:type="dxa" w:w="3456"/>
            <w:shd w:fill="123B4A"/>
            <w:tcMar>
              <w:top w:w="110" w:type="dxa"/>
              <w:start w:w="110" w:type="dxa"/>
              <w:bottom w:w="110" w:type="dxa"/>
              <w:end w:w="110" w:type="dxa"/>
            </w:tcMar>
            <w:vAlign w:val="center"/>
          </w:tcPr>
          <w:p>
            <w:r>
              <w:rPr>
                <w:b/>
                <w:color w:val="FFFFFF"/>
                <w:sz w:val="18"/>
              </w:rPr>
              <w:t>Demonstrable result</w:t>
            </w:r>
          </w:p>
        </w:tc>
      </w:tr>
      <w:tr>
        <w:trPr>
          <w:cantSplit/>
        </w:trPr>
        <w:tc>
          <w:tcPr>
            <w:tcW w:type="dxa" w:w="1008"/>
            <w:tcMar>
              <w:top w:w="110" w:type="dxa"/>
              <w:start w:w="110" w:type="dxa"/>
              <w:bottom w:w="110" w:type="dxa"/>
              <w:end w:w="110" w:type="dxa"/>
            </w:tcMar>
            <w:vAlign w:val="center"/>
          </w:tcPr>
          <w:p>
            <w:pPr>
              <w:spacing w:after="0"/>
            </w:pPr>
            <w:r>
              <w:rPr>
                <w:sz w:val="17"/>
              </w:rPr>
              <w:t>1</w:t>
            </w:r>
          </w:p>
        </w:tc>
        <w:tc>
          <w:tcPr>
            <w:tcW w:type="dxa" w:w="5256"/>
            <w:tcMar>
              <w:top w:w="110" w:type="dxa"/>
              <w:start w:w="110" w:type="dxa"/>
              <w:bottom w:w="110" w:type="dxa"/>
              <w:end w:w="110" w:type="dxa"/>
            </w:tcMar>
            <w:vAlign w:val="center"/>
          </w:tcPr>
          <w:p>
            <w:pPr>
              <w:spacing w:after="0"/>
            </w:pPr>
            <w:r>
              <w:rPr>
                <w:sz w:val="17"/>
              </w:rPr>
              <w:t>Freeze supported questions, verify dataset licences and prepare evaluation splits</w:t>
            </w:r>
          </w:p>
        </w:tc>
        <w:tc>
          <w:tcPr>
            <w:tcW w:type="dxa" w:w="3456"/>
            <w:tcMar>
              <w:top w:w="110" w:type="dxa"/>
              <w:start w:w="110" w:type="dxa"/>
              <w:bottom w:w="110" w:type="dxa"/>
              <w:end w:w="110" w:type="dxa"/>
            </w:tcMar>
            <w:vAlign w:val="center"/>
          </w:tcPr>
          <w:p>
            <w:pPr>
              <w:spacing w:after="0"/>
            </w:pPr>
            <w:r>
              <w:rPr>
                <w:sz w:val="17"/>
              </w:rPr>
              <w:t>Approved task list and data register</w:t>
            </w:r>
          </w:p>
        </w:tc>
      </w:tr>
      <w:tr>
        <w:trPr>
          <w:cantSplit/>
        </w:trPr>
        <w:tc>
          <w:tcPr>
            <w:tcW w:type="dxa" w:w="1008"/>
            <w:tcMar>
              <w:top w:w="110" w:type="dxa"/>
              <w:start w:w="110" w:type="dxa"/>
              <w:bottom w:w="110" w:type="dxa"/>
              <w:end w:w="110" w:type="dxa"/>
            </w:tcMar>
            <w:vAlign w:val="center"/>
            <w:shd w:fill="F3F7F8"/>
          </w:tcPr>
          <w:p>
            <w:pPr>
              <w:spacing w:after="0"/>
            </w:pPr>
            <w:r>
              <w:rPr>
                <w:sz w:val="17"/>
              </w:rPr>
              <w:t>2</w:t>
            </w:r>
          </w:p>
        </w:tc>
        <w:tc>
          <w:tcPr>
            <w:tcW w:type="dxa" w:w="5256"/>
            <w:tcMar>
              <w:top w:w="110" w:type="dxa"/>
              <w:start w:w="110" w:type="dxa"/>
              <w:bottom w:w="110" w:type="dxa"/>
              <w:end w:w="110" w:type="dxa"/>
            </w:tcMar>
            <w:vAlign w:val="center"/>
            <w:shd w:fill="F3F7F8"/>
          </w:tcPr>
          <w:p>
            <w:pPr>
              <w:spacing w:after="0"/>
            </w:pPr>
            <w:r>
              <w:rPr>
                <w:sz w:val="17"/>
              </w:rPr>
              <w:t>Complete upload interface, validator, router and model registry</w:t>
            </w:r>
          </w:p>
        </w:tc>
        <w:tc>
          <w:tcPr>
            <w:tcW w:type="dxa" w:w="3456"/>
            <w:tcMar>
              <w:top w:w="110" w:type="dxa"/>
              <w:start w:w="110" w:type="dxa"/>
              <w:bottom w:w="110" w:type="dxa"/>
              <w:end w:w="110" w:type="dxa"/>
            </w:tcMar>
            <w:vAlign w:val="center"/>
            <w:shd w:fill="F3F7F8"/>
          </w:tcPr>
          <w:p>
            <w:pPr>
              <w:spacing w:after="0"/>
            </w:pPr>
            <w:r>
              <w:rPr>
                <w:sz w:val="17"/>
              </w:rPr>
              <w:t>Every sample query reaches the correct workflow</w:t>
            </w:r>
          </w:p>
        </w:tc>
      </w:tr>
      <w:tr>
        <w:trPr>
          <w:cantSplit/>
        </w:trPr>
        <w:tc>
          <w:tcPr>
            <w:tcW w:type="dxa" w:w="1008"/>
            <w:tcMar>
              <w:top w:w="110" w:type="dxa"/>
              <w:start w:w="110" w:type="dxa"/>
              <w:bottom w:w="110" w:type="dxa"/>
              <w:end w:w="110" w:type="dxa"/>
            </w:tcMar>
            <w:vAlign w:val="center"/>
          </w:tcPr>
          <w:p>
            <w:pPr>
              <w:spacing w:after="0"/>
            </w:pPr>
            <w:r>
              <w:rPr>
                <w:sz w:val="17"/>
              </w:rPr>
              <w:t>3</w:t>
            </w:r>
          </w:p>
        </w:tc>
        <w:tc>
          <w:tcPr>
            <w:tcW w:type="dxa" w:w="5256"/>
            <w:tcMar>
              <w:top w:w="110" w:type="dxa"/>
              <w:start w:w="110" w:type="dxa"/>
              <w:bottom w:w="110" w:type="dxa"/>
              <w:end w:w="110" w:type="dxa"/>
            </w:tcMar>
            <w:vAlign w:val="center"/>
          </w:tcPr>
          <w:p>
            <w:pPr>
              <w:spacing w:after="0"/>
            </w:pPr>
            <w:r>
              <w:rPr>
                <w:sz w:val="17"/>
              </w:rPr>
              <w:t>Train RGB land cover segmentation and connect evidence overlays</w:t>
            </w:r>
          </w:p>
        </w:tc>
        <w:tc>
          <w:tcPr>
            <w:tcW w:type="dxa" w:w="3456"/>
            <w:tcMar>
              <w:top w:w="110" w:type="dxa"/>
              <w:start w:w="110" w:type="dxa"/>
              <w:bottom w:w="110" w:type="dxa"/>
              <w:end w:w="110" w:type="dxa"/>
            </w:tcMar>
            <w:vAlign w:val="center"/>
          </w:tcPr>
          <w:p>
            <w:pPr>
              <w:spacing w:after="0"/>
            </w:pPr>
            <w:r>
              <w:rPr>
                <w:sz w:val="17"/>
              </w:rPr>
              <w:t>Masks, boundaries and Intersection over Union results</w:t>
            </w:r>
          </w:p>
        </w:tc>
      </w:tr>
      <w:tr>
        <w:trPr>
          <w:cantSplit/>
        </w:trPr>
        <w:tc>
          <w:tcPr>
            <w:tcW w:type="dxa" w:w="1008"/>
            <w:tcMar>
              <w:top w:w="110" w:type="dxa"/>
              <w:start w:w="110" w:type="dxa"/>
              <w:bottom w:w="110" w:type="dxa"/>
              <w:end w:w="110" w:type="dxa"/>
            </w:tcMar>
            <w:vAlign w:val="center"/>
            <w:shd w:fill="F3F7F8"/>
          </w:tcPr>
          <w:p>
            <w:pPr>
              <w:spacing w:after="0"/>
            </w:pPr>
            <w:r>
              <w:rPr>
                <w:sz w:val="17"/>
              </w:rPr>
              <w:t>4</w:t>
            </w:r>
          </w:p>
        </w:tc>
        <w:tc>
          <w:tcPr>
            <w:tcW w:type="dxa" w:w="5256"/>
            <w:tcMar>
              <w:top w:w="110" w:type="dxa"/>
              <w:start w:w="110" w:type="dxa"/>
              <w:bottom w:w="110" w:type="dxa"/>
              <w:end w:w="110" w:type="dxa"/>
            </w:tcMar>
            <w:vAlign w:val="center"/>
            <w:shd w:fill="F3F7F8"/>
          </w:tcPr>
          <w:p>
            <w:pPr>
              <w:spacing w:after="0"/>
            </w:pPr>
            <w:r>
              <w:rPr>
                <w:sz w:val="17"/>
              </w:rPr>
              <w:t>Add image alignment and Siamese change baseline</w:t>
            </w:r>
          </w:p>
        </w:tc>
        <w:tc>
          <w:tcPr>
            <w:tcW w:type="dxa" w:w="3456"/>
            <w:tcMar>
              <w:top w:w="110" w:type="dxa"/>
              <w:start w:w="110" w:type="dxa"/>
              <w:bottom w:w="110" w:type="dxa"/>
              <w:end w:w="110" w:type="dxa"/>
            </w:tcMar>
            <w:vAlign w:val="center"/>
            <w:shd w:fill="F3F7F8"/>
          </w:tcPr>
          <w:p>
            <w:pPr>
              <w:spacing w:after="0"/>
            </w:pPr>
            <w:r>
              <w:rPr>
                <w:sz w:val="17"/>
              </w:rPr>
              <w:t>Before and after heatmap with Change F1</w:t>
            </w:r>
          </w:p>
        </w:tc>
      </w:tr>
      <w:tr>
        <w:trPr>
          <w:cantSplit/>
        </w:trPr>
        <w:tc>
          <w:tcPr>
            <w:tcW w:type="dxa" w:w="1008"/>
            <w:tcMar>
              <w:top w:w="110" w:type="dxa"/>
              <w:start w:w="110" w:type="dxa"/>
              <w:bottom w:w="110" w:type="dxa"/>
              <w:end w:w="110" w:type="dxa"/>
            </w:tcMar>
            <w:vAlign w:val="center"/>
          </w:tcPr>
          <w:p>
            <w:pPr>
              <w:spacing w:after="0"/>
            </w:pPr>
            <w:r>
              <w:rPr>
                <w:sz w:val="17"/>
              </w:rPr>
              <w:t>5</w:t>
            </w:r>
          </w:p>
        </w:tc>
        <w:tc>
          <w:tcPr>
            <w:tcW w:type="dxa" w:w="5256"/>
            <w:tcMar>
              <w:top w:w="110" w:type="dxa"/>
              <w:start w:w="110" w:type="dxa"/>
              <w:bottom w:w="110" w:type="dxa"/>
              <w:end w:w="110" w:type="dxa"/>
            </w:tcMar>
            <w:vAlign w:val="center"/>
          </w:tcPr>
          <w:p>
            <w:pPr>
              <w:spacing w:after="0"/>
            </w:pPr>
            <w:r>
              <w:rPr>
                <w:sz w:val="17"/>
              </w:rPr>
              <w:t>Add constrained optical SAR late fusion</w:t>
            </w:r>
          </w:p>
        </w:tc>
        <w:tc>
          <w:tcPr>
            <w:tcW w:type="dxa" w:w="3456"/>
            <w:tcMar>
              <w:top w:w="110" w:type="dxa"/>
              <w:start w:w="110" w:type="dxa"/>
              <w:bottom w:w="110" w:type="dxa"/>
              <w:end w:w="110" w:type="dxa"/>
            </w:tcMar>
            <w:vAlign w:val="center"/>
          </w:tcPr>
          <w:p>
            <w:pPr>
              <w:spacing w:after="0"/>
            </w:pPr>
            <w:r>
              <w:rPr>
                <w:sz w:val="17"/>
              </w:rPr>
              <w:t>Optical, SAR and fused ablation comparison</w:t>
            </w:r>
          </w:p>
        </w:tc>
      </w:tr>
      <w:tr>
        <w:trPr>
          <w:cantSplit/>
        </w:trPr>
        <w:tc>
          <w:tcPr>
            <w:tcW w:type="dxa" w:w="1008"/>
            <w:tcMar>
              <w:top w:w="110" w:type="dxa"/>
              <w:start w:w="110" w:type="dxa"/>
              <w:bottom w:w="110" w:type="dxa"/>
              <w:end w:w="110" w:type="dxa"/>
            </w:tcMar>
            <w:vAlign w:val="center"/>
            <w:shd w:fill="F3F7F8"/>
          </w:tcPr>
          <w:p>
            <w:pPr>
              <w:spacing w:after="0"/>
            </w:pPr>
            <w:r>
              <w:rPr>
                <w:sz w:val="17"/>
              </w:rPr>
              <w:t>6</w:t>
            </w:r>
          </w:p>
        </w:tc>
        <w:tc>
          <w:tcPr>
            <w:tcW w:type="dxa" w:w="5256"/>
            <w:tcMar>
              <w:top w:w="110" w:type="dxa"/>
              <w:start w:w="110" w:type="dxa"/>
              <w:bottom w:w="110" w:type="dxa"/>
              <w:end w:w="110" w:type="dxa"/>
            </w:tcMar>
            <w:vAlign w:val="center"/>
            <w:shd w:fill="F3F7F8"/>
          </w:tcPr>
          <w:p>
            <w:pPr>
              <w:spacing w:after="0"/>
            </w:pPr>
            <w:r>
              <w:rPr>
                <w:sz w:val="17"/>
              </w:rPr>
              <w:t>Add confidence calibration, refusal tests and execution trace</w:t>
            </w:r>
          </w:p>
        </w:tc>
        <w:tc>
          <w:tcPr>
            <w:tcW w:type="dxa" w:w="3456"/>
            <w:tcMar>
              <w:top w:w="110" w:type="dxa"/>
              <w:start w:w="110" w:type="dxa"/>
              <w:bottom w:w="110" w:type="dxa"/>
              <w:end w:w="110" w:type="dxa"/>
            </w:tcMar>
            <w:vAlign w:val="center"/>
            <w:shd w:fill="F3F7F8"/>
          </w:tcPr>
          <w:p>
            <w:pPr>
              <w:spacing w:after="0"/>
            </w:pPr>
            <w:r>
              <w:rPr>
                <w:sz w:val="17"/>
              </w:rPr>
              <w:t>Known failure cases produce warnings or refusal</w:t>
            </w:r>
          </w:p>
        </w:tc>
      </w:tr>
      <w:tr>
        <w:trPr>
          <w:cantSplit/>
        </w:trPr>
        <w:tc>
          <w:tcPr>
            <w:tcW w:type="dxa" w:w="1008"/>
            <w:tcMar>
              <w:top w:w="110" w:type="dxa"/>
              <w:start w:w="110" w:type="dxa"/>
              <w:bottom w:w="110" w:type="dxa"/>
              <w:end w:w="110" w:type="dxa"/>
            </w:tcMar>
            <w:vAlign w:val="center"/>
          </w:tcPr>
          <w:p>
            <w:pPr>
              <w:spacing w:after="0"/>
            </w:pPr>
            <w:r>
              <w:rPr>
                <w:sz w:val="17"/>
              </w:rPr>
              <w:t>7</w:t>
            </w:r>
          </w:p>
        </w:tc>
        <w:tc>
          <w:tcPr>
            <w:tcW w:type="dxa" w:w="5256"/>
            <w:tcMar>
              <w:top w:w="110" w:type="dxa"/>
              <w:start w:w="110" w:type="dxa"/>
              <w:bottom w:w="110" w:type="dxa"/>
              <w:end w:w="110" w:type="dxa"/>
            </w:tcMar>
            <w:vAlign w:val="center"/>
          </w:tcPr>
          <w:p>
            <w:pPr>
              <w:spacing w:after="0"/>
            </w:pPr>
            <w:r>
              <w:rPr>
                <w:sz w:val="17"/>
              </w:rPr>
              <w:t>Test on held out regions and target sensor samples</w:t>
            </w:r>
          </w:p>
        </w:tc>
        <w:tc>
          <w:tcPr>
            <w:tcW w:type="dxa" w:w="3456"/>
            <w:tcMar>
              <w:top w:w="110" w:type="dxa"/>
              <w:start w:w="110" w:type="dxa"/>
              <w:bottom w:w="110" w:type="dxa"/>
              <w:end w:w="110" w:type="dxa"/>
            </w:tcMar>
            <w:vAlign w:val="center"/>
          </w:tcPr>
          <w:p>
            <w:pPr>
              <w:spacing w:after="0"/>
            </w:pPr>
            <w:r>
              <w:rPr>
                <w:sz w:val="17"/>
              </w:rPr>
              <w:t>Reproducible benchmark report</w:t>
            </w:r>
          </w:p>
        </w:tc>
      </w:tr>
      <w:tr>
        <w:trPr>
          <w:cantSplit/>
        </w:trPr>
        <w:tc>
          <w:tcPr>
            <w:tcW w:type="dxa" w:w="1008"/>
            <w:tcMar>
              <w:top w:w="110" w:type="dxa"/>
              <w:start w:w="110" w:type="dxa"/>
              <w:bottom w:w="110" w:type="dxa"/>
              <w:end w:w="110" w:type="dxa"/>
            </w:tcMar>
            <w:vAlign w:val="center"/>
            <w:shd w:fill="F3F7F8"/>
          </w:tcPr>
          <w:p>
            <w:pPr>
              <w:spacing w:after="0"/>
            </w:pPr>
            <w:r>
              <w:rPr>
                <w:sz w:val="17"/>
              </w:rPr>
              <w:t>8</w:t>
            </w:r>
          </w:p>
        </w:tc>
        <w:tc>
          <w:tcPr>
            <w:tcW w:type="dxa" w:w="5256"/>
            <w:tcMar>
              <w:top w:w="110" w:type="dxa"/>
              <w:start w:w="110" w:type="dxa"/>
              <w:bottom w:w="110" w:type="dxa"/>
              <w:end w:w="110" w:type="dxa"/>
            </w:tcMar>
            <w:vAlign w:val="center"/>
            <w:shd w:fill="F3F7F8"/>
          </w:tcPr>
          <w:p>
            <w:pPr>
              <w:spacing w:after="0"/>
            </w:pPr>
            <w:r>
              <w:rPr>
                <w:sz w:val="17"/>
              </w:rPr>
              <w:t>Polish the six slide PDF and record the demonstration</w:t>
            </w:r>
          </w:p>
        </w:tc>
        <w:tc>
          <w:tcPr>
            <w:tcW w:type="dxa" w:w="3456"/>
            <w:tcMar>
              <w:top w:w="110" w:type="dxa"/>
              <w:start w:w="110" w:type="dxa"/>
              <w:bottom w:w="110" w:type="dxa"/>
              <w:end w:w="110" w:type="dxa"/>
            </w:tcMar>
            <w:vAlign w:val="center"/>
            <w:shd w:fill="F3F7F8"/>
          </w:tcPr>
          <w:p>
            <w:pPr>
              <w:spacing w:after="0"/>
            </w:pPr>
            <w:r>
              <w:rPr>
                <w:sz w:val="17"/>
              </w:rPr>
              <w:t>Submission package and backup video</w:t>
            </w:r>
          </w:p>
        </w:tc>
      </w:tr>
    </w:tbl>
    <w:p>
      <w:pPr>
        <w:spacing w:after="0"/>
      </w:pPr>
    </w:p>
    <w:p>
      <w:r>
        <w:t>Recommended team allocation: one person for data and evaluation, one for computer vision, one for backend and routing, one for frontend and evidence visualization, and one for deployment and presentation. A four person team can combine the last two roles.</w:t>
      </w:r>
    </w:p>
    <w:p>
      <w:pPr>
        <w:pStyle w:val="Heading1"/>
      </w:pPr>
      <w:r>
        <w:t>20 Success Metrics and Judge Demonstration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728"/>
            <w:shd w:fill="123B4A"/>
            <w:tcMar>
              <w:top w:w="110" w:type="dxa"/>
              <w:start w:w="110" w:type="dxa"/>
              <w:bottom w:w="110" w:type="dxa"/>
              <w:end w:w="110" w:type="dxa"/>
            </w:tcMar>
            <w:vAlign w:val="center"/>
          </w:tcPr>
          <w:p>
            <w:r>
              <w:rPr>
                <w:b/>
                <w:color w:val="FFFFFF"/>
                <w:sz w:val="18"/>
              </w:rPr>
              <w:t>Capability</w:t>
            </w:r>
          </w:p>
        </w:tc>
        <w:tc>
          <w:tcPr>
            <w:tcW w:type="dxa" w:w="2880"/>
            <w:shd w:fill="123B4A"/>
            <w:tcMar>
              <w:top w:w="110" w:type="dxa"/>
              <w:start w:w="110" w:type="dxa"/>
              <w:bottom w:w="110" w:type="dxa"/>
              <w:end w:w="110" w:type="dxa"/>
            </w:tcMar>
            <w:vAlign w:val="center"/>
          </w:tcPr>
          <w:p>
            <w:r>
              <w:rPr>
                <w:b/>
                <w:color w:val="FFFFFF"/>
                <w:sz w:val="18"/>
              </w:rPr>
              <w:t>Metric</w:t>
            </w:r>
          </w:p>
        </w:tc>
        <w:tc>
          <w:tcPr>
            <w:tcW w:type="dxa" w:w="5112"/>
            <w:shd w:fill="123B4A"/>
            <w:tcMar>
              <w:top w:w="110" w:type="dxa"/>
              <w:start w:w="110" w:type="dxa"/>
              <w:bottom w:w="110" w:type="dxa"/>
              <w:end w:w="110" w:type="dxa"/>
            </w:tcMar>
            <w:vAlign w:val="center"/>
          </w:tcPr>
          <w:p>
            <w:r>
              <w:rPr>
                <w:b/>
                <w:color w:val="FFFFFF"/>
                <w:sz w:val="18"/>
              </w:rPr>
              <w:t>Minimum evidence for the SIH prototype</w:t>
            </w:r>
          </w:p>
        </w:tc>
      </w:tr>
      <w:tr>
        <w:trPr>
          <w:cantSplit/>
        </w:trPr>
        <w:tc>
          <w:tcPr>
            <w:tcW w:type="dxa" w:w="1728"/>
            <w:tcMar>
              <w:top w:w="110" w:type="dxa"/>
              <w:start w:w="110" w:type="dxa"/>
              <w:bottom w:w="110" w:type="dxa"/>
              <w:end w:w="110" w:type="dxa"/>
            </w:tcMar>
            <w:vAlign w:val="center"/>
          </w:tcPr>
          <w:p>
            <w:pPr>
              <w:spacing w:after="0"/>
            </w:pPr>
            <w:r>
              <w:rPr>
                <w:sz w:val="17"/>
              </w:rPr>
              <w:t>Routing</w:t>
            </w:r>
          </w:p>
        </w:tc>
        <w:tc>
          <w:tcPr>
            <w:tcW w:type="dxa" w:w="2880"/>
            <w:tcMar>
              <w:top w:w="110" w:type="dxa"/>
              <w:start w:w="110" w:type="dxa"/>
              <w:bottom w:w="110" w:type="dxa"/>
              <w:end w:w="110" w:type="dxa"/>
            </w:tcMar>
            <w:vAlign w:val="center"/>
          </w:tcPr>
          <w:p>
            <w:pPr>
              <w:spacing w:after="0"/>
            </w:pPr>
            <w:r>
              <w:rPr>
                <w:sz w:val="17"/>
              </w:rPr>
              <w:t>Intent and target accuracy</w:t>
            </w:r>
          </w:p>
        </w:tc>
        <w:tc>
          <w:tcPr>
            <w:tcW w:type="dxa" w:w="5112"/>
            <w:tcMar>
              <w:top w:w="110" w:type="dxa"/>
              <w:start w:w="110" w:type="dxa"/>
              <w:bottom w:w="110" w:type="dxa"/>
              <w:end w:w="110" w:type="dxa"/>
            </w:tcMar>
            <w:vAlign w:val="center"/>
          </w:tcPr>
          <w:p>
            <w:pPr>
              <w:spacing w:after="0"/>
            </w:pPr>
            <w:r>
              <w:rPr>
                <w:sz w:val="17"/>
              </w:rPr>
              <w:t>A labelled test set containing supported, ambiguous and unsupported questions</w:t>
            </w:r>
          </w:p>
        </w:tc>
      </w:tr>
      <w:tr>
        <w:trPr>
          <w:cantSplit/>
        </w:trPr>
        <w:tc>
          <w:tcPr>
            <w:tcW w:type="dxa" w:w="1728"/>
            <w:tcMar>
              <w:top w:w="110" w:type="dxa"/>
              <w:start w:w="110" w:type="dxa"/>
              <w:bottom w:w="110" w:type="dxa"/>
              <w:end w:w="110" w:type="dxa"/>
            </w:tcMar>
            <w:vAlign w:val="center"/>
            <w:shd w:fill="F3F7F8"/>
          </w:tcPr>
          <w:p>
            <w:pPr>
              <w:spacing w:after="0"/>
            </w:pPr>
            <w:r>
              <w:rPr>
                <w:sz w:val="17"/>
              </w:rPr>
              <w:t>Grounding</w:t>
            </w:r>
          </w:p>
        </w:tc>
        <w:tc>
          <w:tcPr>
            <w:tcW w:type="dxa" w:w="2880"/>
            <w:tcMar>
              <w:top w:w="110" w:type="dxa"/>
              <w:start w:w="110" w:type="dxa"/>
              <w:bottom w:w="110" w:type="dxa"/>
              <w:end w:w="110" w:type="dxa"/>
            </w:tcMar>
            <w:vAlign w:val="center"/>
            <w:shd w:fill="F3F7F8"/>
          </w:tcPr>
          <w:p>
            <w:pPr>
              <w:spacing w:after="0"/>
            </w:pPr>
            <w:r>
              <w:rPr>
                <w:sz w:val="17"/>
              </w:rPr>
              <w:t>Box mean average precision and mask Intersection over Union</w:t>
            </w:r>
          </w:p>
        </w:tc>
        <w:tc>
          <w:tcPr>
            <w:tcW w:type="dxa" w:w="5112"/>
            <w:tcMar>
              <w:top w:w="110" w:type="dxa"/>
              <w:start w:w="110" w:type="dxa"/>
              <w:bottom w:w="110" w:type="dxa"/>
              <w:end w:w="110" w:type="dxa"/>
            </w:tcMar>
            <w:vAlign w:val="center"/>
            <w:shd w:fill="F3F7F8"/>
          </w:tcPr>
          <w:p>
            <w:pPr>
              <w:spacing w:after="0"/>
            </w:pPr>
            <w:r>
              <w:rPr>
                <w:sz w:val="17"/>
              </w:rPr>
              <w:t>Held out boxes or masks for the supported labels</w:t>
            </w:r>
          </w:p>
        </w:tc>
      </w:tr>
      <w:tr>
        <w:trPr>
          <w:cantSplit/>
        </w:trPr>
        <w:tc>
          <w:tcPr>
            <w:tcW w:type="dxa" w:w="1728"/>
            <w:tcMar>
              <w:top w:w="110" w:type="dxa"/>
              <w:start w:w="110" w:type="dxa"/>
              <w:bottom w:w="110" w:type="dxa"/>
              <w:end w:w="110" w:type="dxa"/>
            </w:tcMar>
            <w:vAlign w:val="center"/>
          </w:tcPr>
          <w:p>
            <w:pPr>
              <w:spacing w:after="0"/>
            </w:pPr>
            <w:r>
              <w:rPr>
                <w:sz w:val="17"/>
              </w:rPr>
              <w:t>Scene questions</w:t>
            </w:r>
          </w:p>
        </w:tc>
        <w:tc>
          <w:tcPr>
            <w:tcW w:type="dxa" w:w="2880"/>
            <w:tcMar>
              <w:top w:w="110" w:type="dxa"/>
              <w:start w:w="110" w:type="dxa"/>
              <w:bottom w:w="110" w:type="dxa"/>
              <w:end w:w="110" w:type="dxa"/>
            </w:tcMar>
            <w:vAlign w:val="center"/>
          </w:tcPr>
          <w:p>
            <w:pPr>
              <w:spacing w:after="0"/>
            </w:pPr>
            <w:r>
              <w:rPr>
                <w:sz w:val="17"/>
              </w:rPr>
              <w:t>Per class precision, recall and accuracy</w:t>
            </w:r>
          </w:p>
        </w:tc>
        <w:tc>
          <w:tcPr>
            <w:tcW w:type="dxa" w:w="5112"/>
            <w:tcMar>
              <w:top w:w="110" w:type="dxa"/>
              <w:start w:w="110" w:type="dxa"/>
              <w:bottom w:w="110" w:type="dxa"/>
              <w:end w:w="110" w:type="dxa"/>
            </w:tcMar>
            <w:vAlign w:val="center"/>
          </w:tcPr>
          <w:p>
            <w:pPr>
              <w:spacing w:after="0"/>
            </w:pPr>
            <w:r>
              <w:rPr>
                <w:sz w:val="17"/>
              </w:rPr>
              <w:t>Confusion matrix and geographic test separation</w:t>
            </w:r>
          </w:p>
        </w:tc>
      </w:tr>
      <w:tr>
        <w:trPr>
          <w:cantSplit/>
        </w:trPr>
        <w:tc>
          <w:tcPr>
            <w:tcW w:type="dxa" w:w="1728"/>
            <w:tcMar>
              <w:top w:w="110" w:type="dxa"/>
              <w:start w:w="110" w:type="dxa"/>
              <w:bottom w:w="110" w:type="dxa"/>
              <w:end w:w="110" w:type="dxa"/>
            </w:tcMar>
            <w:vAlign w:val="center"/>
            <w:shd w:fill="F3F7F8"/>
          </w:tcPr>
          <w:p>
            <w:pPr>
              <w:spacing w:after="0"/>
            </w:pPr>
            <w:r>
              <w:rPr>
                <w:sz w:val="17"/>
              </w:rPr>
              <w:t>Change</w:t>
            </w:r>
          </w:p>
        </w:tc>
        <w:tc>
          <w:tcPr>
            <w:tcW w:type="dxa" w:w="2880"/>
            <w:tcMar>
              <w:top w:w="110" w:type="dxa"/>
              <w:start w:w="110" w:type="dxa"/>
              <w:bottom w:w="110" w:type="dxa"/>
              <w:end w:w="110" w:type="dxa"/>
            </w:tcMar>
            <w:vAlign w:val="center"/>
            <w:shd w:fill="F3F7F8"/>
          </w:tcPr>
          <w:p>
            <w:pPr>
              <w:spacing w:after="0"/>
            </w:pPr>
            <w:r>
              <w:rPr>
                <w:sz w:val="17"/>
              </w:rPr>
              <w:t>Change F1 and Intersection over Union</w:t>
            </w:r>
          </w:p>
        </w:tc>
        <w:tc>
          <w:tcPr>
            <w:tcW w:type="dxa" w:w="5112"/>
            <w:tcMar>
              <w:top w:w="110" w:type="dxa"/>
              <w:start w:w="110" w:type="dxa"/>
              <w:bottom w:w="110" w:type="dxa"/>
              <w:end w:w="110" w:type="dxa"/>
            </w:tcMar>
            <w:vAlign w:val="center"/>
            <w:shd w:fill="F3F7F8"/>
          </w:tcPr>
          <w:p>
            <w:pPr>
              <w:spacing w:after="0"/>
            </w:pPr>
            <w:r>
              <w:rPr>
                <w:sz w:val="17"/>
              </w:rPr>
              <w:t>Aligned before and after pairs with labelled changes</w:t>
            </w:r>
          </w:p>
        </w:tc>
      </w:tr>
      <w:tr>
        <w:trPr>
          <w:cantSplit/>
        </w:trPr>
        <w:tc>
          <w:tcPr>
            <w:tcW w:type="dxa" w:w="1728"/>
            <w:tcMar>
              <w:top w:w="110" w:type="dxa"/>
              <w:start w:w="110" w:type="dxa"/>
              <w:bottom w:w="110" w:type="dxa"/>
              <w:end w:w="110" w:type="dxa"/>
            </w:tcMar>
            <w:vAlign w:val="center"/>
          </w:tcPr>
          <w:p>
            <w:pPr>
              <w:spacing w:after="0"/>
            </w:pPr>
            <w:r>
              <w:rPr>
                <w:sz w:val="17"/>
              </w:rPr>
              <w:t>Optical SAR</w:t>
            </w:r>
          </w:p>
        </w:tc>
        <w:tc>
          <w:tcPr>
            <w:tcW w:type="dxa" w:w="2880"/>
            <w:tcMar>
              <w:top w:w="110" w:type="dxa"/>
              <w:start w:w="110" w:type="dxa"/>
              <w:bottom w:w="110" w:type="dxa"/>
              <w:end w:w="110" w:type="dxa"/>
            </w:tcMar>
            <w:vAlign w:val="center"/>
          </w:tcPr>
          <w:p>
            <w:pPr>
              <w:spacing w:after="0"/>
            </w:pPr>
            <w:r>
              <w:rPr>
                <w:sz w:val="17"/>
              </w:rPr>
              <w:t>Single modality versus fused accuracy</w:t>
            </w:r>
          </w:p>
        </w:tc>
        <w:tc>
          <w:tcPr>
            <w:tcW w:type="dxa" w:w="5112"/>
            <w:tcMar>
              <w:top w:w="110" w:type="dxa"/>
              <w:start w:w="110" w:type="dxa"/>
              <w:bottom w:w="110" w:type="dxa"/>
              <w:end w:w="110" w:type="dxa"/>
            </w:tcMar>
            <w:vAlign w:val="center"/>
          </w:tcPr>
          <w:p>
            <w:pPr>
              <w:spacing w:after="0"/>
            </w:pPr>
            <w:r>
              <w:rPr>
                <w:sz w:val="17"/>
              </w:rPr>
              <w:t>Ablation proving whether fusion helps</w:t>
            </w:r>
          </w:p>
        </w:tc>
      </w:tr>
      <w:tr>
        <w:trPr>
          <w:cantSplit/>
        </w:trPr>
        <w:tc>
          <w:tcPr>
            <w:tcW w:type="dxa" w:w="1728"/>
            <w:tcMar>
              <w:top w:w="110" w:type="dxa"/>
              <w:start w:w="110" w:type="dxa"/>
              <w:bottom w:w="110" w:type="dxa"/>
              <w:end w:w="110" w:type="dxa"/>
            </w:tcMar>
            <w:vAlign w:val="center"/>
            <w:shd w:fill="F3F7F8"/>
          </w:tcPr>
          <w:p>
            <w:pPr>
              <w:spacing w:after="0"/>
            </w:pPr>
            <w:r>
              <w:rPr>
                <w:sz w:val="17"/>
              </w:rPr>
              <w:t>Confidence</w:t>
            </w:r>
          </w:p>
        </w:tc>
        <w:tc>
          <w:tcPr>
            <w:tcW w:type="dxa" w:w="2880"/>
            <w:tcMar>
              <w:top w:w="110" w:type="dxa"/>
              <w:start w:w="110" w:type="dxa"/>
              <w:bottom w:w="110" w:type="dxa"/>
              <w:end w:w="110" w:type="dxa"/>
            </w:tcMar>
            <w:vAlign w:val="center"/>
            <w:shd w:fill="F3F7F8"/>
          </w:tcPr>
          <w:p>
            <w:pPr>
              <w:spacing w:after="0"/>
            </w:pPr>
            <w:r>
              <w:rPr>
                <w:sz w:val="17"/>
              </w:rPr>
              <w:t>Calibration error and refusal accuracy</w:t>
            </w:r>
          </w:p>
        </w:tc>
        <w:tc>
          <w:tcPr>
            <w:tcW w:type="dxa" w:w="5112"/>
            <w:tcMar>
              <w:top w:w="110" w:type="dxa"/>
              <w:start w:w="110" w:type="dxa"/>
              <w:bottom w:w="110" w:type="dxa"/>
              <w:end w:w="110" w:type="dxa"/>
            </w:tcMar>
            <w:vAlign w:val="center"/>
            <w:shd w:fill="F3F7F8"/>
          </w:tcPr>
          <w:p>
            <w:pPr>
              <w:spacing w:after="0"/>
            </w:pPr>
            <w:r>
              <w:rPr>
                <w:sz w:val="17"/>
              </w:rPr>
              <w:t>Low quality and misregistered inputs trigger warnings</w:t>
            </w:r>
          </w:p>
        </w:tc>
      </w:tr>
      <w:tr>
        <w:trPr>
          <w:cantSplit/>
        </w:trPr>
        <w:tc>
          <w:tcPr>
            <w:tcW w:type="dxa" w:w="1728"/>
            <w:tcMar>
              <w:top w:w="110" w:type="dxa"/>
              <w:start w:w="110" w:type="dxa"/>
              <w:bottom w:w="110" w:type="dxa"/>
              <w:end w:w="110" w:type="dxa"/>
            </w:tcMar>
            <w:vAlign w:val="center"/>
          </w:tcPr>
          <w:p>
            <w:pPr>
              <w:spacing w:after="0"/>
            </w:pPr>
            <w:r>
              <w:rPr>
                <w:sz w:val="17"/>
              </w:rPr>
              <w:t>Usability</w:t>
            </w:r>
          </w:p>
        </w:tc>
        <w:tc>
          <w:tcPr>
            <w:tcW w:type="dxa" w:w="2880"/>
            <w:tcMar>
              <w:top w:w="110" w:type="dxa"/>
              <w:start w:w="110" w:type="dxa"/>
              <w:bottom w:w="110" w:type="dxa"/>
              <w:end w:w="110" w:type="dxa"/>
            </w:tcMar>
            <w:vAlign w:val="center"/>
          </w:tcPr>
          <w:p>
            <w:pPr>
              <w:spacing w:after="0"/>
            </w:pPr>
            <w:r>
              <w:rPr>
                <w:sz w:val="17"/>
              </w:rPr>
              <w:t>Task completion time and analyst acceptance</w:t>
            </w:r>
          </w:p>
        </w:tc>
        <w:tc>
          <w:tcPr>
            <w:tcW w:type="dxa" w:w="5112"/>
            <w:tcMar>
              <w:top w:w="110" w:type="dxa"/>
              <w:start w:w="110" w:type="dxa"/>
              <w:bottom w:w="110" w:type="dxa"/>
              <w:end w:w="110" w:type="dxa"/>
            </w:tcMar>
            <w:vAlign w:val="center"/>
          </w:tcPr>
          <w:p>
            <w:pPr>
              <w:spacing w:after="0"/>
            </w:pPr>
            <w:r>
              <w:rPr>
                <w:sz w:val="17"/>
              </w:rPr>
              <w:t>Five to ten representative users complete the scripted workflow</w:t>
            </w:r>
          </w:p>
        </w:tc>
      </w:tr>
    </w:tbl>
    <w:p>
      <w:pPr>
        <w:spacing w:after="0"/>
      </w:pPr>
    </w:p>
    <w:p>
      <w:r>
        <w:t>The live demonstration should show one supported RGB grounding question, one before and after change question, one optical SAR question and one ambiguous question that the system refuses or clarifies. This sequence demonstrates capability and restraint.</w:t>
      </w:r>
    </w:p>
    <w:p>
      <w:r>
        <w:br w:type="page"/>
      </w:r>
    </w:p>
    <w:p>
      <w:pPr>
        <w:pStyle w:val="Heading1"/>
      </w:pPr>
      <w:r>
        <w:t>21 Verified Sources for the Added Analysis</w:t>
      </w:r>
    </w:p>
    <w:p>
      <w:pPr>
        <w:pStyle w:val="ListBullet"/>
      </w:pPr>
      <w:hyperlink r:id="rId21">
        <w:r>
          <w:rPr>
            <w:color w:val="0563C1"/>
            <w:u w:val="single"/>
          </w:rPr>
          <w:t>ISRO RESPOND Basket 2024</w:t>
        </w:r>
      </w:hyperlink>
    </w:p>
    <w:p>
      <w:pPr>
        <w:pStyle w:val="ListBullet"/>
      </w:pPr>
      <w:hyperlink r:id="rId22">
        <w:r>
          <w:rPr>
            <w:color w:val="0563C1"/>
            <w:u w:val="single"/>
          </w:rPr>
          <w:t>ISRO Bhuvan overview</w:t>
        </w:r>
      </w:hyperlink>
    </w:p>
    <w:p>
      <w:pPr>
        <w:pStyle w:val="ListBullet"/>
      </w:pPr>
      <w:hyperlink r:id="rId23">
        <w:r>
          <w:rPr>
            <w:color w:val="0563C1"/>
            <w:u w:val="single"/>
          </w:rPr>
          <w:t>ISRO VEDAS services</w:t>
        </w:r>
      </w:hyperlink>
    </w:p>
    <w:p>
      <w:pPr>
        <w:pStyle w:val="ListBullet"/>
      </w:pPr>
      <w:hyperlink r:id="rId24">
        <w:r>
          <w:rPr>
            <w:color w:val="0563C1"/>
            <w:u w:val="single"/>
          </w:rPr>
          <w:t>ISRO Earth observation services</w:t>
        </w:r>
      </w:hyperlink>
    </w:p>
    <w:p>
      <w:pPr>
        <w:pStyle w:val="ListBullet"/>
      </w:pPr>
      <w:hyperlink r:id="rId25">
        <w:r>
          <w:rPr>
            <w:color w:val="0563C1"/>
            <w:u w:val="single"/>
          </w:rPr>
          <w:t>ISRO research areas 2025</w:t>
        </w:r>
      </w:hyperlink>
    </w:p>
    <w:p>
      <w:pPr>
        <w:pStyle w:val="ListBullet"/>
      </w:pPr>
      <w:hyperlink r:id="rId10">
        <w:r>
          <w:rPr>
            <w:color w:val="0563C1"/>
            <w:u w:val="single"/>
          </w:rPr>
          <w:t>Google Earth Engine documentation</w:t>
        </w:r>
      </w:hyperlink>
    </w:p>
    <w:p>
      <w:pPr>
        <w:pStyle w:val="ListBullet"/>
      </w:pPr>
      <w:hyperlink r:id="rId26">
        <w:r>
          <w:rPr>
            <w:color w:val="0563C1"/>
            <w:u w:val="single"/>
          </w:rPr>
          <w:t>Planet Insights Platform</w:t>
        </w:r>
      </w:hyperlink>
    </w:p>
    <w:p>
      <w:pPr>
        <w:pStyle w:val="ListBullet"/>
      </w:pPr>
      <w:hyperlink r:id="rId27">
        <w:r>
          <w:rPr>
            <w:color w:val="0563C1"/>
            <w:u w:val="single"/>
          </w:rPr>
          <w:t>Esri ArcGIS Pro licensing</w:t>
        </w:r>
      </w:hyperlink>
    </w:p>
    <w:p>
      <w:pPr>
        <w:pStyle w:val="ListBullet"/>
      </w:pPr>
      <w:hyperlink r:id="rId28">
        <w:r>
          <w:rPr>
            <w:color w:val="0563C1"/>
            <w:u w:val="single"/>
          </w:rPr>
          <w:t>Esri ArcGIS Pro system requirements</w:t>
        </w:r>
      </w:hyperlink>
    </w:p>
    <w:p>
      <w:pPr>
        <w:pStyle w:val="ListBullet"/>
      </w:pPr>
      <w:hyperlink r:id="rId29">
        <w:r>
          <w:rPr>
            <w:color w:val="0563C1"/>
            <w:u w:val="single"/>
          </w:rPr>
          <w:t>Microsoft Earth Copilot repository</w:t>
        </w:r>
      </w:hyperlink>
    </w:p>
    <w:p>
      <w:pPr>
        <w:pStyle w:val="ListBullet"/>
      </w:pPr>
      <w:hyperlink r:id="rId30">
        <w:r>
          <w:rPr>
            <w:color w:val="0563C1"/>
            <w:u w:val="single"/>
          </w:rPr>
          <w:t>UP42 processing</w:t>
        </w:r>
      </w:hyperlink>
    </w:p>
    <w:p>
      <w:pPr>
        <w:pStyle w:val="ListBullet"/>
      </w:pPr>
      <w:hyperlink r:id="rId17">
        <w:r>
          <w:rPr>
            <w:color w:val="0563C1"/>
            <w:u w:val="single"/>
          </w:rPr>
          <w:t>BigEarthNet v2</w:t>
        </w:r>
      </w:hyperlink>
    </w:p>
    <w:p>
      <w:pPr>
        <w:pStyle w:val="ListBullet"/>
      </w:pPr>
      <w:hyperlink r:id="rId18">
        <w:r>
          <w:rPr>
            <w:color w:val="0563C1"/>
            <w:u w:val="single"/>
          </w:rPr>
          <w:t>VRSBench</w:t>
        </w:r>
      </w:hyperlink>
    </w:p>
    <w:sectPr w:rsidR="00FC693F" w:rsidRPr="0006063C" w:rsidSect="00034616">
      <w:footerReference w:type="default" r:id="rId2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7076"/>
        <w:sz w:val="16"/>
      </w:rPr>
      <w:t>SatQuery SIH26167  |  Complete presentation content and feasibility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823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4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h2026.vuce.in/en/ps/SIH26167" TargetMode="External"/><Relationship Id="rId10" Type="http://schemas.openxmlformats.org/officeDocument/2006/relationships/hyperlink" Target="https://developers.google.com/earth-engine" TargetMode="External"/><Relationship Id="rId11" Type="http://schemas.openxmlformats.org/officeDocument/2006/relationships/hyperlink" Target="https://www.planet.com/products/planet-insights-platform/" TargetMode="External"/><Relationship Id="rId12" Type="http://schemas.openxmlformats.org/officeDocument/2006/relationships/hyperlink" Target="https://docs.planet.com/platform/get-started/analyze-data/" TargetMode="External"/><Relationship Id="rId13" Type="http://schemas.openxmlformats.org/officeDocument/2006/relationships/hyperlink" Target="https://www.esri.com/arcgis-blog/products/arcgis-pro/geoai/vision-language-models-geospatial-analysis" TargetMode="External"/><Relationship Id="rId14" Type="http://schemas.openxmlformats.org/officeDocument/2006/relationships/hyperlink" Target="https://github.com/microsoft/Earth-Copilot/" TargetMode="External"/><Relationship Id="rId15" Type="http://schemas.openxmlformats.org/officeDocument/2006/relationships/hyperlink" Target="https://up42.com/platform/platform-overview" TargetMode="External"/><Relationship Id="rId16" Type="http://schemas.openxmlformats.org/officeDocument/2006/relationships/hyperlink" Target="https://up42.com/platform/processing" TargetMode="External"/><Relationship Id="rId17" Type="http://schemas.openxmlformats.org/officeDocument/2006/relationships/hyperlink" Target="https://bigearth.net/" TargetMode="External"/><Relationship Id="rId18" Type="http://schemas.openxmlformats.org/officeDocument/2006/relationships/hyperlink" Target="https://vrsbench.github.io/" TargetMode="External"/><Relationship Id="rId19" Type="http://schemas.openxmlformats.org/officeDocument/2006/relationships/hyperlink" Target="https://huggingface.co/datasets/BIFOLD-BigEarthNetv2-0/BigEarthNet.txt" TargetMode="External"/><Relationship Id="rId20" Type="http://schemas.openxmlformats.org/officeDocument/2006/relationships/footer" Target="footer1.xml"/><Relationship Id="rId21" Type="http://schemas.openxmlformats.org/officeDocument/2006/relationships/hyperlink" Target="https://www.isro.gov.in/media_isro/pdf/Respond_Basket_2024.pdf" TargetMode="External"/><Relationship Id="rId22" Type="http://schemas.openxmlformats.org/officeDocument/2006/relationships/hyperlink" Target="https://www.isro.gov.in/media_isro/pdf/Publications/Diverse_Space_Applications.pdf" TargetMode="External"/><Relationship Id="rId23" Type="http://schemas.openxmlformats.org/officeDocument/2006/relationships/hyperlink" Target="https://www.isro.gov.in/ISRO_EN/VedasServices.html" TargetMode="External"/><Relationship Id="rId24" Type="http://schemas.openxmlformats.org/officeDocument/2006/relationships/hyperlink" Target="https://www.isro.gov.in/SpaceBasedEarthObservationServices.html" TargetMode="External"/><Relationship Id="rId25" Type="http://schemas.openxmlformats.org/officeDocument/2006/relationships/hyperlink" Target="https://www.isro.gov.in/media_isro/pdf/programme/Research_Areas_Space_Doc2025.pdf" TargetMode="External"/><Relationship Id="rId26" Type="http://schemas.openxmlformats.org/officeDocument/2006/relationships/hyperlink" Target="https://www.planet.com/products/platform/" TargetMode="External"/><Relationship Id="rId27" Type="http://schemas.openxmlformats.org/officeDocument/2006/relationships/hyperlink" Target="https://pro.arcgis.com/en/pro-app/latest/get-started/about-licensing.htm" TargetMode="External"/><Relationship Id="rId28" Type="http://schemas.openxmlformats.org/officeDocument/2006/relationships/hyperlink" Target="https://pro.arcgis.com/en/pro-app/latest/get-started/arcgis-pro-system-requirements.htm" TargetMode="External"/><Relationship Id="rId29" Type="http://schemas.openxmlformats.org/officeDocument/2006/relationships/hyperlink" Target="https://github.com/microsoft/earth-copilot" TargetMode="External"/><Relationship Id="rId30" Type="http://schemas.openxmlformats.org/officeDocument/2006/relationships/hyperlink" Target="https://up42.com/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SatQuery ISRO Feasibility Architecture and Implementation Report</dc:title>
  <dc:subject>SIH26167 technical feasibility and implementation plan</dc:subject>
  <dc:creator>SatQuery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