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40" w:lineRule="auto"/>
        <w:jc w:val="center"/>
      </w:pPr>
      <w:r>
        <w:rPr>
          <w:rFonts w:ascii="Times New Roman" w:hAnsi="Times New Roman"/>
          <w:b w:val="0"/>
          <w:i w:val="0"/>
          <w:smallCaps w:val="0"/>
          <w:sz w:val="40"/>
        </w:rPr>
        <w:t>EfficientNetV2-MSAF: Multi-Scale Attention Fusion for Leakage-Free, Calibrated and Field-Robust Crop Leaf Disease Diagnosis</w:t>
      </w:r>
    </w:p>
    <w:p>
      <w:pPr>
        <w:keepNext w:val="0"/>
        <w:spacing w:before="0" w:after="0" w:line="240" w:lineRule="auto"/>
        <w:jc w:val="center"/>
      </w:pPr>
      <w:r>
        <w:rPr>
          <w:rFonts w:ascii="Times New Roman" w:hAnsi="Times New Roman"/>
          <w:b w:val="0"/>
          <w:i w:val="0"/>
          <w:smallCaps w:val="0"/>
          <w:sz w:val="20"/>
        </w:rPr>
        <w:t>[Author 1], [Author 2], [Author 3]</w:t>
      </w:r>
    </w:p>
    <w:p>
      <w:pPr>
        <w:keepNext w:val="0"/>
        <w:spacing w:before="0" w:after="0" w:line="240" w:lineRule="auto"/>
        <w:jc w:val="center"/>
      </w:pPr>
      <w:r>
        <w:rPr>
          <w:rFonts w:ascii="Times New Roman" w:hAnsi="Times New Roman"/>
          <w:b w:val="0"/>
          <w:i/>
          <w:smallCaps w:val="0"/>
          <w:sz w:val="20"/>
        </w:rPr>
        <w:t>[Department], [University]</w:t>
      </w:r>
    </w:p>
    <w:p>
      <w:pPr>
        <w:keepNext w:val="0"/>
        <w:spacing w:before="0" w:after="0" w:line="240" w:lineRule="auto"/>
        <w:jc w:val="center"/>
      </w:pPr>
      <w:r>
        <w:rPr>
          <w:rFonts w:ascii="Times New Roman" w:hAnsi="Times New Roman"/>
          <w:b w:val="0"/>
          <w:i w:val="0"/>
          <w:smallCaps w:val="0"/>
          <w:sz w:val="20"/>
        </w:rPr>
        <w:t>[City], India</w:t>
      </w:r>
    </w:p>
    <w:p>
      <w:pPr>
        <w:keepNext w:val="0"/>
        <w:spacing w:before="0" w:after="0" w:line="240" w:lineRule="auto"/>
        <w:jc w:val="center"/>
      </w:pPr>
      <w:r>
        <w:rPr>
          <w:rFonts w:ascii="Times New Roman" w:hAnsi="Times New Roman"/>
          <w:b w:val="0"/>
          <w:i w:val="0"/>
          <w:smallCaps w:val="0"/>
          <w:sz w:val="20"/>
        </w:rPr>
        <w:t>[email addresses]   ·   Guide: [Name, Designation]</w:t>
      </w:r>
    </w:p>
    <w:p>
      <w:pPr>
        <w:sectPr>
          <w:pgSz w:w="12240" w:h="15840"/>
          <w:pgMar w:top="1080" w:right="900" w:bottom="1440" w:left="900" w:header="720" w:footer="720" w:gutter="0"/>
          <w:cols w:space="360" w:num="1"/>
          <w:docGrid w:linePitch="360"/>
        </w:sectPr>
      </w:pPr>
    </w:p>
    <w:p>
      <w:pPr>
        <w:keepNext w:val="0"/>
        <w:spacing w:before="200" w:after="0" w:line="240" w:lineRule="auto"/>
        <w:ind w:firstLine="288"/>
        <w:jc w:val="both"/>
      </w:pPr>
      <w:r>
        <w:rPr>
          <w:rFonts w:ascii="Times New Roman" w:hAnsi="Times New Roman"/>
          <w:b/>
          <w:i/>
          <w:smallCaps w:val="0"/>
          <w:sz w:val="18"/>
        </w:rPr>
        <w:t>Abstract</w:t>
      </w:r>
      <w:r>
        <w:rPr>
          <w:rFonts w:ascii="Times New Roman" w:hAnsi="Times New Roman"/>
          <w:b/>
          <w:i w:val="0"/>
          <w:smallCaps w:val="0"/>
          <w:sz w:val="18"/>
        </w:rPr>
        <w:t>—Convolutional networks exceed 99% accuracy on the PlantVillage leaf disease benchmark, yet fail on photographs taken outside the laboratory. Three practices contribute: augmented copies of a leaf leak across the train–test split, single-scale classifier heads average away small lesions, and models are judged by clean accuracy alone. A leaf-grouped split of 87,867 images (14 crops, 38 classes) removes the leakage of a random split, in which 67.5% of test images had a copy in training or validation. On this split, EfficientNetV2-MSAF, a head that applies convolutional block attention, generalised-mean pooling and scale-dropout at three backbone depths (+1.09% parameters), is compared with EfficientNetV2-S and a single-scale attention variant, each with and without field augmentation, using macro-F1, six corruptions, calibration error, selective prediction and McNemar tests. All models reach 99.51–99.62% clean accuracy with no significant difference. MSAF halves the raw expected calibration error (10.57% to 5.14%) and lowers selective risk by 20%, while field augmentation supplies most corruption robustness. The combined system raises mean corrupted accuracy from 82.20% to 94.84% and is deployed with a leaf gatekeeper, Grad-CAM explanations and treatment guidance.</w:t>
      </w:r>
    </w:p>
    <w:p>
      <w:pPr>
        <w:keepNext w:val="0"/>
        <w:spacing w:before="80" w:after="80" w:line="240" w:lineRule="auto"/>
        <w:ind w:firstLine="288"/>
        <w:jc w:val="both"/>
      </w:pPr>
      <w:r>
        <w:rPr>
          <w:rFonts w:ascii="Times New Roman" w:hAnsi="Times New Roman"/>
          <w:b/>
          <w:i/>
          <w:smallCaps w:val="0"/>
          <w:sz w:val="18"/>
        </w:rPr>
        <w:t>Index Terms</w:t>
      </w:r>
      <w:r>
        <w:rPr>
          <w:rFonts w:ascii="Times New Roman" w:hAnsi="Times New Roman"/>
          <w:b/>
          <w:i w:val="0"/>
          <w:smallCaps w:val="0"/>
          <w:sz w:val="18"/>
        </w:rPr>
        <w:t>—Plant disease classification, EfficientNetV2, attention, multi-scale feature fusion, data leakage, calibration, corruption robustness, explainable AI.</w:t>
      </w:r>
    </w:p>
    <w:p>
      <w:pPr>
        <w:keepNext/>
        <w:spacing w:before="120" w:after="60" w:line="240" w:lineRule="auto"/>
        <w:jc w:val="center"/>
      </w:pPr>
      <w:r>
        <w:rPr>
          <w:rFonts w:ascii="Times New Roman" w:hAnsi="Times New Roman"/>
          <w:b w:val="0"/>
          <w:i w:val="0"/>
          <w:smallCaps/>
          <w:sz w:val="20"/>
        </w:rPr>
        <w:t>I. Introduction</w:t>
      </w:r>
    </w:p>
    <w:p>
      <w:pPr>
        <w:keepNext/>
        <w:spacing w:before="80" w:after="40" w:line="240" w:lineRule="auto"/>
        <w:jc w:val="left"/>
      </w:pPr>
      <w:r>
        <w:rPr>
          <w:rFonts w:ascii="Times New Roman" w:hAnsi="Times New Roman"/>
          <w:b w:val="0"/>
          <w:i/>
          <w:smallCaps w:val="0"/>
          <w:sz w:val="20"/>
        </w:rPr>
        <w:t>A. Background and Research Context</w:t>
      </w:r>
    </w:p>
    <w:p>
      <w:pPr>
        <w:keepNext w:val="0"/>
        <w:spacing w:before="0" w:after="0" w:line="240" w:lineRule="auto"/>
        <w:ind w:firstLine="288"/>
        <w:jc w:val="both"/>
      </w:pPr>
      <w:r>
        <w:rPr>
          <w:rFonts w:ascii="Times New Roman" w:hAnsi="Times New Roman"/>
          <w:b w:val="0"/>
          <w:i w:val="0"/>
          <w:smallCaps w:val="0"/>
          <w:sz w:val="20"/>
        </w:rPr>
        <w:t>Plant pathogens and pests remove an estimated 17–30% of the global harvest of major staple crops [1]. Plant pathologists are scarce in rural areas, so a first diagnosis from a smartphone photograph is a low-cost alternative. The open PlantVillage collection [2] made such systems practical, and CNNs trained on it exceeded 99% accuracy in 2016 [3].</w:t>
      </w:r>
    </w:p>
    <w:p>
      <w:pPr>
        <w:keepNext/>
        <w:spacing w:before="80" w:after="40" w:line="240" w:lineRule="auto"/>
        <w:jc w:val="left"/>
      </w:pPr>
      <w:r>
        <w:rPr>
          <w:rFonts w:ascii="Times New Roman" w:hAnsi="Times New Roman"/>
          <w:b w:val="0"/>
          <w:i/>
          <w:smallCaps w:val="0"/>
          <w:sz w:val="20"/>
        </w:rPr>
        <w:t>B. Research Problem and Its Significance</w:t>
      </w:r>
    </w:p>
    <w:p>
      <w:pPr>
        <w:keepNext w:val="0"/>
        <w:spacing w:before="0" w:after="0" w:line="240" w:lineRule="auto"/>
        <w:ind w:firstLine="288"/>
        <w:jc w:val="both"/>
      </w:pPr>
      <w:r>
        <w:rPr>
          <w:rFonts w:ascii="Times New Roman" w:hAnsi="Times New Roman"/>
          <w:b w:val="0"/>
          <w:i w:val="0"/>
          <w:smallCaps w:val="0"/>
          <w:sz w:val="20"/>
        </w:rPr>
        <w:t>Laboratory accuracy on PlantVillage has saturated between 99% and 100%, while accuracy on other photographs remains far lower: 31.4% on images from other sources in [3], and 68% for a 2025 vision transformer transferred to the in-the-wild PlantDoc images [4], [5]. A tool that is confident and wrong in the field can lead to the wrong treatment.</w:t>
      </w:r>
    </w:p>
    <w:p>
      <w:pPr>
        <w:keepNext/>
        <w:spacing w:before="80" w:after="40" w:line="240" w:lineRule="auto"/>
        <w:jc w:val="left"/>
      </w:pPr>
      <w:r>
        <w:rPr>
          <w:rFonts w:ascii="Times New Roman" w:hAnsi="Times New Roman"/>
          <w:b w:val="0"/>
          <w:i/>
          <w:smallCaps w:val="0"/>
          <w:sz w:val="20"/>
        </w:rPr>
        <w:t>C. Limitations of Conventional Approaches</w:t>
      </w:r>
    </w:p>
    <w:p>
      <w:pPr>
        <w:keepNext w:val="0"/>
        <w:spacing w:before="0" w:after="0" w:line="240" w:lineRule="auto"/>
        <w:ind w:firstLine="288"/>
        <w:jc w:val="both"/>
      </w:pPr>
      <w:r>
        <w:rPr>
          <w:rFonts w:ascii="Times New Roman" w:hAnsi="Times New Roman"/>
          <w:b w:val="0"/>
          <w:i w:val="0"/>
          <w:smallCaps w:val="0"/>
          <w:sz w:val="20"/>
        </w:rPr>
        <w:t>Three weaknesses recur. The augmented PlantVillage release stores rotated and flipped copies of each leaf as separate files, so a random file split places copies of one leaf in both training and test sets. Most classifiers decide from the coarsest feature map, where a small lesion is averaged away by global pooling. Models are compared by clean accuracy alone, although robustness and the reliability of confidence decide whether a prediction can be trusted [6].</w:t>
      </w:r>
    </w:p>
    <w:p>
      <w:pPr>
        <w:keepNext/>
        <w:spacing w:before="80" w:after="40" w:line="240" w:lineRule="auto"/>
        <w:jc w:val="left"/>
      </w:pPr>
      <w:r>
        <w:rPr>
          <w:rFonts w:ascii="Times New Roman" w:hAnsi="Times New Roman"/>
          <w:b w:val="0"/>
          <w:i/>
          <w:smallCaps w:val="0"/>
          <w:sz w:val="20"/>
        </w:rPr>
        <w:t>D. Motivation and Objectives</w:t>
      </w:r>
    </w:p>
    <w:p>
      <w:pPr>
        <w:keepNext w:val="0"/>
        <w:spacing w:before="0" w:after="0" w:line="240" w:lineRule="auto"/>
        <w:ind w:firstLine="288"/>
        <w:jc w:val="both"/>
      </w:pPr>
      <w:r>
        <w:rPr>
          <w:rFonts w:ascii="Times New Roman" w:hAnsi="Times New Roman"/>
          <w:b w:val="0"/>
          <w:i w:val="0"/>
          <w:smallCaps w:val="0"/>
          <w:sz w:val="20"/>
        </w:rPr>
        <w:t>This work treats the evaluation protocol and the classifier head as one problem. Its objectives are to (i) remove augmented-copy leakage, (ii) design a lightweight head that preserves small-lesion evidence on an EfficientNetV2 backbone [7], (iii) evaluate robustness, calibration and selective risk alongside accuracy, and (iv) deploy the result in a usable application.</w:t>
      </w:r>
    </w:p>
    <w:p>
      <w:pPr>
        <w:keepNext/>
        <w:spacing w:before="80" w:after="40" w:line="240" w:lineRule="auto"/>
        <w:jc w:val="left"/>
      </w:pPr>
      <w:r>
        <w:rPr>
          <w:rFonts w:ascii="Times New Roman" w:hAnsi="Times New Roman"/>
          <w:b w:val="0"/>
          <w:i/>
          <w:smallCaps w:val="0"/>
          <w:sz w:val="20"/>
        </w:rPr>
        <w:t>E. Research Challenges</w:t>
      </w:r>
    </w:p>
    <w:p>
      <w:pPr>
        <w:keepNext w:val="0"/>
        <w:spacing w:before="0" w:after="0" w:line="240" w:lineRule="auto"/>
        <w:ind w:firstLine="288"/>
        <w:jc w:val="both"/>
      </w:pPr>
      <w:r>
        <w:rPr>
          <w:rFonts w:ascii="Times New Roman" w:hAnsi="Times New Roman"/>
          <w:b w:val="0"/>
          <w:i w:val="0"/>
          <w:smallCaps w:val="0"/>
          <w:sz w:val="20"/>
        </w:rPr>
        <w:t>Because clean accuracy is saturated, gains must be shown on other measures without overstating small differences; training must fit a 4 GB GPU, and labelled field photographs are scarce.</w:t>
      </w:r>
    </w:p>
    <w:p>
      <w:pPr>
        <w:keepNext/>
        <w:spacing w:before="80" w:after="40" w:line="240" w:lineRule="auto"/>
        <w:jc w:val="left"/>
      </w:pPr>
      <w:r>
        <w:rPr>
          <w:rFonts w:ascii="Times New Roman" w:hAnsi="Times New Roman"/>
          <w:b w:val="0"/>
          <w:i/>
          <w:smallCaps w:val="0"/>
          <w:sz w:val="20"/>
        </w:rPr>
        <w:t>F. Contributions</w:t>
      </w:r>
    </w:p>
    <w:p>
      <w:pPr>
        <w:keepNext w:val="0"/>
        <w:tabs>
          <w:tab w:pos="360" w:val="left"/>
        </w:tabs>
        <w:spacing w:before="0" w:after="0" w:line="240" w:lineRule="auto"/>
        <w:ind w:left="360" w:hanging="360"/>
        <w:jc w:val="both"/>
      </w:pPr>
      <w:r>
        <w:rPr>
          <w:rFonts w:ascii="Times New Roman" w:hAnsi="Times New Roman"/>
          <w:b w:val="0"/>
          <w:i w:val="0"/>
          <w:smallCaps w:val="0"/>
          <w:sz w:val="20"/>
        </w:rPr>
        <w:t>1)</w:t>
        <w:tab/>
      </w:r>
      <w:r>
        <w:rPr>
          <w:rFonts w:ascii="Times New Roman" w:hAnsi="Times New Roman"/>
          <w:b w:val="0"/>
          <w:i w:val="0"/>
          <w:smallCaps w:val="0"/>
          <w:sz w:val="20"/>
        </w:rPr>
        <w:t>A leaf-disjoint split of the 38-class augmented PlantVillage release, showing that 67.5% of a random split's test images had a training or validation sibling.</w:t>
      </w:r>
    </w:p>
    <w:p>
      <w:pPr>
        <w:keepNext w:val="0"/>
        <w:tabs>
          <w:tab w:pos="360" w:val="left"/>
        </w:tabs>
        <w:spacing w:before="0" w:after="0" w:line="240" w:lineRule="auto"/>
        <w:ind w:left="360" w:hanging="360"/>
        <w:jc w:val="both"/>
      </w:pPr>
      <w:r>
        <w:rPr>
          <w:rFonts w:ascii="Times New Roman" w:hAnsi="Times New Roman"/>
          <w:b w:val="0"/>
          <w:i w:val="0"/>
          <w:smallCaps w:val="0"/>
          <w:sz w:val="20"/>
        </w:rPr>
        <w:t>2)</w:t>
        <w:tab/>
      </w:r>
      <w:r>
        <w:rPr>
          <w:rFonts w:ascii="Times New Roman" w:hAnsi="Times New Roman"/>
          <w:b w:val="0"/>
          <w:i w:val="0"/>
          <w:smallCaps w:val="0"/>
          <w:sz w:val="20"/>
        </w:rPr>
        <w:t>EfficientNetV2-MSAF, a head applying CBAM [8], generalised-mean pooling and scale-dropout at three backbone depths for +1.09% parameters.</w:t>
      </w:r>
    </w:p>
    <w:p>
      <w:pPr>
        <w:keepNext w:val="0"/>
        <w:tabs>
          <w:tab w:pos="360" w:val="left"/>
        </w:tabs>
        <w:spacing w:before="0" w:after="0" w:line="240" w:lineRule="auto"/>
        <w:ind w:left="360" w:hanging="360"/>
        <w:jc w:val="both"/>
      </w:pPr>
      <w:r>
        <w:rPr>
          <w:rFonts w:ascii="Times New Roman" w:hAnsi="Times New Roman"/>
          <w:b w:val="0"/>
          <w:i w:val="0"/>
          <w:smallCaps w:val="0"/>
          <w:sz w:val="20"/>
        </w:rPr>
        <w:t>3)</w:t>
        <w:tab/>
      </w:r>
      <w:r>
        <w:rPr>
          <w:rFonts w:ascii="Times New Roman" w:hAnsi="Times New Roman"/>
          <w:b w:val="0"/>
          <w:i w:val="0"/>
          <w:smallCaps w:val="0"/>
          <w:sz w:val="20"/>
        </w:rPr>
        <w:t>A five-model comparison covering macro-F1, six corruptions, calibration before and after temperature scaling [9], [10], selective prediction and significance tests.</w:t>
      </w:r>
    </w:p>
    <w:p>
      <w:pPr>
        <w:keepNext w:val="0"/>
        <w:tabs>
          <w:tab w:pos="360" w:val="left"/>
        </w:tabs>
        <w:spacing w:before="0" w:after="0" w:line="240" w:lineRule="auto"/>
        <w:ind w:left="360" w:hanging="360"/>
        <w:jc w:val="both"/>
      </w:pPr>
      <w:r>
        <w:rPr>
          <w:rFonts w:ascii="Times New Roman" w:hAnsi="Times New Roman"/>
          <w:b w:val="0"/>
          <w:i w:val="0"/>
          <w:smallCaps w:val="0"/>
          <w:sz w:val="20"/>
        </w:rPr>
        <w:t>4)</w:t>
        <w:tab/>
      </w:r>
      <w:r>
        <w:rPr>
          <w:rFonts w:ascii="Times New Roman" w:hAnsi="Times New Roman"/>
          <w:b w:val="0"/>
          <w:i w:val="0"/>
          <w:smallCaps w:val="0"/>
          <w:sz w:val="20"/>
        </w:rPr>
        <w:t>A deployed system with a leaf gatekeeper, Grad-CAM, severity estimate and treatment guidance.</w:t>
      </w:r>
    </w:p>
    <w:p>
      <w:pPr>
        <w:keepNext/>
        <w:spacing w:before="80" w:after="40" w:line="240" w:lineRule="auto"/>
        <w:jc w:val="left"/>
      </w:pPr>
      <w:r>
        <w:rPr>
          <w:rFonts w:ascii="Times New Roman" w:hAnsi="Times New Roman"/>
          <w:b w:val="0"/>
          <w:i/>
          <w:smallCaps w:val="0"/>
          <w:sz w:val="20"/>
        </w:rPr>
        <w:t>G. Organization of the Paper</w:t>
      </w:r>
    </w:p>
    <w:p>
      <w:pPr>
        <w:keepNext w:val="0"/>
        <w:spacing w:before="0" w:after="0" w:line="240" w:lineRule="auto"/>
        <w:ind w:firstLine="288"/>
        <w:jc w:val="both"/>
      </w:pPr>
      <w:r>
        <w:rPr>
          <w:rFonts w:ascii="Times New Roman" w:hAnsi="Times New Roman"/>
          <w:b w:val="0"/>
          <w:i w:val="0"/>
          <w:smallCaps w:val="0"/>
          <w:sz w:val="20"/>
        </w:rPr>
        <w:t>Sections II–V cover related work, method, results and conclusions.</w:t>
      </w:r>
    </w:p>
    <w:p>
      <w:pPr>
        <w:keepNext/>
        <w:spacing w:before="120" w:after="60" w:line="240" w:lineRule="auto"/>
        <w:jc w:val="center"/>
      </w:pPr>
      <w:r>
        <w:rPr>
          <w:rFonts w:ascii="Times New Roman" w:hAnsi="Times New Roman"/>
          <w:b w:val="0"/>
          <w:i w:val="0"/>
          <w:smallCaps/>
          <w:sz w:val="20"/>
        </w:rPr>
        <w:t>II. Literature Review</w:t>
      </w:r>
    </w:p>
    <w:p>
      <w:pPr>
        <w:keepNext w:val="0"/>
        <w:spacing w:before="0" w:after="0" w:line="240" w:lineRule="auto"/>
        <w:ind w:firstLine="288"/>
        <w:jc w:val="both"/>
      </w:pPr>
      <w:r>
        <w:rPr>
          <w:rFonts w:ascii="Times New Roman" w:hAnsi="Times New Roman"/>
          <w:b w:val="0"/>
          <w:i w:val="0"/>
          <w:smallCaps w:val="0"/>
          <w:sz w:val="20"/>
        </w:rPr>
        <w:t>Work from 2022 to 2026 has pursued lighter CNNs, hybrids that add self-attention or state-space blocks, and, recently, evaluation beyond clean accuracy. Of sixteen original studies selected, five are analysed below, six are compared in Table I, and the five closest to this work are examined in Section III-C.</w:t>
      </w:r>
    </w:p>
    <w:p>
      <w:pPr>
        <w:keepNext/>
        <w:spacing w:before="80" w:after="40" w:line="240" w:lineRule="auto"/>
        <w:jc w:val="left"/>
      </w:pPr>
      <w:r>
        <w:rPr>
          <w:rFonts w:ascii="Times New Roman" w:hAnsi="Times New Roman"/>
          <w:b w:val="0"/>
          <w:i/>
          <w:smallCaps w:val="0"/>
          <w:sz w:val="20"/>
        </w:rPr>
        <w:t>A. Multi-Scale and Hybrid Architectures</w:t>
      </w:r>
    </w:p>
    <w:p>
      <w:pPr>
        <w:keepNext w:val="0"/>
        <w:spacing w:before="0" w:after="0" w:line="240" w:lineRule="auto"/>
        <w:ind w:firstLine="288"/>
        <w:jc w:val="both"/>
      </w:pPr>
      <w:r>
        <w:rPr>
          <w:rFonts w:ascii="Times New Roman" w:hAnsi="Times New Roman"/>
          <w:b w:val="0"/>
          <w:i w:val="0"/>
          <w:smallCaps w:val="0"/>
          <w:sz w:val="20"/>
        </w:rPr>
        <w:t>Zhu et al. [11] fused multi-scale convolution with self-attention at shallow and deep levels (MSCVT), reaching 99.86% on PlantVillage and 97.50% on an apple leaf set. Combining shallow and deep features helps small lesions, but robustness and confidence were not examined; this work keeps the multi-scale premise with a pure CNN and tests it under corruption.</w:t>
      </w:r>
    </w:p>
    <w:p>
      <w:pPr>
        <w:keepNext w:val="0"/>
        <w:spacing w:before="0" w:after="0" w:line="240" w:lineRule="auto"/>
        <w:ind w:firstLine="288"/>
        <w:jc w:val="both"/>
      </w:pPr>
      <w:r>
        <w:rPr>
          <w:rFonts w:ascii="Times New Roman" w:hAnsi="Times New Roman"/>
          <w:b w:val="0"/>
          <w:i w:val="0"/>
          <w:smallCaps w:val="0"/>
          <w:sz w:val="20"/>
        </w:rPr>
        <w:t>Guan et al. [12] built the 13.3 MB Dise-Efficient on EfficientNetV2; it reached 99.80% on PlantVillage but 64.40% on the field-captured IP102 pest set. This 35-point gap shows that laboratory accuracy does not transfer to the field even with a strong backbone, which motivates the corruption and field tests used here.</w:t>
      </w:r>
    </w:p>
    <w:p>
      <w:pPr>
        <w:keepNext w:val="0"/>
        <w:spacing w:before="0" w:after="0" w:line="240" w:lineRule="auto"/>
        <w:ind w:firstLine="288"/>
        <w:jc w:val="both"/>
      </w:pPr>
      <w:r>
        <w:rPr>
          <w:rFonts w:ascii="Times New Roman" w:hAnsi="Times New Roman"/>
          <w:b w:val="0"/>
          <w:i w:val="0"/>
          <w:smallCaps w:val="0"/>
          <w:sz w:val="20"/>
        </w:rPr>
        <w:t>Gole et al. [13] (TrIncNet, a ViT with inception blocks) gained 5.38 points over a plain ViT on PlantVillage but only 2.87 points on in-field maize images, without calibration or robustness tests.</w:t>
      </w:r>
    </w:p>
    <w:p>
      <w:pPr>
        <w:keepNext w:val="0"/>
        <w:spacing w:before="0" w:after="0" w:line="240" w:lineRule="auto"/>
        <w:ind w:firstLine="288"/>
        <w:jc w:val="both"/>
      </w:pPr>
      <w:r>
        <w:rPr>
          <w:rFonts w:ascii="Times New Roman" w:hAnsi="Times New Roman"/>
          <w:b w:val="0"/>
          <w:i w:val="0"/>
          <w:smallCaps w:val="0"/>
          <w:sz w:val="20"/>
        </w:rPr>
        <w:t>Meng et al. [14] fused convolutional and transformer branches, reaching 99.71% on PlantVillage with 4.9 M parameters, but did not describe how augmented copies of a leaf are kept out of the test split.</w:t>
      </w:r>
    </w:p>
    <w:p>
      <w:pPr>
        <w:keepNext w:val="0"/>
        <w:spacing w:before="0" w:after="0" w:line="240" w:lineRule="auto"/>
        <w:ind w:firstLine="288"/>
        <w:jc w:val="both"/>
      </w:pPr>
      <w:r>
        <w:rPr>
          <w:rFonts w:ascii="Times New Roman" w:hAnsi="Times New Roman"/>
          <w:b w:val="0"/>
          <w:i w:val="0"/>
          <w:smallCaps w:val="0"/>
          <w:sz w:val="20"/>
        </w:rPr>
        <w:t>Zhang and Liu [15] fused shallow, medium and deep features with adaptive channel attention in a Vision Mamba network on field-acquired PlantDoc images, reaching 92.67% accuracy, 5.33 points above its baseline, with paired t-tests; calibration was not measured.</w:t>
      </w:r>
    </w:p>
    <w:p>
      <w:pPr>
        <w:keepNext/>
        <w:spacing w:before="80" w:after="40" w:line="240" w:lineRule="auto"/>
        <w:jc w:val="left"/>
      </w:pPr>
      <w:r>
        <w:rPr>
          <w:rFonts w:ascii="Times New Roman" w:hAnsi="Times New Roman"/>
          <w:b w:val="0"/>
          <w:i/>
          <w:smallCaps w:val="0"/>
          <w:sz w:val="20"/>
        </w:rPr>
        <w:t>B. Comparative Survey of Further Studies</w:t>
      </w:r>
    </w:p>
    <w:p>
      <w:pPr>
        <w:keepNext w:val="0"/>
        <w:spacing w:before="0" w:after="0" w:line="240" w:lineRule="auto"/>
        <w:ind w:firstLine="288"/>
        <w:jc w:val="both"/>
      </w:pPr>
      <w:r>
        <w:rPr>
          <w:rFonts w:ascii="Times New Roman" w:hAnsi="Times New Roman"/>
          <w:b w:val="0"/>
          <w:i w:val="0"/>
          <w:smallCaps w:val="0"/>
          <w:sz w:val="20"/>
        </w:rPr>
        <w:t>Table I summarises six further original studies.</w:t>
      </w:r>
    </w:p>
    <w:p>
      <w:pPr>
        <w:sectPr>
          <w:type w:val="continuous"/>
          <w:pgSz w:w="12240" w:h="15840"/>
          <w:pgMar w:top="1080" w:right="900" w:bottom="1440" w:left="900" w:header="720" w:footer="720" w:gutter="0"/>
          <w:cols w:space="360" w:num="2"/>
          <w:docGrid w:linePitch="360"/>
        </w:sectPr>
      </w:pPr>
    </w:p>
    <w:p>
      <w:pPr>
        <w:keepNext/>
        <w:spacing w:before="120" w:after="0" w:line="240" w:lineRule="auto"/>
        <w:jc w:val="center"/>
      </w:pPr>
      <w:r>
        <w:rPr>
          <w:rFonts w:ascii="Times New Roman" w:hAnsi="Times New Roman"/>
          <w:b w:val="0"/>
          <w:i w:val="0"/>
          <w:smallCaps w:val="0"/>
          <w:sz w:val="16"/>
        </w:rPr>
        <w:t>TABLE I</w:t>
      </w:r>
    </w:p>
    <w:p>
      <w:pPr>
        <w:keepNext/>
        <w:spacing w:before="0" w:after="60" w:line="240" w:lineRule="auto"/>
        <w:jc w:val="center"/>
      </w:pPr>
      <w:r>
        <w:rPr>
          <w:rFonts w:ascii="Times New Roman" w:hAnsi="Times New Roman"/>
          <w:b w:val="0"/>
          <w:i w:val="0"/>
          <w:smallCaps/>
          <w:sz w:val="16"/>
        </w:rPr>
        <w:t>Comparative survey of related studies</w:t>
      </w:r>
    </w:p>
    <w:tbl>
      <w:tblPr>
        <w:tblW w:type="auto" w:w="0"/>
        <w:jc w:val="center"/>
        <w:tblLayout w:type="fixed"/>
        <w:tblBorders>
          <w:top w:val="single" w:sz="4" w:color="000000"/>
          <w:bottom w:val="single" w:sz="4" w:color="000000"/>
          <w:insideH w:val="single" w:sz="4" w:color="000000"/>
        </w:tblBorders>
        <w:tblCellMar>
          <w:left w:w="50" w:type="dxa"/>
          <w:right w:w="50" w:type="dxa"/>
        </w:tblCellMar>
        <w:tblLook w:firstColumn="1" w:firstRow="1" w:lastColumn="0" w:lastRow="0" w:noHBand="0" w:noVBand="1" w:val="04A0"/>
      </w:tblPr>
      <w:tblGrid>
        <w:gridCol w:w="1740"/>
        <w:gridCol w:w="1740"/>
        <w:gridCol w:w="1740"/>
        <w:gridCol w:w="1740"/>
        <w:gridCol w:w="1740"/>
        <w:gridCol w:w="1740"/>
      </w:tblGrid>
      <w:tr>
        <w:trPr>
          <w:cantSplit/>
        </w:trPr>
        <w:tc>
          <w:tcPr>
            <w:tcW w:type="dxa" w:w="720"/>
          </w:tcPr>
          <w:p>
            <w:pPr>
              <w:keepNext w:val="0"/>
              <w:spacing w:before="0" w:after="0" w:line="240" w:lineRule="auto"/>
              <w:jc w:val="center"/>
            </w:pPr>
            <w:r>
              <w:rPr>
                <w:rFonts w:ascii="Times New Roman" w:hAnsi="Times New Roman"/>
                <w:b/>
                <w:i w:val="0"/>
                <w:smallCaps w:val="0"/>
                <w:sz w:val="14"/>
              </w:rPr>
              <w:t>No.</w:t>
            </w:r>
          </w:p>
        </w:tc>
        <w:tc>
          <w:tcPr>
            <w:tcW w:type="dxa" w:w="1049"/>
          </w:tcPr>
          <w:p>
            <w:pPr>
              <w:keepNext w:val="0"/>
              <w:spacing w:before="0" w:after="0" w:line="240" w:lineRule="auto"/>
              <w:jc w:val="center"/>
            </w:pPr>
            <w:r>
              <w:rPr>
                <w:rFonts w:ascii="Times New Roman" w:hAnsi="Times New Roman"/>
                <w:b/>
                <w:i w:val="0"/>
                <w:smallCaps w:val="0"/>
                <w:sz w:val="14"/>
              </w:rPr>
              <w:t>Authors and Year</w:t>
            </w:r>
          </w:p>
        </w:tc>
        <w:tc>
          <w:tcPr>
            <w:tcW w:type="dxa" w:w="2124"/>
          </w:tcPr>
          <w:p>
            <w:pPr>
              <w:keepNext w:val="0"/>
              <w:spacing w:before="0" w:after="0" w:line="240" w:lineRule="auto"/>
              <w:jc w:val="center"/>
            </w:pPr>
            <w:r>
              <w:rPr>
                <w:rFonts w:ascii="Times New Roman" w:hAnsi="Times New Roman"/>
                <w:b/>
                <w:i w:val="0"/>
                <w:smallCaps w:val="0"/>
                <w:sz w:val="14"/>
              </w:rPr>
              <w:t>Dataset</w:t>
            </w:r>
          </w:p>
        </w:tc>
        <w:tc>
          <w:tcPr>
            <w:tcW w:type="dxa" w:w="2182"/>
          </w:tcPr>
          <w:p>
            <w:pPr>
              <w:keepNext w:val="0"/>
              <w:spacing w:before="0" w:after="0" w:line="240" w:lineRule="auto"/>
              <w:jc w:val="center"/>
            </w:pPr>
            <w:r>
              <w:rPr>
                <w:rFonts w:ascii="Times New Roman" w:hAnsi="Times New Roman"/>
                <w:b/>
                <w:i w:val="0"/>
                <w:smallCaps w:val="0"/>
                <w:sz w:val="14"/>
              </w:rPr>
              <w:t>Methodology</w:t>
            </w:r>
          </w:p>
        </w:tc>
        <w:tc>
          <w:tcPr>
            <w:tcW w:type="dxa" w:w="2182"/>
          </w:tcPr>
          <w:p>
            <w:pPr>
              <w:keepNext w:val="0"/>
              <w:spacing w:before="0" w:after="0" w:line="240" w:lineRule="auto"/>
              <w:jc w:val="center"/>
            </w:pPr>
            <w:r>
              <w:rPr>
                <w:rFonts w:ascii="Times New Roman" w:hAnsi="Times New Roman"/>
                <w:b/>
                <w:i w:val="0"/>
                <w:smallCaps w:val="0"/>
                <w:sz w:val="14"/>
              </w:rPr>
              <w:t>Reported Results</w:t>
            </w:r>
          </w:p>
        </w:tc>
        <w:tc>
          <w:tcPr>
            <w:tcW w:type="dxa" w:w="2182"/>
          </w:tcPr>
          <w:p>
            <w:pPr>
              <w:keepNext w:val="0"/>
              <w:spacing w:before="0" w:after="0" w:line="240" w:lineRule="auto"/>
              <w:jc w:val="center"/>
            </w:pPr>
            <w:r>
              <w:rPr>
                <w:rFonts w:ascii="Times New Roman" w:hAnsi="Times New Roman"/>
                <w:b/>
                <w:i w:val="0"/>
                <w:smallCaps w:val="0"/>
                <w:sz w:val="14"/>
              </w:rPr>
              <w:t>Limitations</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[16]</w:t>
            </w:r>
          </w:p>
        </w:tc>
        <w:tc>
          <w:tcPr>
            <w:tcW w:type="dxa" w:w="1049"/>
          </w:tcPr>
          <w:p>
            <w:pPr>
              <w:keepNext w:val="0"/>
              <w:spacing w:before="0" w:after="0" w:line="240" w:lineRule="auto"/>
              <w:jc w:val="left"/>
            </w:pPr>
            <w:r>
              <w:rPr>
                <w:rFonts w:ascii="Times New Roman" w:hAnsi="Times New Roman"/>
                <w:b w:val="0"/>
                <w:i w:val="0"/>
                <w:smallCaps w:val="0"/>
                <w:sz w:val="14"/>
              </w:rPr>
              <w:t>Andrew et al., 2022</w:t>
            </w:r>
          </w:p>
        </w:tc>
        <w:tc>
          <w:tcPr>
            <w:tcW w:type="dxa" w:w="2124"/>
          </w:tcPr>
          <w:p>
            <w:pPr>
              <w:keepNext w:val="0"/>
              <w:spacing w:before="0" w:after="0" w:line="240" w:lineRule="auto"/>
              <w:jc w:val="left"/>
            </w:pPr>
            <w:r>
              <w:rPr>
                <w:rFonts w:ascii="Times New Roman" w:hAnsi="Times New Roman"/>
                <w:b w:val="0"/>
                <w:i w:val="0"/>
                <w:smallCaps w:val="0"/>
                <w:sz w:val="14"/>
              </w:rPr>
              <w:t>PlantVillage, 54,305 images, 38 classes</w:t>
            </w:r>
          </w:p>
        </w:tc>
        <w:tc>
          <w:tcPr>
            <w:tcW w:type="dxa" w:w="2182"/>
          </w:tcPr>
          <w:p>
            <w:pPr>
              <w:keepNext w:val="0"/>
              <w:spacing w:before="0" w:after="0" w:line="240" w:lineRule="auto"/>
              <w:jc w:val="left"/>
            </w:pPr>
            <w:r>
              <w:rPr>
                <w:rFonts w:ascii="Times New Roman" w:hAnsi="Times New Roman"/>
                <w:b w:val="0"/>
                <w:i w:val="0"/>
                <w:smallCaps w:val="0"/>
                <w:sz w:val="14"/>
              </w:rPr>
              <w:t>Fine-tuned DenseNet-121, ResNet-50, VGG-16, Inception V4</w:t>
            </w:r>
          </w:p>
        </w:tc>
        <w:tc>
          <w:tcPr>
            <w:tcW w:type="dxa" w:w="2182"/>
          </w:tcPr>
          <w:p>
            <w:pPr>
              <w:keepNext w:val="0"/>
              <w:spacing w:before="0" w:after="0" w:line="240" w:lineRule="auto"/>
              <w:jc w:val="left"/>
            </w:pPr>
            <w:r>
              <w:rPr>
                <w:rFonts w:ascii="Times New Roman" w:hAnsi="Times New Roman"/>
                <w:b w:val="0"/>
                <w:i w:val="0"/>
                <w:smallCaps w:val="0"/>
                <w:sz w:val="14"/>
              </w:rPr>
              <w:t>DenseNet-121: 99.81% accuracy</w:t>
            </w:r>
          </w:p>
        </w:tc>
        <w:tc>
          <w:tcPr>
            <w:tcW w:type="dxa" w:w="2182"/>
          </w:tcPr>
          <w:p>
            <w:pPr>
              <w:keepNext w:val="0"/>
              <w:spacing w:before="0" w:after="0" w:line="240" w:lineRule="auto"/>
              <w:jc w:val="left"/>
            </w:pPr>
            <w:r>
              <w:rPr>
                <w:rFonts w:ascii="Times New Roman" w:hAnsi="Times New Roman"/>
                <w:b w:val="0"/>
                <w:i w:val="0"/>
                <w:smallCaps w:val="0"/>
                <w:sz w:val="14"/>
              </w:rPr>
              <w:t>Single curated dataset; no field, corruption or calibration tests</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[17]</w:t>
            </w:r>
          </w:p>
        </w:tc>
        <w:tc>
          <w:tcPr>
            <w:tcW w:type="dxa" w:w="1049"/>
          </w:tcPr>
          <w:p>
            <w:pPr>
              <w:keepNext w:val="0"/>
              <w:spacing w:before="0" w:after="0" w:line="240" w:lineRule="auto"/>
              <w:jc w:val="left"/>
            </w:pPr>
            <w:r>
              <w:rPr>
                <w:rFonts w:ascii="Times New Roman" w:hAnsi="Times New Roman"/>
                <w:b w:val="0"/>
                <w:i w:val="0"/>
                <w:smallCaps w:val="0"/>
                <w:sz w:val="14"/>
              </w:rPr>
              <w:t>Hassan and Maji, 2022</w:t>
            </w:r>
          </w:p>
        </w:tc>
        <w:tc>
          <w:tcPr>
            <w:tcW w:type="dxa" w:w="2124"/>
          </w:tcPr>
          <w:p>
            <w:pPr>
              <w:keepNext w:val="0"/>
              <w:spacing w:before="0" w:after="0" w:line="240" w:lineRule="auto"/>
              <w:jc w:val="left"/>
            </w:pPr>
            <w:r>
              <w:rPr>
                <w:rFonts w:ascii="Times New Roman" w:hAnsi="Times New Roman"/>
                <w:b w:val="0"/>
                <w:i w:val="0"/>
                <w:smallCaps w:val="0"/>
                <w:sz w:val="14"/>
              </w:rPr>
              <w:t>PlantVillage, rice, cassava</w:t>
            </w:r>
          </w:p>
        </w:tc>
        <w:tc>
          <w:tcPr>
            <w:tcW w:type="dxa" w:w="2182"/>
          </w:tcPr>
          <w:p>
            <w:pPr>
              <w:keepNext w:val="0"/>
              <w:spacing w:before="0" w:after="0" w:line="240" w:lineRule="auto"/>
              <w:jc w:val="left"/>
            </w:pPr>
            <w:r>
              <w:rPr>
                <w:rFonts w:ascii="Times New Roman" w:hAnsi="Times New Roman"/>
                <w:b w:val="0"/>
                <w:i w:val="0"/>
                <w:smallCaps w:val="0"/>
                <w:sz w:val="14"/>
              </w:rPr>
              <w:t>Inception layers, residual links, depthwise separable convolution</w:t>
            </w:r>
          </w:p>
        </w:tc>
        <w:tc>
          <w:tcPr>
            <w:tcW w:type="dxa" w:w="2182"/>
          </w:tcPr>
          <w:p>
            <w:pPr>
              <w:keepNext w:val="0"/>
              <w:spacing w:before="0" w:after="0" w:line="240" w:lineRule="auto"/>
              <w:jc w:val="left"/>
            </w:pPr>
            <w:r>
              <w:rPr>
                <w:rFonts w:ascii="Times New Roman" w:hAnsi="Times New Roman"/>
                <w:b w:val="0"/>
                <w:i w:val="0"/>
                <w:smallCaps w:val="0"/>
                <w:sz w:val="14"/>
              </w:rPr>
              <w:t>99.39%, 99.66%, 76.59%</w:t>
            </w:r>
          </w:p>
        </w:tc>
        <w:tc>
          <w:tcPr>
            <w:tcW w:type="dxa" w:w="2182"/>
          </w:tcPr>
          <w:p>
            <w:pPr>
              <w:keepNext w:val="0"/>
              <w:spacing w:before="0" w:after="0" w:line="240" w:lineRule="auto"/>
              <w:jc w:val="left"/>
            </w:pPr>
            <w:r>
              <w:rPr>
                <w:rFonts w:ascii="Times New Roman" w:hAnsi="Times New Roman"/>
                <w:b w:val="0"/>
                <w:i w:val="0"/>
                <w:smallCaps w:val="0"/>
                <w:sz w:val="14"/>
              </w:rPr>
              <w:t>Large drop on the harder cassava set</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[18]</w:t>
            </w:r>
          </w:p>
        </w:tc>
        <w:tc>
          <w:tcPr>
            <w:tcW w:type="dxa" w:w="1049"/>
          </w:tcPr>
          <w:p>
            <w:pPr>
              <w:keepNext w:val="0"/>
              <w:spacing w:before="0" w:after="0" w:line="240" w:lineRule="auto"/>
              <w:jc w:val="left"/>
            </w:pPr>
            <w:r>
              <w:rPr>
                <w:rFonts w:ascii="Times New Roman" w:hAnsi="Times New Roman"/>
                <w:b w:val="0"/>
                <w:i w:val="0"/>
                <w:smallCaps w:val="0"/>
                <w:sz w:val="14"/>
              </w:rPr>
              <w:t>Borhani et al., 2022</w:t>
            </w:r>
          </w:p>
        </w:tc>
        <w:tc>
          <w:tcPr>
            <w:tcW w:type="dxa" w:w="2124"/>
          </w:tcPr>
          <w:p>
            <w:pPr>
              <w:keepNext w:val="0"/>
              <w:spacing w:before="0" w:after="0" w:line="240" w:lineRule="auto"/>
              <w:jc w:val="left"/>
            </w:pPr>
            <w:r>
              <w:rPr>
                <w:rFonts w:ascii="Times New Roman" w:hAnsi="Times New Roman"/>
                <w:b w:val="0"/>
                <w:i w:val="0"/>
                <w:smallCaps w:val="0"/>
                <w:sz w:val="14"/>
              </w:rPr>
              <w:t>Multiple leaf datasets</w:t>
            </w:r>
          </w:p>
        </w:tc>
        <w:tc>
          <w:tcPr>
            <w:tcW w:type="dxa" w:w="2182"/>
          </w:tcPr>
          <w:p>
            <w:pPr>
              <w:keepNext w:val="0"/>
              <w:spacing w:before="0" w:after="0" w:line="240" w:lineRule="auto"/>
              <w:jc w:val="left"/>
            </w:pPr>
            <w:r>
              <w:rPr>
                <w:rFonts w:ascii="Times New Roman" w:hAnsi="Times New Roman"/>
                <w:b w:val="0"/>
                <w:i w:val="0"/>
                <w:smallCaps w:val="0"/>
                <w:sz w:val="14"/>
              </w:rPr>
              <w:t>ViT, CNN and CNN–ViT hybrids</w:t>
            </w:r>
          </w:p>
        </w:tc>
        <w:tc>
          <w:tcPr>
            <w:tcW w:type="dxa" w:w="2182"/>
          </w:tcPr>
          <w:p>
            <w:pPr>
              <w:keepNext w:val="0"/>
              <w:spacing w:before="0" w:after="0" w:line="240" w:lineRule="auto"/>
              <w:jc w:val="left"/>
            </w:pPr>
            <w:r>
              <w:rPr>
                <w:rFonts w:ascii="Times New Roman" w:hAnsi="Times New Roman"/>
                <w:b w:val="0"/>
                <w:i w:val="0"/>
                <w:smallCaps w:val="0"/>
                <w:sz w:val="14"/>
              </w:rPr>
              <w:t>Attention raised accuracy but slowed prediction; hybrids recovered speed</w:t>
            </w:r>
          </w:p>
        </w:tc>
        <w:tc>
          <w:tcPr>
            <w:tcW w:type="dxa" w:w="2182"/>
          </w:tcPr>
          <w:p>
            <w:pPr>
              <w:keepNext w:val="0"/>
              <w:spacing w:before="0" w:after="0" w:line="240" w:lineRule="auto"/>
              <w:jc w:val="left"/>
            </w:pPr>
            <w:r>
              <w:rPr>
                <w:rFonts w:ascii="Times New Roman" w:hAnsi="Times New Roman"/>
                <w:b w:val="0"/>
                <w:i w:val="0"/>
                <w:smallCaps w:val="0"/>
                <w:sz w:val="14"/>
              </w:rPr>
              <w:t>Accuracy–speed trade-off only; no robustness analysis</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[19]</w:t>
            </w:r>
          </w:p>
        </w:tc>
        <w:tc>
          <w:tcPr>
            <w:tcW w:type="dxa" w:w="1049"/>
          </w:tcPr>
          <w:p>
            <w:pPr>
              <w:keepNext w:val="0"/>
              <w:spacing w:before="0" w:after="0" w:line="240" w:lineRule="auto"/>
              <w:jc w:val="left"/>
            </w:pPr>
            <w:r>
              <w:rPr>
                <w:rFonts w:ascii="Times New Roman" w:hAnsi="Times New Roman"/>
                <w:b w:val="0"/>
                <w:i w:val="0"/>
                <w:smallCaps w:val="0"/>
                <w:sz w:val="14"/>
              </w:rPr>
              <w:t>Li and Li, 2022</w:t>
            </w:r>
          </w:p>
        </w:tc>
        <w:tc>
          <w:tcPr>
            <w:tcW w:type="dxa" w:w="2124"/>
          </w:tcPr>
          <w:p>
            <w:pPr>
              <w:keepNext w:val="0"/>
              <w:spacing w:before="0" w:after="0" w:line="240" w:lineRule="auto"/>
              <w:jc w:val="left"/>
            </w:pPr>
            <w:r>
              <w:rPr>
                <w:rFonts w:ascii="Times New Roman" w:hAnsi="Times New Roman"/>
                <w:b w:val="0"/>
                <w:i w:val="0"/>
                <w:smallCaps w:val="0"/>
                <w:sz w:val="14"/>
              </w:rPr>
              <w:t>Self-built apple leaf set with complex backgrounds</w:t>
            </w:r>
          </w:p>
        </w:tc>
        <w:tc>
          <w:tcPr>
            <w:tcW w:type="dxa" w:w="2182"/>
          </w:tcPr>
          <w:p>
            <w:pPr>
              <w:keepNext w:val="0"/>
              <w:spacing w:before="0" w:after="0" w:line="240" w:lineRule="auto"/>
              <w:jc w:val="left"/>
            </w:pPr>
            <w:r>
              <w:rPr>
                <w:rFonts w:ascii="Times New Roman" w:hAnsi="Times New Roman"/>
                <w:b w:val="0"/>
                <w:i w:val="0"/>
                <w:smallCaps w:val="0"/>
                <w:sz w:val="14"/>
              </w:rPr>
              <w:t>ConvViT: convolution plus linear-complexity attention</w:t>
            </w:r>
          </w:p>
        </w:tc>
        <w:tc>
          <w:tcPr>
            <w:tcW w:type="dxa" w:w="2182"/>
          </w:tcPr>
          <w:p>
            <w:pPr>
              <w:keepNext w:val="0"/>
              <w:spacing w:before="0" w:after="0" w:line="240" w:lineRule="auto"/>
              <w:jc w:val="left"/>
            </w:pPr>
            <w:r>
              <w:rPr>
                <w:rFonts w:ascii="Times New Roman" w:hAnsi="Times New Roman"/>
                <w:b w:val="0"/>
                <w:i w:val="0"/>
                <w:smallCaps w:val="0"/>
                <w:sz w:val="14"/>
              </w:rPr>
              <w:t>96.85%, comparable to Swin-Tiny at 32.7% of its parameters</w:t>
            </w:r>
          </w:p>
        </w:tc>
        <w:tc>
          <w:tcPr>
            <w:tcW w:type="dxa" w:w="2182"/>
          </w:tcPr>
          <w:p>
            <w:pPr>
              <w:keepNext w:val="0"/>
              <w:spacing w:before="0" w:after="0" w:line="240" w:lineRule="auto"/>
              <w:jc w:val="left"/>
            </w:pPr>
            <w:r>
              <w:rPr>
                <w:rFonts w:ascii="Times New Roman" w:hAnsi="Times New Roman"/>
                <w:b w:val="0"/>
                <w:i w:val="0"/>
                <w:smallCaps w:val="0"/>
                <w:sz w:val="14"/>
              </w:rPr>
              <w:t>One crop; self-built data limit comparison</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[20]</w:t>
            </w:r>
          </w:p>
        </w:tc>
        <w:tc>
          <w:tcPr>
            <w:tcW w:type="dxa" w:w="1049"/>
          </w:tcPr>
          <w:p>
            <w:pPr>
              <w:keepNext w:val="0"/>
              <w:spacing w:before="0" w:after="0" w:line="240" w:lineRule="auto"/>
              <w:jc w:val="left"/>
            </w:pPr>
            <w:r>
              <w:rPr>
                <w:rFonts w:ascii="Times New Roman" w:hAnsi="Times New Roman"/>
                <w:b w:val="0"/>
                <w:i w:val="0"/>
                <w:smallCaps w:val="0"/>
                <w:sz w:val="14"/>
              </w:rPr>
              <w:t>Lin et al., 2022</w:t>
            </w:r>
          </w:p>
        </w:tc>
        <w:tc>
          <w:tcPr>
            <w:tcW w:type="dxa" w:w="2124"/>
          </w:tcPr>
          <w:p>
            <w:pPr>
              <w:keepNext w:val="0"/>
              <w:spacing w:before="0" w:after="0" w:line="240" w:lineRule="auto"/>
              <w:jc w:val="left"/>
            </w:pPr>
            <w:r>
              <w:rPr>
                <w:rFonts w:ascii="Times New Roman" w:hAnsi="Times New Roman"/>
                <w:b w:val="0"/>
                <w:i w:val="0"/>
                <w:smallCaps w:val="0"/>
                <w:sz w:val="14"/>
              </w:rPr>
              <w:t>PlantVillage-based few-shot tasks, intra- and cross-domain</w:t>
            </w:r>
          </w:p>
        </w:tc>
        <w:tc>
          <w:tcPr>
            <w:tcW w:type="dxa" w:w="2182"/>
          </w:tcPr>
          <w:p>
            <w:pPr>
              <w:keepNext w:val="0"/>
              <w:spacing w:before="0" w:after="0" w:line="240" w:lineRule="auto"/>
              <w:jc w:val="left"/>
            </w:pPr>
            <w:r>
              <w:rPr>
                <w:rFonts w:ascii="Times New Roman" w:hAnsi="Times New Roman"/>
                <w:b w:val="0"/>
                <w:i w:val="0"/>
                <w:smallCaps w:val="0"/>
                <w:sz w:val="14"/>
              </w:rPr>
              <w:t>Meta-Baseline with cascaded multi-scale features and channel attention</w:t>
            </w:r>
          </w:p>
        </w:tc>
        <w:tc>
          <w:tcPr>
            <w:tcW w:type="dxa" w:w="2182"/>
          </w:tcPr>
          <w:p>
            <w:pPr>
              <w:keepNext w:val="0"/>
              <w:spacing w:before="0" w:after="0" w:line="240" w:lineRule="auto"/>
              <w:jc w:val="left"/>
            </w:pPr>
            <w:r>
              <w:rPr>
                <w:rFonts w:ascii="Times New Roman" w:hAnsi="Times New Roman"/>
                <w:b w:val="0"/>
                <w:i w:val="0"/>
                <w:smallCaps w:val="0"/>
                <w:sz w:val="14"/>
              </w:rPr>
              <w:t>5-shot: 77.43% single-plant, 92.83% multi-plant</w:t>
            </w:r>
          </w:p>
        </w:tc>
        <w:tc>
          <w:tcPr>
            <w:tcW w:type="dxa" w:w="2182"/>
          </w:tcPr>
          <w:p>
            <w:pPr>
              <w:keepNext w:val="0"/>
              <w:spacing w:before="0" w:after="0" w:line="240" w:lineRule="auto"/>
              <w:jc w:val="left"/>
            </w:pPr>
            <w:r>
              <w:rPr>
                <w:rFonts w:ascii="Times New Roman" w:hAnsi="Times New Roman"/>
                <w:b w:val="0"/>
                <w:i w:val="0"/>
                <w:smallCaps w:val="0"/>
                <w:sz w:val="14"/>
              </w:rPr>
              <w:t>Few-shot setting; accuracy still modest</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[21]</w:t>
            </w:r>
          </w:p>
        </w:tc>
        <w:tc>
          <w:tcPr>
            <w:tcW w:type="dxa" w:w="1049"/>
          </w:tcPr>
          <w:p>
            <w:pPr>
              <w:keepNext w:val="0"/>
              <w:spacing w:before="0" w:after="0" w:line="240" w:lineRule="auto"/>
              <w:jc w:val="left"/>
            </w:pPr>
            <w:r>
              <w:rPr>
                <w:rFonts w:ascii="Times New Roman" w:hAnsi="Times New Roman"/>
                <w:b w:val="0"/>
                <w:i w:val="0"/>
                <w:smallCaps w:val="0"/>
                <w:sz w:val="14"/>
              </w:rPr>
              <w:t>De Silva and Brown, 2023</w:t>
            </w:r>
          </w:p>
        </w:tc>
        <w:tc>
          <w:tcPr>
            <w:tcW w:type="dxa" w:w="2124"/>
          </w:tcPr>
          <w:p>
            <w:pPr>
              <w:keepNext w:val="0"/>
              <w:spacing w:before="0" w:after="0" w:line="240" w:lineRule="auto"/>
              <w:jc w:val="left"/>
            </w:pPr>
            <w:r>
              <w:rPr>
                <w:rFonts w:ascii="Times New Roman" w:hAnsi="Times New Roman"/>
                <w:b w:val="0"/>
                <w:i w:val="0"/>
                <w:smallCaps w:val="0"/>
                <w:sz w:val="14"/>
              </w:rPr>
              <w:t>Self-collected multispectral set, six filters</w:t>
            </w:r>
          </w:p>
        </w:tc>
        <w:tc>
          <w:tcPr>
            <w:tcW w:type="dxa" w:w="2182"/>
          </w:tcPr>
          <w:p>
            <w:pPr>
              <w:keepNext w:val="0"/>
              <w:spacing w:before="0" w:after="0" w:line="240" w:lineRule="auto"/>
              <w:jc w:val="left"/>
            </w:pPr>
            <w:r>
              <w:rPr>
                <w:rFonts w:ascii="Times New Roman" w:hAnsi="Times New Roman"/>
                <w:b w:val="0"/>
                <w:i w:val="0"/>
                <w:smallCaps w:val="0"/>
                <w:sz w:val="14"/>
              </w:rPr>
              <w:t>CNNs, ViT-B16 and hybrids</w:t>
            </w:r>
          </w:p>
        </w:tc>
        <w:tc>
          <w:tcPr>
            <w:tcW w:type="dxa" w:w="2182"/>
          </w:tcPr>
          <w:p>
            <w:pPr>
              <w:keepNext w:val="0"/>
              <w:spacing w:before="0" w:after="0" w:line="240" w:lineRule="auto"/>
              <w:jc w:val="left"/>
            </w:pPr>
            <w:r>
              <w:rPr>
                <w:rFonts w:ascii="Times New Roman" w:hAnsi="Times New Roman"/>
                <w:b w:val="0"/>
                <w:i w:val="0"/>
                <w:smallCaps w:val="0"/>
                <w:sz w:val="14"/>
              </w:rPr>
              <w:t>ViT-B16: 83.3% accuracy, 89.5% F1 (average)</w:t>
            </w:r>
          </w:p>
        </w:tc>
        <w:tc>
          <w:tcPr>
            <w:tcW w:type="dxa" w:w="2182"/>
          </w:tcPr>
          <w:p>
            <w:pPr>
              <w:keepNext w:val="0"/>
              <w:spacing w:before="0" w:after="0" w:line="240" w:lineRule="auto"/>
              <w:jc w:val="left"/>
            </w:pPr>
            <w:r>
              <w:rPr>
                <w:rFonts w:ascii="Times New Roman" w:hAnsi="Times New Roman"/>
                <w:b w:val="0"/>
                <w:i w:val="0"/>
                <w:smallCaps w:val="0"/>
                <w:sz w:val="14"/>
              </w:rPr>
              <w:t>Specialised optics; moderate accuracy</w:t>
            </w:r>
          </w:p>
        </w:tc>
      </w:tr>
    </w:tbl>
    <w:p>
      <w:pPr>
        <w:keepNext w:val="0"/>
        <w:spacing w:before="0" w:after="40" w:line="240" w:lineRule="auto"/>
        <w:jc w:val="both"/>
      </w:pPr>
    </w:p>
    <w:p>
      <w:pPr>
        <w:sectPr>
          <w:type w:val="continuous"/>
          <w:pgSz w:w="12240" w:h="15840"/>
          <w:pgMar w:top="1080" w:right="900" w:bottom="1440" w:left="900" w:header="720" w:footer="720" w:gutter="0"/>
          <w:cols w:space="360" w:num="1"/>
          <w:docGrid w:linePitch="360"/>
        </w:sectPr>
      </w:pPr>
    </w:p>
    <w:p>
      <w:pPr>
        <w:keepNext/>
        <w:spacing w:before="80" w:after="40" w:line="240" w:lineRule="auto"/>
        <w:jc w:val="left"/>
      </w:pPr>
      <w:r>
        <w:rPr>
          <w:rFonts w:ascii="Times New Roman" w:hAnsi="Times New Roman"/>
          <w:b w:val="0"/>
          <w:i/>
          <w:smallCaps w:val="0"/>
          <w:sz w:val="20"/>
        </w:rPr>
        <w:t>C. Research Trends and Gap</w:t>
      </w:r>
    </w:p>
    <w:p>
      <w:pPr>
        <w:keepNext w:val="0"/>
        <w:spacing w:before="0" w:after="0" w:line="240" w:lineRule="auto"/>
        <w:ind w:firstLine="288"/>
        <w:jc w:val="both"/>
      </w:pPr>
      <w:r>
        <w:rPr>
          <w:rFonts w:ascii="Times New Roman" w:hAnsi="Times New Roman"/>
          <w:b w:val="0"/>
          <w:i w:val="0"/>
          <w:smallCaps w:val="0"/>
          <w:sz w:val="20"/>
        </w:rPr>
        <w:t>PlantVillage accuracy has converged at 99.4–99.9% [11], [12], [14], [16], [17], so clean gains no longer discriminate between designs. Multi-scale fusion and attention are standard for small lesions [11], [15], [20], but are applied inside the backbone or at one output scale. Every study that tested harder data observed a large drop [12], [13], [17], [21], yet only [6] measures robustness and calibration. None (i) controls augmented-copy leakage, (ii) fuses attention-refined features from several depths at an EfficientNetV2 head, and (iii) reports calibration, selective risk and robustness together. The closest studies [4], [6], [22]–[24] inform Section III.</w:t>
      </w:r>
    </w:p>
    <w:p>
      <w:pPr>
        <w:keepNext/>
        <w:spacing w:before="120" w:after="60" w:line="240" w:lineRule="auto"/>
        <w:jc w:val="center"/>
      </w:pPr>
      <w:r>
        <w:rPr>
          <w:rFonts w:ascii="Times New Roman" w:hAnsi="Times New Roman"/>
          <w:b w:val="0"/>
          <w:i w:val="0"/>
          <w:smallCaps/>
          <w:sz w:val="20"/>
        </w:rPr>
        <w:t>III. Methodology</w:t>
      </w:r>
    </w:p>
    <w:p>
      <w:pPr>
        <w:keepNext/>
        <w:spacing w:before="80" w:after="40" w:line="240" w:lineRule="auto"/>
        <w:jc w:val="left"/>
      </w:pPr>
      <w:r>
        <w:rPr>
          <w:rFonts w:ascii="Times New Roman" w:hAnsi="Times New Roman"/>
          <w:b w:val="0"/>
          <w:i/>
          <w:smallCaps w:val="0"/>
          <w:sz w:val="20"/>
        </w:rPr>
        <w:t>A. Dataset Overview</w:t>
      </w:r>
    </w:p>
    <w:p>
      <w:pPr>
        <w:keepNext w:val="0"/>
        <w:spacing w:before="0" w:after="0" w:line="240" w:lineRule="auto"/>
        <w:ind w:firstLine="288"/>
        <w:jc w:val="both"/>
      </w:pPr>
      <w:r>
        <w:rPr>
          <w:rFonts w:ascii="Times New Roman" w:hAnsi="Times New Roman"/>
          <w:b w:val="0"/>
          <w:i w:val="0"/>
          <w:smallCaps w:val="0"/>
          <w:sz w:val="20"/>
        </w:rPr>
        <w:t xml:space="preserve">The study uses the augmented PlantVillage release on Kaggle [25], derived from [2]: 87,867 RGB images of single detached leaves on uniform backgrounds, covering 14 crops and 38 classes (26 diseased, 12 healthy). Rotated, flipped and pixel-shifted copies of each photograph are stored as separate files with suffixes such as </w:t>
      </w:r>
      <w:r>
        <w:rPr>
          <w:rFonts w:ascii="Courier New" w:hAnsi="Courier New"/>
          <w:b w:val="0"/>
          <w:i w:val="0"/>
          <w:smallCaps w:val="0"/>
          <w:sz w:val="20"/>
        </w:rPr>
        <w:t>_90deg</w:t>
      </w:r>
      <w:r>
        <w:rPr>
          <w:rFonts w:ascii="Times New Roman" w:hAnsi="Times New Roman"/>
          <w:b w:val="0"/>
          <w:i w:val="0"/>
          <w:smallCaps w:val="0"/>
          <w:sz w:val="20"/>
        </w:rPr>
        <w:t xml:space="preserve"> and </w:t>
      </w:r>
      <w:r>
        <w:rPr>
          <w:rFonts w:ascii="Courier New" w:hAnsi="Courier New"/>
          <w:b w:val="0"/>
          <w:i w:val="0"/>
          <w:smallCaps w:val="0"/>
          <w:sz w:val="20"/>
        </w:rPr>
        <w:t>_flipTB</w:t>
      </w:r>
      <w:r>
        <w:rPr>
          <w:rFonts w:ascii="Times New Roman" w:hAnsi="Times New Roman"/>
          <w:b w:val="0"/>
          <w:i w:val="0"/>
          <w:smallCaps w:val="0"/>
          <w:sz w:val="20"/>
        </w:rPr>
        <w:t>. Table II gives the split.</w:t>
      </w:r>
    </w:p>
    <w:p>
      <w:pPr>
        <w:keepNext/>
        <w:spacing w:before="120" w:after="0" w:line="240" w:lineRule="auto"/>
        <w:jc w:val="center"/>
      </w:pPr>
      <w:r>
        <w:rPr>
          <w:rFonts w:ascii="Times New Roman" w:hAnsi="Times New Roman"/>
          <w:b w:val="0"/>
          <w:i w:val="0"/>
          <w:smallCaps w:val="0"/>
          <w:sz w:val="16"/>
        </w:rPr>
        <w:t>TABLE II</w:t>
      </w:r>
    </w:p>
    <w:p>
      <w:pPr>
        <w:keepNext/>
        <w:spacing w:before="0" w:after="60" w:line="240" w:lineRule="auto"/>
        <w:jc w:val="center"/>
      </w:pPr>
      <w:r>
        <w:rPr>
          <w:rFonts w:ascii="Times New Roman" w:hAnsi="Times New Roman"/>
          <w:b w:val="0"/>
          <w:i w:val="0"/>
          <w:smallCaps/>
          <w:sz w:val="16"/>
        </w:rPr>
        <w:t>Leaf-disjoint data split</w:t>
      </w:r>
    </w:p>
    <w:tbl>
      <w:tblPr>
        <w:tblW w:type="auto" w:w="0"/>
        <w:jc w:val="center"/>
        <w:tblLayout w:type="fixed"/>
        <w:tblBorders>
          <w:top w:val="single" w:sz="4" w:color="000000"/>
          <w:bottom w:val="single" w:sz="4" w:color="000000"/>
          <w:insideH w:val="single" w:sz="4" w:color="000000"/>
        </w:tblBorders>
        <w:tblCellMar>
          <w:left w:w="50" w:type="dxa"/>
          <w:right w:w="50" w:type="dxa"/>
        </w:tblCellMar>
        <w:tblLook w:firstColumn="1" w:firstRow="1" w:lastColumn="0" w:lastRow="0" w:noHBand="0" w:noVBand="1" w:val="04A0"/>
      </w:tblPr>
      <w:tblGrid>
        <w:gridCol w:w="2610"/>
        <w:gridCol w:w="2610"/>
        <w:gridCol w:w="2610"/>
        <w:gridCol w:w="2610"/>
      </w:tblGrid>
      <w:tr>
        <w:trPr>
          <w:cantSplit/>
        </w:trPr>
        <w:tc>
          <w:tcPr>
            <w:tcW w:type="dxa" w:w="1196"/>
          </w:tcPr>
          <w:p>
            <w:pPr>
              <w:keepNext w:val="0"/>
              <w:spacing w:before="0" w:after="0" w:line="240" w:lineRule="auto"/>
              <w:jc w:val="center"/>
            </w:pPr>
            <w:r>
              <w:rPr>
                <w:rFonts w:ascii="Times New Roman" w:hAnsi="Times New Roman"/>
                <w:b/>
                <w:i w:val="0"/>
                <w:smallCaps w:val="0"/>
                <w:sz w:val="15"/>
              </w:rPr>
              <w:t>Subset</w:t>
            </w:r>
          </w:p>
        </w:tc>
        <w:tc>
          <w:tcPr>
            <w:tcW w:type="dxa" w:w="795"/>
          </w:tcPr>
          <w:p>
            <w:pPr>
              <w:keepNext w:val="0"/>
              <w:spacing w:before="0" w:after="0" w:line="240" w:lineRule="auto"/>
              <w:jc w:val="center"/>
            </w:pPr>
            <w:r>
              <w:rPr>
                <w:rFonts w:ascii="Times New Roman" w:hAnsi="Times New Roman"/>
                <w:b/>
                <w:i w:val="0"/>
                <w:smallCaps w:val="0"/>
                <w:sz w:val="15"/>
              </w:rPr>
              <w:t>Images</w:t>
            </w:r>
          </w:p>
        </w:tc>
        <w:tc>
          <w:tcPr>
            <w:tcW w:type="dxa" w:w="720"/>
          </w:tcPr>
          <w:p>
            <w:pPr>
              <w:keepNext w:val="0"/>
              <w:spacing w:before="0" w:after="0" w:line="240" w:lineRule="auto"/>
              <w:jc w:val="center"/>
            </w:pPr>
            <w:r>
              <w:rPr>
                <w:rFonts w:ascii="Times New Roman" w:hAnsi="Times New Roman"/>
                <w:b/>
                <w:i w:val="0"/>
                <w:smallCaps w:val="0"/>
                <w:sz w:val="15"/>
              </w:rPr>
              <w:t>Share</w:t>
            </w:r>
          </w:p>
        </w:tc>
        <w:tc>
          <w:tcPr>
            <w:tcW w:type="dxa" w:w="2329"/>
          </w:tcPr>
          <w:p>
            <w:pPr>
              <w:keepNext w:val="0"/>
              <w:spacing w:before="0" w:after="0" w:line="240" w:lineRule="auto"/>
              <w:jc w:val="center"/>
            </w:pPr>
            <w:r>
              <w:rPr>
                <w:rFonts w:ascii="Times New Roman" w:hAnsi="Times New Roman"/>
                <w:b/>
                <w:i w:val="0"/>
                <w:smallCaps w:val="0"/>
                <w:sz w:val="15"/>
              </w:rPr>
              <w:t>Role</w:t>
            </w:r>
          </w:p>
        </w:tc>
      </w:tr>
      <w:tr>
        <w:trPr>
          <w:cantSplit/>
        </w:trPr>
        <w:tc>
          <w:tcPr>
            <w:tcW w:type="dxa" w:w="1196"/>
          </w:tcPr>
          <w:p>
            <w:pPr>
              <w:keepNext w:val="0"/>
              <w:spacing w:before="0" w:after="0" w:line="240" w:lineRule="auto"/>
              <w:jc w:val="left"/>
            </w:pPr>
            <w:r>
              <w:rPr>
                <w:rFonts w:ascii="Times New Roman" w:hAnsi="Times New Roman"/>
                <w:b w:val="0"/>
                <w:i w:val="0"/>
                <w:smallCaps w:val="0"/>
                <w:sz w:val="15"/>
              </w:rPr>
              <w:t>Training</w:t>
            </w:r>
          </w:p>
        </w:tc>
        <w:tc>
          <w:tcPr>
            <w:tcW w:type="dxa" w:w="795"/>
          </w:tcPr>
          <w:p>
            <w:pPr>
              <w:keepNext w:val="0"/>
              <w:spacing w:before="0" w:after="0" w:line="240" w:lineRule="auto"/>
              <w:jc w:val="center"/>
            </w:pPr>
            <w:r>
              <w:rPr>
                <w:rFonts w:ascii="Times New Roman" w:hAnsi="Times New Roman"/>
                <w:b w:val="0"/>
                <w:i w:val="0"/>
                <w:smallCaps w:val="0"/>
                <w:sz w:val="15"/>
              </w:rPr>
              <w:t>70,146</w:t>
            </w:r>
          </w:p>
        </w:tc>
        <w:tc>
          <w:tcPr>
            <w:tcW w:type="dxa" w:w="720"/>
          </w:tcPr>
          <w:p>
            <w:pPr>
              <w:keepNext w:val="0"/>
              <w:spacing w:before="0" w:after="0" w:line="240" w:lineRule="auto"/>
              <w:jc w:val="center"/>
            </w:pPr>
            <w:r>
              <w:rPr>
                <w:rFonts w:ascii="Times New Roman" w:hAnsi="Times New Roman"/>
                <w:b w:val="0"/>
                <w:i w:val="0"/>
                <w:smallCaps w:val="0"/>
                <w:sz w:val="15"/>
              </w:rPr>
              <w:t>79.8%</w:t>
            </w:r>
          </w:p>
        </w:tc>
        <w:tc>
          <w:tcPr>
            <w:tcW w:type="dxa" w:w="2329"/>
          </w:tcPr>
          <w:p>
            <w:pPr>
              <w:keepNext w:val="0"/>
              <w:spacing w:before="0" w:after="0" w:line="240" w:lineRule="auto"/>
              <w:jc w:val="left"/>
            </w:pPr>
            <w:r>
              <w:rPr>
                <w:rFonts w:ascii="Times New Roman" w:hAnsi="Times New Roman"/>
                <w:b w:val="0"/>
                <w:i w:val="0"/>
                <w:smallCaps w:val="0"/>
                <w:sz w:val="15"/>
              </w:rPr>
              <w:t>Weight updates</w:t>
            </w:r>
          </w:p>
        </w:tc>
      </w:tr>
      <w:tr>
        <w:trPr>
          <w:cantSplit/>
        </w:trPr>
        <w:tc>
          <w:tcPr>
            <w:tcW w:type="dxa" w:w="1196"/>
          </w:tcPr>
          <w:p>
            <w:pPr>
              <w:keepNext w:val="0"/>
              <w:spacing w:before="0" w:after="0" w:line="240" w:lineRule="auto"/>
              <w:jc w:val="left"/>
            </w:pPr>
            <w:r>
              <w:rPr>
                <w:rFonts w:ascii="Times New Roman" w:hAnsi="Times New Roman"/>
                <w:b w:val="0"/>
                <w:i w:val="0"/>
                <w:smallCaps w:val="0"/>
                <w:sz w:val="15"/>
              </w:rPr>
              <w:t>Validation</w:t>
            </w:r>
          </w:p>
        </w:tc>
        <w:tc>
          <w:tcPr>
            <w:tcW w:type="dxa" w:w="795"/>
          </w:tcPr>
          <w:p>
            <w:pPr>
              <w:keepNext w:val="0"/>
              <w:spacing w:before="0" w:after="0" w:line="240" w:lineRule="auto"/>
              <w:jc w:val="center"/>
            </w:pPr>
            <w:r>
              <w:rPr>
                <w:rFonts w:ascii="Times New Roman" w:hAnsi="Times New Roman"/>
                <w:b w:val="0"/>
                <w:i w:val="0"/>
                <w:smallCaps w:val="0"/>
                <w:sz w:val="15"/>
              </w:rPr>
              <w:t>8,832</w:t>
            </w:r>
          </w:p>
        </w:tc>
        <w:tc>
          <w:tcPr>
            <w:tcW w:type="dxa" w:w="720"/>
          </w:tcPr>
          <w:p>
            <w:pPr>
              <w:keepNext w:val="0"/>
              <w:spacing w:before="0" w:after="0" w:line="240" w:lineRule="auto"/>
              <w:jc w:val="center"/>
            </w:pPr>
            <w:r>
              <w:rPr>
                <w:rFonts w:ascii="Times New Roman" w:hAnsi="Times New Roman"/>
                <w:b w:val="0"/>
                <w:i w:val="0"/>
                <w:smallCaps w:val="0"/>
                <w:sz w:val="15"/>
              </w:rPr>
              <w:t>10.1%</w:t>
            </w:r>
          </w:p>
        </w:tc>
        <w:tc>
          <w:tcPr>
            <w:tcW w:type="dxa" w:w="2329"/>
          </w:tcPr>
          <w:p>
            <w:pPr>
              <w:keepNext w:val="0"/>
              <w:spacing w:before="0" w:after="0" w:line="240" w:lineRule="auto"/>
              <w:jc w:val="left"/>
            </w:pPr>
            <w:r>
              <w:rPr>
                <w:rFonts w:ascii="Times New Roman" w:hAnsi="Times New Roman"/>
                <w:b w:val="0"/>
                <w:i w:val="0"/>
                <w:smallCaps w:val="0"/>
                <w:sz w:val="15"/>
              </w:rPr>
              <w:t>Checkpoint, temperature</w:t>
            </w:r>
          </w:p>
        </w:tc>
      </w:tr>
      <w:tr>
        <w:trPr>
          <w:cantSplit/>
        </w:trPr>
        <w:tc>
          <w:tcPr>
            <w:tcW w:type="dxa" w:w="1196"/>
          </w:tcPr>
          <w:p>
            <w:pPr>
              <w:keepNext w:val="0"/>
              <w:spacing w:before="0" w:after="0" w:line="240" w:lineRule="auto"/>
              <w:jc w:val="left"/>
            </w:pPr>
            <w:r>
              <w:rPr>
                <w:rFonts w:ascii="Times New Roman" w:hAnsi="Times New Roman"/>
                <w:b w:val="0"/>
                <w:i w:val="0"/>
                <w:smallCaps w:val="0"/>
                <w:sz w:val="15"/>
              </w:rPr>
              <w:t>Test</w:t>
            </w:r>
          </w:p>
        </w:tc>
        <w:tc>
          <w:tcPr>
            <w:tcW w:type="dxa" w:w="795"/>
          </w:tcPr>
          <w:p>
            <w:pPr>
              <w:keepNext w:val="0"/>
              <w:spacing w:before="0" w:after="0" w:line="240" w:lineRule="auto"/>
              <w:jc w:val="center"/>
            </w:pPr>
            <w:r>
              <w:rPr>
                <w:rFonts w:ascii="Times New Roman" w:hAnsi="Times New Roman"/>
                <w:b w:val="0"/>
                <w:i w:val="0"/>
                <w:smallCaps w:val="0"/>
                <w:sz w:val="15"/>
              </w:rPr>
              <w:t>8,889</w:t>
            </w:r>
          </w:p>
        </w:tc>
        <w:tc>
          <w:tcPr>
            <w:tcW w:type="dxa" w:w="720"/>
          </w:tcPr>
          <w:p>
            <w:pPr>
              <w:keepNext w:val="0"/>
              <w:spacing w:before="0" w:after="0" w:line="240" w:lineRule="auto"/>
              <w:jc w:val="center"/>
            </w:pPr>
            <w:r>
              <w:rPr>
                <w:rFonts w:ascii="Times New Roman" w:hAnsi="Times New Roman"/>
                <w:b w:val="0"/>
                <w:i w:val="0"/>
                <w:smallCaps w:val="0"/>
                <w:sz w:val="15"/>
              </w:rPr>
              <w:t>10.1%</w:t>
            </w:r>
          </w:p>
        </w:tc>
        <w:tc>
          <w:tcPr>
            <w:tcW w:type="dxa" w:w="2329"/>
          </w:tcPr>
          <w:p>
            <w:pPr>
              <w:keepNext w:val="0"/>
              <w:spacing w:before="0" w:after="0" w:line="240" w:lineRule="auto"/>
              <w:jc w:val="left"/>
            </w:pPr>
            <w:r>
              <w:rPr>
                <w:rFonts w:ascii="Times New Roman" w:hAnsi="Times New Roman"/>
                <w:b w:val="0"/>
                <w:i w:val="0"/>
                <w:smallCaps w:val="0"/>
                <w:sz w:val="15"/>
              </w:rPr>
              <w:t>All reported results</w:t>
            </w:r>
          </w:p>
        </w:tc>
      </w:tr>
      <w:tr>
        <w:trPr>
          <w:cantSplit/>
        </w:trPr>
        <w:tc>
          <w:tcPr>
            <w:tcW w:type="dxa" w:w="1196"/>
          </w:tcPr>
          <w:p>
            <w:pPr>
              <w:keepNext w:val="0"/>
              <w:spacing w:before="0" w:after="0" w:line="240" w:lineRule="auto"/>
              <w:jc w:val="left"/>
            </w:pPr>
            <w:r>
              <w:rPr>
                <w:rFonts w:ascii="Times New Roman" w:hAnsi="Times New Roman"/>
                <w:b w:val="0"/>
                <w:i w:val="0"/>
                <w:smallCaps w:val="0"/>
                <w:sz w:val="15"/>
              </w:rPr>
              <w:t>Total</w:t>
            </w:r>
          </w:p>
        </w:tc>
        <w:tc>
          <w:tcPr>
            <w:tcW w:type="dxa" w:w="795"/>
          </w:tcPr>
          <w:p>
            <w:pPr>
              <w:keepNext w:val="0"/>
              <w:spacing w:before="0" w:after="0" w:line="240" w:lineRule="auto"/>
              <w:jc w:val="center"/>
            </w:pPr>
            <w:r>
              <w:rPr>
                <w:rFonts w:ascii="Times New Roman" w:hAnsi="Times New Roman"/>
                <w:b w:val="0"/>
                <w:i w:val="0"/>
                <w:smallCaps w:val="0"/>
                <w:sz w:val="15"/>
              </w:rPr>
              <w:t>87,867</w:t>
            </w:r>
          </w:p>
        </w:tc>
        <w:tc>
          <w:tcPr>
            <w:tcW w:type="dxa" w:w="720"/>
          </w:tcPr>
          <w:p>
            <w:pPr>
              <w:keepNext w:val="0"/>
              <w:spacing w:before="0" w:after="0" w:line="240" w:lineRule="auto"/>
              <w:jc w:val="center"/>
            </w:pPr>
            <w:r>
              <w:rPr>
                <w:rFonts w:ascii="Times New Roman" w:hAnsi="Times New Roman"/>
                <w:b w:val="0"/>
                <w:i w:val="0"/>
                <w:smallCaps w:val="0"/>
                <w:sz w:val="15"/>
              </w:rPr>
              <w:t>100%</w:t>
            </w:r>
          </w:p>
        </w:tc>
        <w:tc>
          <w:tcPr>
            <w:tcW w:type="dxa" w:w="2329"/>
          </w:tcPr>
          <w:p>
            <w:pPr>
              <w:keepNext w:val="0"/>
              <w:spacing w:before="0" w:after="0" w:line="240" w:lineRule="auto"/>
              <w:jc w:val="left"/>
            </w:pPr>
            <w:r>
              <w:rPr>
                <w:rFonts w:ascii="Times New Roman" w:hAnsi="Times New Roman"/>
                <w:b w:val="0"/>
                <w:i w:val="0"/>
                <w:smallCaps w:val="0"/>
                <w:sz w:val="15"/>
              </w:rPr>
              <w:t>14 crops, 38 classes</w:t>
            </w:r>
          </w:p>
        </w:tc>
      </w:tr>
    </w:tbl>
    <w:p>
      <w:pPr>
        <w:keepNext w:val="0"/>
        <w:spacing w:before="0" w:after="40" w:line="240" w:lineRule="auto"/>
        <w:jc w:val="both"/>
      </w:pPr>
    </w:p>
    <w:p>
      <w:pPr>
        <w:keepNext w:val="0"/>
        <w:spacing w:before="0" w:after="0" w:line="240" w:lineRule="auto"/>
        <w:ind w:firstLine="288"/>
        <w:jc w:val="both"/>
      </w:pPr>
      <w:r>
        <w:rPr>
          <w:rFonts w:ascii="Times New Roman" w:hAnsi="Times New Roman"/>
          <w:b w:val="0"/>
          <w:i w:val="0"/>
          <w:smallCaps w:val="0"/>
          <w:sz w:val="20"/>
        </w:rPr>
        <w:t>The images are laboratory captures of one leaf each, and no labelled field photographs are included, so eight field photographs of supported classes were collected as a qualitative check.</w:t>
      </w:r>
    </w:p>
    <w:p>
      <w:pPr>
        <w:keepNext/>
        <w:spacing w:before="80" w:after="40" w:line="240" w:lineRule="auto"/>
        <w:jc w:val="left"/>
      </w:pPr>
      <w:r>
        <w:rPr>
          <w:rFonts w:ascii="Times New Roman" w:hAnsi="Times New Roman"/>
          <w:b w:val="0"/>
          <w:i/>
          <w:smallCaps w:val="0"/>
          <w:sz w:val="20"/>
        </w:rPr>
        <w:t>B. Dataset Preprocessing</w:t>
      </w:r>
    </w:p>
    <w:p>
      <w:pPr>
        <w:keepNext w:val="0"/>
        <w:spacing w:before="0" w:after="0" w:line="240" w:lineRule="auto"/>
        <w:ind w:firstLine="288"/>
        <w:jc w:val="both"/>
      </w:pPr>
      <w:r>
        <w:rPr>
          <w:rFonts w:ascii="Times New Roman" w:hAnsi="Times New Roman"/>
          <w:b w:val="0"/>
          <w:i/>
          <w:smallCaps w:val="0"/>
          <w:sz w:val="20"/>
        </w:rPr>
        <w:t xml:space="preserve">Leakage audit and leaf-grouped split. </w:t>
      </w:r>
      <w:r>
        <w:rPr>
          <w:rFonts w:ascii="Times New Roman" w:hAnsi="Times New Roman"/>
          <w:b w:val="0"/>
          <w:i w:val="0"/>
          <w:smallCaps w:val="0"/>
          <w:sz w:val="20"/>
        </w:rPr>
        <w:t>Each file is mapped to its source leaf ℓ(f) by stripping the augmentation suffix. Under a random file split, 67.5% of test images had a sibling in training or validation, so all files sharing ℓ(f) are assigned to the same subset (80/10/10 over leaf groups, seed 42):</w:t>
      </w:r>
    </w:p>
    <w:p>
      <w:pPr>
        <w:keepNext w:val="0"/>
        <w:tabs>
          <w:tab w:pos="2520" w:val="center"/>
          <w:tab w:pos="5040" w:val="right"/>
        </w:tabs>
        <w:spacing w:before="60" w:after="60" w:line="240" w:lineRule="auto"/>
        <w:jc w:val="left"/>
      </w:pPr>
      <w:r>
        <w:tab/>
      </w:r>
      <m:oMath>
        <m:r>
          <m:t>ℓ(</m:t>
        </m:r>
        <m:sSub>
          <m:e>
            <m:r>
              <m:t>f</m:t>
            </m:r>
          </m:e>
          <m:sub>
            <m:r>
              <m:t>i</m:t>
            </m:r>
          </m:sub>
        </m:sSub>
        <m:r>
          <m:t>)=ℓ(</m:t>
        </m:r>
        <m:sSub>
          <m:e>
            <m:r>
              <m:t>f</m:t>
            </m:r>
          </m:e>
          <m:sub>
            <m:r>
              <m:t>j</m:t>
            </m:r>
          </m:sub>
        </m:sSub>
        <m:r>
          <m:t>)</m:t>
        </m:r>
        <m:r>
          <m:t>⇒</m:t>
        </m:r>
        <m:r>
          <m:rPr>
            <m:sty m:val="p"/>
          </m:rPr>
          <m:t>split</m:t>
        </m:r>
        <m:r>
          <m:t>(</m:t>
        </m:r>
        <m:sSub>
          <m:e>
            <m:r>
              <m:t>f</m:t>
            </m:r>
          </m:e>
          <m:sub>
            <m:r>
              <m:t>i</m:t>
            </m:r>
          </m:sub>
        </m:sSub>
        <m:r>
          <m:t>)=</m:t>
        </m:r>
        <m:r>
          <m:rPr>
            <m:sty m:val="p"/>
          </m:rPr>
          <m:t>split</m:t>
        </m:r>
        <m:r>
          <m:t>(</m:t>
        </m:r>
        <m:sSub>
          <m:e>
            <m:r>
              <m:t>f</m:t>
            </m:r>
          </m:e>
          <m:sub>
            <m:r>
              <m:t>j</m:t>
            </m:r>
          </m:sub>
        </m:sSub>
        <m:r>
          <m:t>)</m:t>
        </m:r>
      </m:oMath>
      <w:r>
        <w:rPr>
          <w:rFonts w:ascii="Times New Roman" w:hAnsi="Times New Roman"/>
          <w:sz w:val="20"/>
        </w:rPr>
        <w:tab/>
        <w:t>(1)</w:t>
      </w:r>
    </w:p>
    <w:p>
      <w:pPr>
        <w:keepNext w:val="0"/>
        <w:spacing w:before="0" w:after="0" w:line="240" w:lineRule="auto"/>
        <w:ind w:firstLine="288"/>
        <w:jc w:val="both"/>
      </w:pPr>
      <w:r>
        <w:rPr>
          <w:rFonts w:ascii="Times New Roman" w:hAnsi="Times New Roman"/>
          <w:b w:val="0"/>
          <w:i w:val="0"/>
          <w:smallCaps w:val="0"/>
          <w:sz w:val="20"/>
        </w:rPr>
        <w:t>A one-copy-per-leaf sampler draws one copy of each leaf per epoch, so leaves with many stored copies are not over-weighted.</w:t>
      </w:r>
    </w:p>
    <w:p>
      <w:pPr>
        <w:keepNext w:val="0"/>
        <w:spacing w:before="0" w:after="0" w:line="240" w:lineRule="auto"/>
        <w:ind w:firstLine="288"/>
        <w:jc w:val="both"/>
      </w:pPr>
      <w:r>
        <w:rPr>
          <w:rFonts w:ascii="Times New Roman" w:hAnsi="Times New Roman"/>
          <w:b w:val="0"/>
          <w:i/>
          <w:smallCaps w:val="0"/>
          <w:sz w:val="20"/>
        </w:rPr>
        <w:t xml:space="preserve">Standard augmentation. </w:t>
      </w:r>
      <w:r>
        <w:rPr>
          <w:rFonts w:ascii="Times New Roman" w:hAnsi="Times New Roman"/>
          <w:b w:val="0"/>
          <w:i w:val="0"/>
          <w:smallCaps w:val="0"/>
          <w:sz w:val="20"/>
        </w:rPr>
        <w:t>Training uses a random resized crop to 224 × 224, horizontal and vertical flips and colour jitter (0.2 brightness, contrast and saturation; 0.1 hue); evaluation resizes to 256 and centre-crops 224. Images are normalised with ImageNet channel statistics μ</w:t>
      </w:r>
      <w:r>
        <w:rPr>
          <w:rFonts w:ascii="Times New Roman" w:hAnsi="Times New Roman"/>
          <w:b w:val="0"/>
          <w:i w:val="0"/>
          <w:smallCaps w:val="0"/>
          <w:sz w:val="20"/>
          <w:vertAlign w:val="subscript"/>
        </w:rPr>
        <w:t>c</w:t>
      </w:r>
      <w:r>
        <w:rPr>
          <w:rFonts w:ascii="Times New Roman" w:hAnsi="Times New Roman"/>
          <w:b w:val="0"/>
          <w:i w:val="0"/>
          <w:smallCaps w:val="0"/>
          <w:sz w:val="20"/>
        </w:rPr>
        <w:t>, σ</w:t>
      </w:r>
      <w:r>
        <w:rPr>
          <w:rFonts w:ascii="Times New Roman" w:hAnsi="Times New Roman"/>
          <w:b w:val="0"/>
          <w:i w:val="0"/>
          <w:smallCaps w:val="0"/>
          <w:sz w:val="20"/>
          <w:vertAlign w:val="subscript"/>
        </w:rPr>
        <w:t>c</w:t>
      </w:r>
      <w:r>
        <w:rPr>
          <w:rFonts w:ascii="Times New Roman" w:hAnsi="Times New Roman"/>
          <w:b w:val="0"/>
          <w:i w:val="0"/>
          <w:smallCaps w:val="0"/>
          <w:sz w:val="20"/>
        </w:rPr>
        <w:t>:</w:t>
      </w:r>
    </w:p>
    <w:p>
      <w:pPr>
        <w:keepNext w:val="0"/>
        <w:tabs>
          <w:tab w:pos="2520" w:val="center"/>
          <w:tab w:pos="5040" w:val="right"/>
        </w:tabs>
        <w:spacing w:before="60" w:after="60" w:line="240" w:lineRule="auto"/>
        <w:jc w:val="left"/>
      </w:pPr>
      <w:r>
        <w:tab/>
      </w:r>
      <m:oMath>
        <m:sSub>
          <m:e>
            <m:acc>
              <m:accPr>
                <m:chr m:val="̂"/>
              </m:accPr>
              <m:e>
                <m:r>
                  <m:t>x</m:t>
                </m:r>
              </m:e>
            </m:acc>
          </m:e>
          <m:sub>
            <m:r>
              <m:t>c</m:t>
            </m:r>
          </m:sub>
        </m:sSub>
        <m:r>
          <m:t>=</m:t>
        </m:r>
        <m:f>
          <m:fPr>
            <m:type m:val="bar"/>
          </m:fPr>
          <m:num>
            <m:sSub>
              <m:e>
                <m:r>
                  <m:t>x</m:t>
                </m:r>
              </m:e>
              <m:sub>
                <m:r>
                  <m:t>c</m:t>
                </m:r>
              </m:sub>
            </m:sSub>
            <m:r>
              <m:t>−</m:t>
            </m:r>
            <m:sSub>
              <m:e>
                <m:r>
                  <m:t>μ</m:t>
                </m:r>
              </m:e>
              <m:sub>
                <m:r>
                  <m:t>c</m:t>
                </m:r>
              </m:sub>
            </m:sSub>
          </m:num>
          <m:den>
            <m:sSub>
              <m:e>
                <m:r>
                  <m:t>σ</m:t>
                </m:r>
              </m:e>
              <m:sub>
                <m:r>
                  <m:t>c</m:t>
                </m:r>
              </m:sub>
            </m:sSub>
          </m:den>
        </m:f>
      </m:oMath>
      <w:r>
        <w:rPr>
          <w:rFonts w:ascii="Times New Roman" w:hAnsi="Times New Roman"/>
          <w:sz w:val="20"/>
        </w:rPr>
        <w:tab/>
        <w:t>(2)</w:t>
      </w:r>
    </w:p>
    <w:p>
      <w:pPr>
        <w:keepNext w:val="0"/>
        <w:spacing w:before="0" w:after="0" w:line="240" w:lineRule="auto"/>
        <w:ind w:firstLine="288"/>
        <w:jc w:val="both"/>
      </w:pPr>
      <w:r>
        <w:rPr>
          <w:rFonts w:ascii="Times New Roman" w:hAnsi="Times New Roman"/>
          <w:b w:val="0"/>
          <w:i/>
          <w:smallCaps w:val="0"/>
          <w:sz w:val="20"/>
        </w:rPr>
        <w:t xml:space="preserve">Field augmentation (optional). </w:t>
      </w:r>
      <w:r>
        <w:rPr>
          <w:rFonts w:ascii="Times New Roman" w:hAnsi="Times New Roman"/>
          <w:b w:val="0"/>
          <w:i w:val="0"/>
          <w:smallCaps w:val="0"/>
          <w:sz w:val="20"/>
        </w:rPr>
        <w:t>Gaussian blur (kernel 9, σ ∈ [0.5, 3]) and the sensor noise of Eq. (3) are each applied to 30% of training images. Motion blur, JPEG, low light and overexposure are never used in training, so they measure generalisation to unseen degradations.</w:t>
      </w:r>
    </w:p>
    <w:p>
      <w:pPr>
        <w:keepNext w:val="0"/>
        <w:tabs>
          <w:tab w:pos="2520" w:val="center"/>
          <w:tab w:pos="5040" w:val="right"/>
        </w:tabs>
        <w:spacing w:before="60" w:after="60" w:line="240" w:lineRule="auto"/>
        <w:jc w:val="left"/>
      </w:pPr>
      <w:r>
        <w:tab/>
      </w:r>
      <m:oMath>
        <m:sSup>
          <m:e>
            <m:r>
              <m:t>x</m:t>
            </m:r>
          </m:e>
          <m:sup>
            <m:r>
              <m:t>′</m:t>
            </m:r>
          </m:sup>
        </m:sSup>
        <m:r>
          <m:t>=</m:t>
        </m:r>
        <m:sSub>
          <m:e>
            <m:r>
              <m:rPr>
                <m:sty m:val="p"/>
              </m:rPr>
              <m:t>clip</m:t>
            </m:r>
          </m:e>
          <m:sub>
            <m:d>
              <m:dPr>
                <m:begChr m:val="["/>
                <m:sepChr m:val=","/>
                <m:endChr m:val="]"/>
              </m:dPr>
              <m:e>
                <m:r>
                  <m:t>0</m:t>
                </m:r>
              </m:e>
              <m:e>
                <m:r>
                  <m:t>1</m:t>
                </m:r>
              </m:e>
            </m:d>
          </m:sub>
        </m:sSub>
        <m:d>
          <m:dPr>
            <m:sepChr m:val="+"/>
          </m:dPr>
          <m:e>
            <m:r>
              <m:t>x</m:t>
            </m:r>
          </m:e>
          <m:e>
            <m:r>
              <m:t>0.12</m:t>
            </m:r>
            <m:r>
              <m:t>u</m:t>
            </m:r>
            <m:r>
              <m:t>ε</m:t>
            </m:r>
          </m:e>
        </m:d>
        <m:r>
          <m:t>,</m:t>
        </m:r>
        <m:r>
          <m:t>u~𝒰(0,1),</m:t>
        </m:r>
        <m:r>
          <m:t>ε~𝒩(0,I)</m:t>
        </m:r>
      </m:oMath>
      <w:r>
        <w:rPr>
          <w:rFonts w:ascii="Times New Roman" w:hAnsi="Times New Roman"/>
          <w:sz w:val="20"/>
        </w:rPr>
        <w:tab/>
        <w:t>(3)</w:t>
      </w:r>
    </w:p>
    <w:p>
      <w:pPr>
        <w:keepNext/>
        <w:spacing w:before="80" w:after="40" w:line="240" w:lineRule="auto"/>
        <w:jc w:val="left"/>
      </w:pPr>
      <w:r>
        <w:rPr>
          <w:rFonts w:ascii="Times New Roman" w:hAnsi="Times New Roman"/>
          <w:b w:val="0"/>
          <w:i/>
          <w:smallCaps w:val="0"/>
          <w:sz w:val="20"/>
        </w:rPr>
        <w:t>C. Methodology Overview</w:t>
      </w:r>
    </w:p>
    <w:p>
      <w:pPr>
        <w:keepNext w:val="0"/>
        <w:spacing w:before="0" w:after="0" w:line="240" w:lineRule="auto"/>
        <w:ind w:firstLine="288"/>
        <w:jc w:val="both"/>
      </w:pPr>
      <w:r>
        <w:rPr>
          <w:rFonts w:ascii="Times New Roman" w:hAnsi="Times New Roman"/>
          <w:b w:val="0"/>
          <w:i w:val="0"/>
          <w:smallCaps w:val="0"/>
          <w:sz w:val="20"/>
        </w:rPr>
        <w:t>Fig. 1 shows the workflow: development (leakage audit, split, training of five models, evaluation under seven conditions) and deployment (gatekeeper, classifier, temperature scaling, Grad-CAM, severity, treatment lookup). Table III summarises the five studies that shaped the design.</w:t>
      </w:r>
    </w:p>
    <w:p>
      <w:pPr>
        <w:sectPr>
          <w:type w:val="continuous"/>
          <w:pgSz w:w="12240" w:h="15840"/>
          <w:pgMar w:top="1080" w:right="900" w:bottom="1440" w:left="900" w:header="720" w:footer="720" w:gutter="0"/>
          <w:cols w:space="360" w:num="2"/>
          <w:docGrid w:linePitch="360"/>
        </w:sectPr>
      </w:pPr>
    </w:p>
    <w:p>
      <w:pPr>
        <w:keepNext/>
        <w:spacing w:before="120" w:after="0" w:line="240" w:lineRule="auto"/>
        <w:jc w:val="center"/>
      </w:pPr>
      <w:r>
        <w:drawing>
          <wp:inline xmlns:a="http://schemas.openxmlformats.org/drawingml/2006/main" xmlns:pic="http://schemas.openxmlformats.org/drawingml/2006/picture">
            <wp:extent cx="5029200" cy="1599565"/>
            <wp:docPr id="1" name="Picture 1"/>
            <wp:cNvGraphicFramePr>
              <a:graphicFrameLocks noChangeAspect="1"/>
            </wp:cNvGraphicFramePr>
            <a:graphic>
              <a:graphicData uri="http://schemas.openxmlformats.org/drawingml/2006/picture">
                <pic:pic>
                  <pic:nvPicPr>
                    <pic:cNvPr id="0" name="fig1_methodology.png"/>
                    <pic:cNvPicPr/>
                  </pic:nvPicPr>
                  <pic:blipFill>
                    <a:blip r:embed="rId9"/>
                    <a:stretch>
                      <a:fillRect/>
                    </a:stretch>
                  </pic:blipFill>
                  <pic:spPr>
                    <a:xfrm>
                      <a:off x="0" y="0"/>
                      <a:ext cx="5029200" cy="1599565"/>
                    </a:xfrm>
                    <a:prstGeom prst="rect"/>
                  </pic:spPr>
                </pic:pic>
              </a:graphicData>
            </a:graphic>
          </wp:inline>
        </w:drawing>
      </w:r>
    </w:p>
    <w:p>
      <w:pPr>
        <w:keepNext w:val="0"/>
        <w:spacing w:before="0" w:after="12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Proposed methodology and system workflow: (a) development path, from the leakage audit and leaf-disjoint split to training and evaluation; (b) diagnosis path of the deployed application.</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120" w:after="0" w:line="240" w:lineRule="auto"/>
        <w:jc w:val="center"/>
      </w:pPr>
      <w:r>
        <w:rPr>
          <w:rFonts w:ascii="Times New Roman" w:hAnsi="Times New Roman"/>
          <w:b w:val="0"/>
          <w:i w:val="0"/>
          <w:smallCaps w:val="0"/>
          <w:sz w:val="16"/>
        </w:rPr>
        <w:t>TABLE III</w:t>
      </w:r>
    </w:p>
    <w:p>
      <w:pPr>
        <w:keepNext/>
        <w:spacing w:before="0" w:after="60" w:line="240" w:lineRule="auto"/>
        <w:jc w:val="center"/>
      </w:pPr>
      <w:r>
        <w:rPr>
          <w:rFonts w:ascii="Times New Roman" w:hAnsi="Times New Roman"/>
          <w:b w:val="0"/>
          <w:i w:val="0"/>
          <w:smallCaps/>
          <w:sz w:val="16"/>
        </w:rPr>
        <w:t>The five most relevant studies and their influence on this work</w:t>
      </w:r>
    </w:p>
    <w:tbl>
      <w:tblPr>
        <w:tblW w:type="auto" w:w="0"/>
        <w:jc w:val="center"/>
        <w:tblLayout w:type="fixed"/>
        <w:tblBorders>
          <w:top w:val="single" w:sz="4" w:color="000000"/>
          <w:bottom w:val="single" w:sz="4" w:color="000000"/>
          <w:insideH w:val="single" w:sz="4" w:color="000000"/>
        </w:tblBorders>
        <w:tblCellMar>
          <w:left w:w="50" w:type="dxa"/>
          <w:right w:w="50" w:type="dxa"/>
        </w:tblCellMar>
        <w:tblLook w:firstColumn="1" w:firstRow="1" w:lastColumn="0" w:lastRow="0" w:noHBand="0" w:noVBand="1" w:val="04A0"/>
      </w:tblPr>
      <w:tblGrid>
        <w:gridCol w:w="1740"/>
        <w:gridCol w:w="1740"/>
        <w:gridCol w:w="1740"/>
        <w:gridCol w:w="1740"/>
        <w:gridCol w:w="1740"/>
        <w:gridCol w:w="1740"/>
      </w:tblGrid>
      <w:tr>
        <w:trPr>
          <w:cantSplit/>
        </w:trPr>
        <w:tc>
          <w:tcPr>
            <w:tcW w:type="dxa" w:w="720"/>
          </w:tcPr>
          <w:p>
            <w:pPr>
              <w:keepNext w:val="0"/>
              <w:spacing w:before="0" w:after="0" w:line="240" w:lineRule="auto"/>
              <w:jc w:val="center"/>
            </w:pPr>
            <w:r>
              <w:rPr>
                <w:rFonts w:ascii="Times New Roman" w:hAnsi="Times New Roman"/>
                <w:b/>
                <w:i w:val="0"/>
                <w:smallCaps w:val="0"/>
                <w:sz w:val="14"/>
              </w:rPr>
              <w:t>Ref.</w:t>
            </w:r>
          </w:p>
        </w:tc>
        <w:tc>
          <w:tcPr>
            <w:tcW w:type="dxa" w:w="2109"/>
          </w:tcPr>
          <w:p>
            <w:pPr>
              <w:keepNext w:val="0"/>
              <w:spacing w:before="0" w:after="0" w:line="240" w:lineRule="auto"/>
              <w:jc w:val="center"/>
            </w:pPr>
            <w:r>
              <w:rPr>
                <w:rFonts w:ascii="Times New Roman" w:hAnsi="Times New Roman"/>
                <w:b/>
                <w:i w:val="0"/>
                <w:smallCaps w:val="0"/>
                <w:sz w:val="14"/>
              </w:rPr>
              <w:t>Study</w:t>
            </w:r>
          </w:p>
        </w:tc>
        <w:tc>
          <w:tcPr>
            <w:tcW w:type="dxa" w:w="2138"/>
          </w:tcPr>
          <w:p>
            <w:pPr>
              <w:keepNext w:val="0"/>
              <w:spacing w:before="0" w:after="0" w:line="240" w:lineRule="auto"/>
              <w:jc w:val="center"/>
            </w:pPr>
            <w:r>
              <w:rPr>
                <w:rFonts w:ascii="Times New Roman" w:hAnsi="Times New Roman"/>
                <w:b/>
                <w:i w:val="0"/>
                <w:smallCaps w:val="0"/>
                <w:sz w:val="14"/>
              </w:rPr>
              <w:t>Method</w:t>
            </w:r>
          </w:p>
        </w:tc>
        <w:tc>
          <w:tcPr>
            <w:tcW w:type="dxa" w:w="2138"/>
          </w:tcPr>
          <w:p>
            <w:pPr>
              <w:keepNext w:val="0"/>
              <w:spacing w:before="0" w:after="0" w:line="240" w:lineRule="auto"/>
              <w:jc w:val="center"/>
            </w:pPr>
            <w:r>
              <w:rPr>
                <w:rFonts w:ascii="Times New Roman" w:hAnsi="Times New Roman"/>
                <w:b/>
                <w:i w:val="0"/>
                <w:smallCaps w:val="0"/>
                <w:sz w:val="14"/>
              </w:rPr>
              <w:t>Reported results</w:t>
            </w:r>
          </w:p>
        </w:tc>
        <w:tc>
          <w:tcPr>
            <w:tcW w:type="dxa" w:w="1728"/>
          </w:tcPr>
          <w:p>
            <w:pPr>
              <w:keepNext w:val="0"/>
              <w:spacing w:before="0" w:after="0" w:line="240" w:lineRule="auto"/>
              <w:jc w:val="center"/>
            </w:pPr>
            <w:r>
              <w:rPr>
                <w:rFonts w:ascii="Times New Roman" w:hAnsi="Times New Roman"/>
                <w:b/>
                <w:i w:val="0"/>
                <w:smallCaps w:val="0"/>
                <w:sz w:val="14"/>
              </w:rPr>
              <w:t>Limitation</w:t>
            </w:r>
          </w:p>
        </w:tc>
        <w:tc>
          <w:tcPr>
            <w:tcW w:type="dxa" w:w="1607"/>
          </w:tcPr>
          <w:p>
            <w:pPr>
              <w:keepNext w:val="0"/>
              <w:spacing w:before="0" w:after="0" w:line="240" w:lineRule="auto"/>
              <w:jc w:val="center"/>
            </w:pPr>
            <w:r>
              <w:rPr>
                <w:rFonts w:ascii="Times New Roman" w:hAnsi="Times New Roman"/>
                <w:b/>
                <w:i w:val="0"/>
                <w:smallCaps w:val="0"/>
                <w:sz w:val="14"/>
              </w:rPr>
              <w:t>Use in this work</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[22]</w:t>
            </w:r>
          </w:p>
        </w:tc>
        <w:tc>
          <w:tcPr>
            <w:tcW w:type="dxa" w:w="2109"/>
          </w:tcPr>
          <w:p>
            <w:pPr>
              <w:keepNext w:val="0"/>
              <w:spacing w:before="0" w:after="0" w:line="240" w:lineRule="auto"/>
              <w:jc w:val="left"/>
            </w:pPr>
            <w:r>
              <w:rPr>
                <w:rFonts w:ascii="Times New Roman" w:hAnsi="Times New Roman"/>
                <w:b w:val="0"/>
                <w:i w:val="0"/>
                <w:smallCaps w:val="0"/>
                <w:sz w:val="14"/>
              </w:rPr>
              <w:t>Albattah et al., 2022, Frontiers in Plant Science</w:t>
            </w:r>
          </w:p>
        </w:tc>
        <w:tc>
          <w:tcPr>
            <w:tcW w:type="dxa" w:w="2138"/>
          </w:tcPr>
          <w:p>
            <w:pPr>
              <w:keepNext w:val="0"/>
              <w:spacing w:before="0" w:after="0" w:line="240" w:lineRule="auto"/>
              <w:jc w:val="left"/>
            </w:pPr>
            <w:r>
              <w:rPr>
                <w:rFonts w:ascii="Times New Roman" w:hAnsi="Times New Roman"/>
                <w:b w:val="0"/>
                <w:i w:val="0"/>
                <w:smallCaps w:val="0"/>
                <w:sz w:val="14"/>
              </w:rPr>
              <w:t>EfficientNetV2-B4 with added dense layers</w:t>
            </w:r>
          </w:p>
        </w:tc>
        <w:tc>
          <w:tcPr>
            <w:tcW w:type="dxa" w:w="2138"/>
          </w:tcPr>
          <w:p>
            <w:pPr>
              <w:keepNext w:val="0"/>
              <w:spacing w:before="0" w:after="0" w:line="240" w:lineRule="auto"/>
              <w:jc w:val="left"/>
            </w:pPr>
            <w:r>
              <w:rPr>
                <w:rFonts w:ascii="Times New Roman" w:hAnsi="Times New Roman"/>
                <w:b w:val="0"/>
                <w:i w:val="0"/>
                <w:smallCaps w:val="0"/>
                <w:sz w:val="14"/>
              </w:rPr>
              <w:t>Precision 99.63%, recall 99.93%, accuracy 99.99%</w:t>
            </w:r>
          </w:p>
        </w:tc>
        <w:tc>
          <w:tcPr>
            <w:tcW w:type="dxa" w:w="1728"/>
          </w:tcPr>
          <w:p>
            <w:pPr>
              <w:keepNext w:val="0"/>
              <w:spacing w:before="0" w:after="0" w:line="240" w:lineRule="auto"/>
              <w:jc w:val="left"/>
            </w:pPr>
            <w:r>
              <w:rPr>
                <w:rFonts w:ascii="Times New Roman" w:hAnsi="Times New Roman"/>
                <w:b w:val="0"/>
                <w:i w:val="0"/>
                <w:smallCaps w:val="0"/>
                <w:sz w:val="14"/>
              </w:rPr>
              <w:t>Clean test only; leakage control not described</w:t>
            </w:r>
          </w:p>
        </w:tc>
        <w:tc>
          <w:tcPr>
            <w:tcW w:type="dxa" w:w="1607"/>
          </w:tcPr>
          <w:p>
            <w:pPr>
              <w:keepNext w:val="0"/>
              <w:spacing w:before="0" w:after="0" w:line="240" w:lineRule="auto"/>
              <w:jc w:val="left"/>
            </w:pPr>
            <w:r>
              <w:rPr>
                <w:rFonts w:ascii="Times New Roman" w:hAnsi="Times New Roman"/>
                <w:b w:val="0"/>
                <w:i w:val="0"/>
                <w:smallCaps w:val="0"/>
                <w:sz w:val="14"/>
              </w:rPr>
              <w:t>Confirms EfficientNetV2 as backbone family</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[23]</w:t>
            </w:r>
          </w:p>
        </w:tc>
        <w:tc>
          <w:tcPr>
            <w:tcW w:type="dxa" w:w="2109"/>
          </w:tcPr>
          <w:p>
            <w:pPr>
              <w:keepNext w:val="0"/>
              <w:spacing w:before="0" w:after="0" w:line="240" w:lineRule="auto"/>
              <w:jc w:val="left"/>
            </w:pPr>
            <w:r>
              <w:rPr>
                <w:rFonts w:ascii="Times New Roman" w:hAnsi="Times New Roman"/>
                <w:b w:val="0"/>
                <w:i w:val="0"/>
                <w:smallCaps w:val="0"/>
                <w:sz w:val="14"/>
              </w:rPr>
              <w:t>Zhao et al., 2022, Computers and Electronics in Agriculture</w:t>
            </w:r>
          </w:p>
        </w:tc>
        <w:tc>
          <w:tcPr>
            <w:tcW w:type="dxa" w:w="2138"/>
          </w:tcPr>
          <w:p>
            <w:pPr>
              <w:keepNext w:val="0"/>
              <w:spacing w:before="0" w:after="0" w:line="240" w:lineRule="auto"/>
              <w:jc w:val="left"/>
            </w:pPr>
            <w:r>
              <w:rPr>
                <w:rFonts w:ascii="Times New Roman" w:hAnsi="Times New Roman"/>
                <w:b w:val="0"/>
                <w:i w:val="0"/>
                <w:smallCaps w:val="0"/>
                <w:sz w:val="14"/>
              </w:rPr>
              <w:t>Inception-residual CNN with embedded modified CBAM; web deployment</w:t>
            </w:r>
          </w:p>
        </w:tc>
        <w:tc>
          <w:tcPr>
            <w:tcW w:type="dxa" w:w="2138"/>
          </w:tcPr>
          <w:p>
            <w:pPr>
              <w:keepNext w:val="0"/>
              <w:spacing w:before="0" w:after="0" w:line="240" w:lineRule="auto"/>
              <w:jc w:val="left"/>
            </w:pPr>
            <w:r>
              <w:rPr>
                <w:rFonts w:ascii="Times New Roman" w:hAnsi="Times New Roman"/>
                <w:b w:val="0"/>
                <w:i w:val="0"/>
                <w:smallCaps w:val="0"/>
                <w:sz w:val="14"/>
              </w:rPr>
              <w:t>99.55% overall; 98.44%, 99.43%, 95.20% per crop</w:t>
            </w:r>
          </w:p>
        </w:tc>
        <w:tc>
          <w:tcPr>
            <w:tcW w:type="dxa" w:w="1728"/>
          </w:tcPr>
          <w:p>
            <w:pPr>
              <w:keepNext w:val="0"/>
              <w:spacing w:before="0" w:after="0" w:line="240" w:lineRule="auto"/>
              <w:jc w:val="left"/>
            </w:pPr>
            <w:r>
              <w:rPr>
                <w:rFonts w:ascii="Times New Roman" w:hAnsi="Times New Roman"/>
                <w:b w:val="0"/>
                <w:i w:val="0"/>
                <w:smallCaps w:val="0"/>
                <w:sz w:val="14"/>
              </w:rPr>
              <w:t>Attention at one stage; three crops</w:t>
            </w:r>
          </w:p>
        </w:tc>
        <w:tc>
          <w:tcPr>
            <w:tcW w:type="dxa" w:w="1607"/>
          </w:tcPr>
          <w:p>
            <w:pPr>
              <w:keepNext w:val="0"/>
              <w:spacing w:before="0" w:after="0" w:line="240" w:lineRule="auto"/>
              <w:jc w:val="left"/>
            </w:pPr>
            <w:r>
              <w:rPr>
                <w:rFonts w:ascii="Times New Roman" w:hAnsi="Times New Roman"/>
                <w:b w:val="0"/>
                <w:i w:val="0"/>
                <w:smallCaps w:val="0"/>
                <w:sz w:val="14"/>
              </w:rPr>
              <w:t>CBAM for lesion focus; deployed web system</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[24]</w:t>
            </w:r>
          </w:p>
        </w:tc>
        <w:tc>
          <w:tcPr>
            <w:tcW w:type="dxa" w:w="2109"/>
          </w:tcPr>
          <w:p>
            <w:pPr>
              <w:keepNext w:val="0"/>
              <w:spacing w:before="0" w:after="0" w:line="240" w:lineRule="auto"/>
              <w:jc w:val="left"/>
            </w:pPr>
            <w:r>
              <w:rPr>
                <w:rFonts w:ascii="Times New Roman" w:hAnsi="Times New Roman"/>
                <w:b w:val="0"/>
                <w:i w:val="0"/>
                <w:smallCaps w:val="0"/>
                <w:sz w:val="14"/>
              </w:rPr>
              <w:t>Wang et al., 2024, Frontiers in Plant Science</w:t>
            </w:r>
          </w:p>
        </w:tc>
        <w:tc>
          <w:tcPr>
            <w:tcW w:type="dxa" w:w="2138"/>
          </w:tcPr>
          <w:p>
            <w:pPr>
              <w:keepNext w:val="0"/>
              <w:spacing w:before="0" w:after="0" w:line="240" w:lineRule="auto"/>
              <w:jc w:val="left"/>
            </w:pPr>
            <w:r>
              <w:rPr>
                <w:rFonts w:ascii="Times New Roman" w:hAnsi="Times New Roman"/>
                <w:b w:val="0"/>
                <w:i w:val="0"/>
                <w:smallCaps w:val="0"/>
                <w:sz w:val="14"/>
              </w:rPr>
              <w:t>CBAM in backbone, shallow features fused through BiRepGFPN in YOLOv6</w:t>
            </w:r>
          </w:p>
        </w:tc>
        <w:tc>
          <w:tcPr>
            <w:tcW w:type="dxa" w:w="2138"/>
          </w:tcPr>
          <w:p>
            <w:pPr>
              <w:keepNext w:val="0"/>
              <w:spacing w:before="0" w:after="0" w:line="240" w:lineRule="auto"/>
              <w:jc w:val="left"/>
            </w:pPr>
            <w:r>
              <w:rPr>
                <w:rFonts w:ascii="Times New Roman" w:hAnsi="Times New Roman"/>
                <w:b w:val="0"/>
                <w:i w:val="0"/>
                <w:smallCaps w:val="0"/>
                <w:sz w:val="14"/>
              </w:rPr>
              <w:t>Tomato mAP 93.8%, F1 94.0%; mAP +2.6 to +11.8 points over YOLO variants on PlantDoc</w:t>
            </w:r>
          </w:p>
        </w:tc>
        <w:tc>
          <w:tcPr>
            <w:tcW w:type="dxa" w:w="1728"/>
          </w:tcPr>
          <w:p>
            <w:pPr>
              <w:keepNext w:val="0"/>
              <w:spacing w:before="0" w:after="0" w:line="240" w:lineRule="auto"/>
              <w:jc w:val="left"/>
            </w:pPr>
            <w:r>
              <w:rPr>
                <w:rFonts w:ascii="Times New Roman" w:hAnsi="Times New Roman"/>
                <w:b w:val="0"/>
                <w:i w:val="0"/>
                <w:smallCaps w:val="0"/>
                <w:sz w:val="14"/>
              </w:rPr>
              <w:t>Detection task; no calibration analysis</w:t>
            </w:r>
          </w:p>
        </w:tc>
        <w:tc>
          <w:tcPr>
            <w:tcW w:type="dxa" w:w="1607"/>
          </w:tcPr>
          <w:p>
            <w:pPr>
              <w:keepNext w:val="0"/>
              <w:spacing w:before="0" w:after="0" w:line="240" w:lineRule="auto"/>
              <w:jc w:val="left"/>
            </w:pPr>
            <w:r>
              <w:rPr>
                <w:rFonts w:ascii="Times New Roman" w:hAnsi="Times New Roman"/>
                <w:b w:val="0"/>
                <w:i w:val="0"/>
                <w:smallCaps w:val="0"/>
                <w:sz w:val="14"/>
              </w:rPr>
              <w:t>Shallow-feature fusion for small lesions</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[4]</w:t>
            </w:r>
          </w:p>
        </w:tc>
        <w:tc>
          <w:tcPr>
            <w:tcW w:type="dxa" w:w="2109"/>
          </w:tcPr>
          <w:p>
            <w:pPr>
              <w:keepNext w:val="0"/>
              <w:spacing w:before="0" w:after="0" w:line="240" w:lineRule="auto"/>
              <w:jc w:val="left"/>
            </w:pPr>
            <w:r>
              <w:rPr>
                <w:rFonts w:ascii="Times New Roman" w:hAnsi="Times New Roman"/>
                <w:b w:val="0"/>
                <w:i w:val="0"/>
                <w:smallCaps w:val="0"/>
                <w:sz w:val="14"/>
              </w:rPr>
              <w:t>Salman et al., 2025, Frontiers in Plant Science</w:t>
            </w:r>
          </w:p>
        </w:tc>
        <w:tc>
          <w:tcPr>
            <w:tcW w:type="dxa" w:w="2138"/>
          </w:tcPr>
          <w:p>
            <w:pPr>
              <w:keepNext w:val="0"/>
              <w:spacing w:before="0" w:after="0" w:line="240" w:lineRule="auto"/>
              <w:jc w:val="left"/>
            </w:pPr>
            <w:r>
              <w:rPr>
                <w:rFonts w:ascii="Times New Roman" w:hAnsi="Times New Roman"/>
                <w:b w:val="0"/>
                <w:i w:val="0"/>
                <w:smallCaps w:val="0"/>
                <w:sz w:val="14"/>
              </w:rPr>
              <w:t>ViT with mixture of experts, entropy and orthogonal regularisation</w:t>
            </w:r>
          </w:p>
        </w:tc>
        <w:tc>
          <w:tcPr>
            <w:tcW w:type="dxa" w:w="2138"/>
          </w:tcPr>
          <w:p>
            <w:pPr>
              <w:keepNext w:val="0"/>
              <w:spacing w:before="0" w:after="0" w:line="240" w:lineRule="auto"/>
              <w:jc w:val="left"/>
            </w:pPr>
            <w:r>
              <w:rPr>
                <w:rFonts w:ascii="Times New Roman" w:hAnsi="Times New Roman"/>
                <w:b w:val="0"/>
                <w:i w:val="0"/>
                <w:smallCaps w:val="0"/>
                <w:sz w:val="14"/>
              </w:rPr>
              <w:t>+20% over ViT; 68% PlantVillage to PlantDoc</w:t>
            </w:r>
          </w:p>
        </w:tc>
        <w:tc>
          <w:tcPr>
            <w:tcW w:type="dxa" w:w="1728"/>
          </w:tcPr>
          <w:p>
            <w:pPr>
              <w:keepNext w:val="0"/>
              <w:spacing w:before="0" w:after="0" w:line="240" w:lineRule="auto"/>
              <w:jc w:val="left"/>
            </w:pPr>
            <w:r>
              <w:rPr>
                <w:rFonts w:ascii="Times New Roman" w:hAnsi="Times New Roman"/>
                <w:b w:val="0"/>
                <w:i w:val="0"/>
                <w:smallCaps w:val="0"/>
                <w:sz w:val="14"/>
              </w:rPr>
              <w:t>Large model; field accuracy still low</w:t>
            </w:r>
          </w:p>
        </w:tc>
        <w:tc>
          <w:tcPr>
            <w:tcW w:type="dxa" w:w="1607"/>
          </w:tcPr>
          <w:p>
            <w:pPr>
              <w:keepNext w:val="0"/>
              <w:spacing w:before="0" w:after="0" w:line="240" w:lineRule="auto"/>
              <w:jc w:val="left"/>
            </w:pPr>
            <w:r>
              <w:rPr>
                <w:rFonts w:ascii="Times New Roman" w:hAnsi="Times New Roman"/>
                <w:b w:val="0"/>
                <w:i w:val="0"/>
                <w:smallCaps w:val="0"/>
                <w:sz w:val="14"/>
              </w:rPr>
              <w:t>Defines the field-generalisation problem</w:t>
            </w:r>
          </w:p>
        </w:tc>
      </w:tr>
      <w:tr>
        <w:trPr>
          <w:cantSplit/>
        </w:trPr>
        <w:tc>
          <w:tcPr>
            <w:tcW w:type="dxa" w:w="720"/>
          </w:tcPr>
          <w:p>
            <w:pPr>
              <w:keepNext w:val="0"/>
              <w:spacing w:before="0" w:after="0" w:line="240" w:lineRule="auto"/>
              <w:jc w:val="left"/>
            </w:pPr>
            <w:r>
              <w:rPr>
                <w:rFonts w:ascii="Times New Roman" w:hAnsi="Times New Roman"/>
                <w:b w:val="0"/>
                <w:i w:val="0"/>
                <w:smallCaps w:val="0"/>
                <w:sz w:val="14"/>
              </w:rPr>
              <w:t>[6]</w:t>
            </w:r>
          </w:p>
        </w:tc>
        <w:tc>
          <w:tcPr>
            <w:tcW w:type="dxa" w:w="2109"/>
          </w:tcPr>
          <w:p>
            <w:pPr>
              <w:keepNext w:val="0"/>
              <w:spacing w:before="0" w:after="0" w:line="240" w:lineRule="auto"/>
              <w:jc w:val="left"/>
            </w:pPr>
            <w:r>
              <w:rPr>
                <w:rFonts w:ascii="Times New Roman" w:hAnsi="Times New Roman"/>
                <w:b w:val="0"/>
                <w:i w:val="0"/>
                <w:smallCaps w:val="0"/>
                <w:sz w:val="14"/>
              </w:rPr>
              <w:t>Das et al., 2025, IEEE ICCCMLA</w:t>
            </w:r>
          </w:p>
        </w:tc>
        <w:tc>
          <w:tcPr>
            <w:tcW w:type="dxa" w:w="2138"/>
          </w:tcPr>
          <w:p>
            <w:pPr>
              <w:keepNext w:val="0"/>
              <w:spacing w:before="0" w:after="0" w:line="240" w:lineRule="auto"/>
              <w:jc w:val="left"/>
            </w:pPr>
            <w:r>
              <w:rPr>
                <w:rFonts w:ascii="Times New Roman" w:hAnsi="Times New Roman"/>
                <w:b w:val="0"/>
                <w:i w:val="0"/>
                <w:smallCaps w:val="0"/>
                <w:sz w:val="14"/>
              </w:rPr>
              <w:t>ResNet-18, EfficientNet-B0, ConvNeXt-Tiny under 8 corruptions at 3 severities</w:t>
            </w:r>
          </w:p>
        </w:tc>
        <w:tc>
          <w:tcPr>
            <w:tcW w:type="dxa" w:w="2138"/>
          </w:tcPr>
          <w:p>
            <w:pPr>
              <w:keepNext w:val="0"/>
              <w:spacing w:before="0" w:after="0" w:line="240" w:lineRule="auto"/>
              <w:jc w:val="left"/>
            </w:pPr>
            <w:r>
              <w:rPr>
                <w:rFonts w:ascii="Times New Roman" w:hAnsi="Times New Roman"/>
                <w:b w:val="0"/>
                <w:i w:val="0"/>
                <w:smallCaps w:val="0"/>
                <w:sz w:val="14"/>
              </w:rPr>
              <w:t>Similar clean accuracy, divergent mCE and ECE; ConvNeXt-Tiny most robust</w:t>
            </w:r>
          </w:p>
        </w:tc>
        <w:tc>
          <w:tcPr>
            <w:tcW w:type="dxa" w:w="1728"/>
          </w:tcPr>
          <w:p>
            <w:pPr>
              <w:keepNext w:val="0"/>
              <w:spacing w:before="0" w:after="0" w:line="240" w:lineRule="auto"/>
              <w:jc w:val="left"/>
            </w:pPr>
            <w:r>
              <w:rPr>
                <w:rFonts w:ascii="Times New Roman" w:hAnsi="Times New Roman"/>
                <w:b w:val="0"/>
                <w:i w:val="0"/>
                <w:smallCaps w:val="0"/>
                <w:sz w:val="14"/>
              </w:rPr>
              <w:t>Existing models only; no new design</w:t>
            </w:r>
          </w:p>
        </w:tc>
        <w:tc>
          <w:tcPr>
            <w:tcW w:type="dxa" w:w="1607"/>
          </w:tcPr>
          <w:p>
            <w:pPr>
              <w:keepNext w:val="0"/>
              <w:spacing w:before="0" w:after="0" w:line="240" w:lineRule="auto"/>
              <w:jc w:val="left"/>
            </w:pPr>
            <w:r>
              <w:rPr>
                <w:rFonts w:ascii="Times New Roman" w:hAnsi="Times New Roman"/>
                <w:b w:val="0"/>
                <w:i w:val="0"/>
                <w:smallCaps w:val="0"/>
                <w:sz w:val="14"/>
              </w:rPr>
              <w:t>Robustness and calibration protocol</w:t>
            </w:r>
          </w:p>
        </w:tc>
      </w:tr>
    </w:tbl>
    <w:p>
      <w:pPr>
        <w:keepNext w:val="0"/>
        <w:spacing w:before="0" w:after="40" w:line="240" w:lineRule="auto"/>
        <w:jc w:val="both"/>
      </w:pPr>
    </w:p>
    <w:p>
      <w:pPr>
        <w:sectPr>
          <w:type w:val="continuous"/>
          <w:pgSz w:w="12240" w:h="15840"/>
          <w:pgMar w:top="1080" w:right="900" w:bottom="1440" w:left="900" w:header="720" w:footer="720" w:gutter="0"/>
          <w:cols w:space="360" w:num="1"/>
          <w:docGrid w:linePitch="360"/>
        </w:sectPr>
      </w:pPr>
    </w:p>
    <w:p>
      <w:pPr>
        <w:keepNext w:val="0"/>
        <w:spacing w:before="0" w:after="0" w:line="240" w:lineRule="auto"/>
        <w:ind w:firstLine="288"/>
        <w:jc w:val="both"/>
      </w:pPr>
      <w:r>
        <w:rPr>
          <w:rFonts w:ascii="Times New Roman" w:hAnsi="Times New Roman"/>
          <w:b w:val="0"/>
          <w:i w:val="0"/>
          <w:smallCaps w:val="0"/>
          <w:sz w:val="20"/>
        </w:rPr>
        <w:t>The head keeps the EfficientNetV2 backbone validated in [22], applies CBAM as in [23] but at three depths, and fuses shallow and deep features as [24] does for detection. It targets the field gap of [4] with a 0.22 M-parameter head rather than an expert ensemble, and extends the evaluation view of [6] with temperature scaling, selective prediction and significance tests.</w:t>
      </w:r>
    </w:p>
    <w:p>
      <w:pPr>
        <w:keepNext w:val="0"/>
        <w:spacing w:before="0" w:after="0" w:line="240" w:lineRule="auto"/>
        <w:ind w:firstLine="288"/>
        <w:jc w:val="both"/>
      </w:pPr>
      <w:r>
        <w:rPr>
          <w:rFonts w:ascii="Times New Roman" w:hAnsi="Times New Roman"/>
          <w:b w:val="0"/>
          <w:i/>
          <w:smallCaps w:val="0"/>
          <w:sz w:val="20"/>
        </w:rPr>
        <w:t xml:space="preserve">Multi-scale attention fusion (MSAF). </w:t>
      </w:r>
      <w:r>
        <w:rPr>
          <w:rFonts w:ascii="Times New Roman" w:hAnsi="Times New Roman"/>
          <w:b w:val="0"/>
          <w:i w:val="0"/>
          <w:smallCaps w:val="0"/>
          <w:sz w:val="20"/>
        </w:rPr>
        <w:t>As Fig. 2 shows, the ImageNet-pretrained EfficientNetV2-S [7] is tapped at stage 3 (64 channels, 28 × 28), stage 5 (160 channels, 14 × 14) and the final 1 × 1 projection (1,280 channels, 7 × 7). Each map F is refined by CBAM [8]: channel attention M</w:t>
      </w:r>
      <w:r>
        <w:rPr>
          <w:rFonts w:ascii="Times New Roman" w:hAnsi="Times New Roman"/>
          <w:b w:val="0"/>
          <w:i w:val="0"/>
          <w:smallCaps w:val="0"/>
          <w:sz w:val="20"/>
          <w:vertAlign w:val="subscript"/>
        </w:rPr>
        <w:t>c</w:t>
      </w:r>
      <w:r>
        <w:rPr>
          <w:rFonts w:ascii="Times New Roman" w:hAnsi="Times New Roman"/>
          <w:b w:val="0"/>
          <w:i w:val="0"/>
          <w:smallCaps w:val="0"/>
          <w:sz w:val="20"/>
        </w:rPr>
        <w:t xml:space="preserve"> (shared MLP, reduction 16) gives F′ = M</w:t>
      </w:r>
      <w:r>
        <w:rPr>
          <w:rFonts w:ascii="Times New Roman" w:hAnsi="Times New Roman"/>
          <w:b w:val="0"/>
          <w:i w:val="0"/>
          <w:smallCaps w:val="0"/>
          <w:sz w:val="20"/>
          <w:vertAlign w:val="subscript"/>
        </w:rPr>
        <w:t>c</w:t>
      </w:r>
      <w:r>
        <w:rPr>
          <w:rFonts w:ascii="Times New Roman" w:hAnsi="Times New Roman"/>
          <w:b w:val="0"/>
          <w:i w:val="0"/>
          <w:smallCaps w:val="0"/>
          <w:sz w:val="20"/>
        </w:rPr>
        <w:t xml:space="preserve"> ⊗ F, spatial attention M</w:t>
      </w:r>
      <w:r>
        <w:rPr>
          <w:rFonts w:ascii="Times New Roman" w:hAnsi="Times New Roman"/>
          <w:b w:val="0"/>
          <w:i w:val="0"/>
          <w:smallCaps w:val="0"/>
          <w:sz w:val="20"/>
          <w:vertAlign w:val="subscript"/>
        </w:rPr>
        <w:t>s</w:t>
      </w:r>
      <w:r>
        <w:rPr>
          <w:rFonts w:ascii="Times New Roman" w:hAnsi="Times New Roman"/>
          <w:b w:val="0"/>
          <w:i w:val="0"/>
          <w:smallCaps w:val="0"/>
          <w:sz w:val="20"/>
        </w:rPr>
        <w:t xml:space="preserve"> (7 × 7 convolution) is applied to F′, and the block returns F + M</w:t>
      </w:r>
      <w:r>
        <w:rPr>
          <w:rFonts w:ascii="Times New Roman" w:hAnsi="Times New Roman"/>
          <w:b w:val="0"/>
          <w:i w:val="0"/>
          <w:smallCaps w:val="0"/>
          <w:sz w:val="20"/>
          <w:vertAlign w:val="subscript"/>
        </w:rPr>
        <w:t>s</w:t>
      </w:r>
      <w:r>
        <w:rPr>
          <w:rFonts w:ascii="Times New Roman" w:hAnsi="Times New Roman"/>
          <w:b w:val="0"/>
          <w:i w:val="0"/>
          <w:smallCaps w:val="0"/>
          <w:sz w:val="20"/>
        </w:rPr>
        <w:t xml:space="preserve"> ⊗ F′ (residual):</w:t>
      </w:r>
    </w:p>
    <w:p>
      <w:pPr>
        <w:keepNext w:val="0"/>
        <w:tabs>
          <w:tab w:pos="2520" w:val="center"/>
          <w:tab w:pos="5040" w:val="right"/>
        </w:tabs>
        <w:spacing w:before="60" w:after="60" w:line="240" w:lineRule="auto"/>
        <w:jc w:val="left"/>
      </w:pPr>
      <w:r>
        <w:tab/>
      </w:r>
      <m:oMath>
        <m:sSub>
          <m:e>
            <m:r>
              <m:t>M</m:t>
            </m:r>
          </m:e>
          <m:sub>
            <m:r>
              <m:t>c</m:t>
            </m:r>
          </m:sub>
        </m:sSub>
        <m:r>
          <m:t>(F)=σ(</m:t>
        </m:r>
        <m:r>
          <m:rPr>
            <m:sty m:val="p"/>
          </m:rPr>
          <m:t>MLP</m:t>
        </m:r>
        <m:r>
          <m:t>(</m:t>
        </m:r>
        <m:r>
          <m:rPr>
            <m:sty m:val="p"/>
          </m:rPr>
          <m:t>AvgPool</m:t>
        </m:r>
        <m:r>
          <m:t>(F))+</m:t>
        </m:r>
        <m:r>
          <m:rPr>
            <m:sty m:val="p"/>
          </m:rPr>
          <m:t>MLP</m:t>
        </m:r>
        <m:r>
          <m:t>(</m:t>
        </m:r>
        <m:r>
          <m:rPr>
            <m:sty m:val="p"/>
          </m:rPr>
          <m:t>MaxPool</m:t>
        </m:r>
        <m:r>
          <m:t>(F)))</m:t>
        </m:r>
      </m:oMath>
      <w:r>
        <w:rPr>
          <w:rFonts w:ascii="Times New Roman" w:hAnsi="Times New Roman"/>
          <w:sz w:val="20"/>
        </w:rPr>
        <w:tab/>
        <w:t>(4)</w:t>
      </w:r>
    </w:p>
    <w:p>
      <w:pPr>
        <w:keepNext w:val="0"/>
        <w:tabs>
          <w:tab w:pos="2520" w:val="center"/>
          <w:tab w:pos="5040" w:val="right"/>
        </w:tabs>
        <w:spacing w:before="60" w:after="60" w:line="240" w:lineRule="auto"/>
        <w:jc w:val="left"/>
      </w:pPr>
      <w:r>
        <w:tab/>
      </w:r>
      <m:oMath>
        <m:sSub>
          <m:e>
            <m:r>
              <m:t>M</m:t>
            </m:r>
          </m:e>
          <m:sub>
            <m:r>
              <m:t>s</m:t>
            </m:r>
          </m:sub>
        </m:sSub>
        <m:r>
          <m:t>(</m:t>
        </m:r>
        <m:sSup>
          <m:e>
            <m:r>
              <m:t>F</m:t>
            </m:r>
          </m:e>
          <m:sup>
            <m:r>
              <m:t>′</m:t>
            </m:r>
          </m:sup>
        </m:sSup>
        <m:r>
          <m:t>)=σ(</m:t>
        </m:r>
        <m:sSup>
          <m:e>
            <m:r>
              <m:t>f</m:t>
            </m:r>
          </m:e>
          <m:sup>
            <m:r>
              <m:t>7×7</m:t>
            </m:r>
          </m:sup>
        </m:sSup>
        <m:r>
          <m:t>([</m:t>
        </m:r>
        <m:sSub>
          <m:e>
            <m:r>
              <m:rPr>
                <m:sty m:val="p"/>
              </m:rPr>
              <m:t>AvgPool</m:t>
            </m:r>
          </m:e>
          <m:sub>
            <m:r>
              <m:t>c</m:t>
            </m:r>
          </m:sub>
        </m:sSub>
        <m:r>
          <m:t>(</m:t>
        </m:r>
        <m:sSup>
          <m:e>
            <m:r>
              <m:t>F</m:t>
            </m:r>
          </m:e>
          <m:sup>
            <m:r>
              <m:t>′</m:t>
            </m:r>
          </m:sup>
        </m:sSup>
        <m:r>
          <m:t>);</m:t>
        </m:r>
        <m:sSub>
          <m:e>
            <m:r>
              <m:rPr>
                <m:sty m:val="p"/>
              </m:rPr>
              <m:t>MaxPool</m:t>
            </m:r>
          </m:e>
          <m:sub>
            <m:r>
              <m:t>c</m:t>
            </m:r>
          </m:sub>
        </m:sSub>
        <m:r>
          <m:t>(</m:t>
        </m:r>
        <m:sSup>
          <m:e>
            <m:r>
              <m:t>F</m:t>
            </m:r>
          </m:e>
          <m:sup>
            <m:r>
              <m:t>′</m:t>
            </m:r>
          </m:sup>
        </m:sSup>
        <m:r>
          <m:t>)]))</m:t>
        </m:r>
      </m:oMath>
      <w:r>
        <w:rPr>
          <w:rFonts w:ascii="Times New Roman" w:hAnsi="Times New Roman"/>
          <w:sz w:val="20"/>
        </w:rPr>
        <w:tab/>
        <w:t>(5)</w:t>
      </w:r>
    </w:p>
    <w:p>
      <w:pPr>
        <w:keepNext w:val="0"/>
        <w:spacing w:before="0" w:after="0" w:line="240" w:lineRule="auto"/>
        <w:ind w:firstLine="288"/>
        <w:jc w:val="both"/>
      </w:pPr>
      <w:r>
        <w:rPr>
          <w:rFonts w:ascii="Times New Roman" w:hAnsi="Times New Roman"/>
          <w:b w:val="0"/>
          <w:i w:val="0"/>
          <w:smallCaps w:val="0"/>
          <w:sz w:val="20"/>
        </w:rPr>
        <w:t>Global average pooling dilutes small, strong lesion activations, so each refined map is pooled by GeM [26] with learnable p (initialised to 3) over spatial positions Ω:</w:t>
      </w:r>
    </w:p>
    <w:p>
      <w:pPr>
        <w:keepNext w:val="0"/>
        <w:tabs>
          <w:tab w:pos="2520" w:val="center"/>
          <w:tab w:pos="5040" w:val="right"/>
        </w:tabs>
        <w:spacing w:before="60" w:after="60" w:line="240" w:lineRule="auto"/>
        <w:jc w:val="left"/>
      </w:pPr>
      <w:r>
        <w:tab/>
      </w:r>
      <m:oMath>
        <m:sSub>
          <m:e>
            <m:r>
              <m:t>d</m:t>
            </m:r>
          </m:e>
          <m:sub>
            <m:r>
              <m:t>k</m:t>
            </m:r>
          </m:sub>
        </m:sSub>
        <m:r>
          <m:t>=(</m:t>
        </m:r>
        <m:f>
          <m:fPr>
            <m:type m:val="bar"/>
          </m:fPr>
          <m:num>
            <m:r>
              <m:t>1</m:t>
            </m:r>
          </m:num>
          <m:den>
            <m:d>
              <m:dPr>
                <m:begChr m:val="|"/>
                <m:sepChr m:val=""/>
                <m:endChr m:val="|"/>
              </m:dPr>
              <m:e>
                <m:r>
                  <m:t>Ω</m:t>
                </m:r>
              </m:e>
            </m:d>
          </m:den>
        </m:f>
        <m:nary>
          <m:naryPr>
            <m:chr m:val="∑"/>
            <m:limLoc m:val="subSup"/>
            <m:grow m:val="1"/>
            <m:subHide m:val="off"/>
            <m:supHide m:val="on"/>
          </m:naryPr>
          <m:sub>
            <m:r>
              <m:t>(i,j)∈Ω</m:t>
            </m:r>
          </m:sub>
          <m:sup/>
          <m:e>
            <m:sSubSup>
              <m:e>
                <m:r>
                  <m:t>x</m:t>
                </m:r>
              </m:e>
              <m:sub>
                <m:r>
                  <m:t>k,i,j</m:t>
                </m:r>
              </m:sub>
              <m:sup>
                <m:r>
                  <m:t>p</m:t>
                </m:r>
              </m:sup>
            </m:sSubSup>
          </m:e>
        </m:nary>
        <m:sSup>
          <m:e>
            <m:r>
              <m:t>)</m:t>
            </m:r>
          </m:e>
          <m:sup>
            <m:f>
              <m:fPr>
                <m:type m:val="lin"/>
              </m:fPr>
              <m:num>
                <m:r>
                  <m:t>1</m:t>
                </m:r>
              </m:num>
              <m:den>
                <m:r>
                  <m:t>p</m:t>
                </m:r>
              </m:den>
            </m:f>
          </m:sup>
        </m:sSup>
      </m:oMath>
      <w:r>
        <w:rPr>
          <w:rFonts w:ascii="Times New Roman" w:hAnsi="Times New Roman"/>
          <w:sz w:val="20"/>
        </w:rPr>
        <w:tab/>
        <w:t>(6)</w:t>
      </w:r>
    </w:p>
    <w:p>
      <w:pPr>
        <w:keepNext w:val="0"/>
        <w:spacing w:before="0" w:after="0" w:line="240" w:lineRule="auto"/>
        <w:ind w:firstLine="288"/>
        <w:jc w:val="both"/>
      </w:pPr>
      <w:r>
        <w:rPr>
          <w:rFonts w:ascii="Times New Roman" w:hAnsi="Times New Roman"/>
          <w:b w:val="0"/>
          <w:i w:val="0"/>
          <w:smallCaps w:val="0"/>
          <w:sz w:val="20"/>
        </w:rPr>
        <w:t>The three descriptors are layer-normalised so that the small fine-scale vectors are not dominated. During training, scale-dropout multiplies each by m</w:t>
      </w:r>
      <w:r>
        <w:rPr>
          <w:rFonts w:ascii="Times New Roman" w:hAnsi="Times New Roman"/>
          <w:b w:val="0"/>
          <w:i w:val="0"/>
          <w:smallCaps w:val="0"/>
          <w:sz w:val="20"/>
          <w:vertAlign w:val="subscript"/>
        </w:rPr>
        <w:t>s</w:t>
      </w:r>
      <w:r>
        <w:rPr>
          <w:rFonts w:ascii="Times New Roman" w:hAnsi="Times New Roman"/>
          <w:b w:val="0"/>
          <w:i w:val="0"/>
          <w:smallCaps w:val="0"/>
          <w:sz w:val="20"/>
        </w:rPr>
        <w:t xml:space="preserve"> ~ Bernoulli(0.9), keeping at least one scale. The fused 1,504-d vector z of Eq. (7) passes through dropout (0.3) and a linear layer, ŷ = W·Dropout(z) + b:</w:t>
      </w:r>
    </w:p>
    <w:p>
      <w:pPr>
        <w:keepNext w:val="0"/>
        <w:tabs>
          <w:tab w:pos="2520" w:val="center"/>
          <w:tab w:pos="5040" w:val="right"/>
        </w:tabs>
        <w:spacing w:before="60" w:after="60" w:line="240" w:lineRule="auto"/>
        <w:jc w:val="left"/>
      </w:pPr>
      <w:r>
        <w:tab/>
      </w:r>
      <m:oMath>
        <m:r>
          <m:t>z=[</m:t>
        </m:r>
        <m:sSub>
          <m:e>
            <m:r>
              <m:t>m</m:t>
            </m:r>
          </m:e>
          <m:sub>
            <m:r>
              <m:t>1</m:t>
            </m:r>
          </m:sub>
        </m:sSub>
        <m:r>
          <m:rPr>
            <m:sty m:val="p"/>
          </m:rPr>
          <m:t>LN</m:t>
        </m:r>
        <m:r>
          <m:t>(</m:t>
        </m:r>
        <m:sSup>
          <m:e>
            <m:r>
              <m:t>d</m:t>
            </m:r>
          </m:e>
          <m:sup>
            <m:d>
              <m:dPr>
                <m:sepChr m:val=""/>
              </m:dPr>
              <m:e>
                <m:r>
                  <m:t>1</m:t>
                </m:r>
              </m:e>
            </m:d>
          </m:sup>
        </m:sSup>
        <m:r>
          <m:t>);</m:t>
        </m:r>
        <m:sSub>
          <m:e>
            <m:r>
              <m:t>m</m:t>
            </m:r>
          </m:e>
          <m:sub>
            <m:r>
              <m:t>2</m:t>
            </m:r>
          </m:sub>
        </m:sSub>
        <m:r>
          <m:rPr>
            <m:sty m:val="p"/>
          </m:rPr>
          <m:t>LN</m:t>
        </m:r>
        <m:r>
          <m:t>(</m:t>
        </m:r>
        <m:sSup>
          <m:e>
            <m:r>
              <m:t>d</m:t>
            </m:r>
          </m:e>
          <m:sup>
            <m:d>
              <m:dPr>
                <m:sepChr m:val=""/>
              </m:dPr>
              <m:e>
                <m:r>
                  <m:t>2</m:t>
                </m:r>
              </m:e>
            </m:d>
          </m:sup>
        </m:sSup>
        <m:r>
          <m:t>);</m:t>
        </m:r>
        <m:sSub>
          <m:e>
            <m:r>
              <m:t>m</m:t>
            </m:r>
          </m:e>
          <m:sub>
            <m:r>
              <m:t>3</m:t>
            </m:r>
          </m:sub>
        </m:sSub>
        <m:r>
          <m:rPr>
            <m:sty m:val="p"/>
          </m:rPr>
          <m:t>LN</m:t>
        </m:r>
        <m:r>
          <m:t>(</m:t>
        </m:r>
        <m:sSup>
          <m:e>
            <m:r>
              <m:t>d</m:t>
            </m:r>
          </m:e>
          <m:sup>
            <m:d>
              <m:dPr>
                <m:sepChr m:val=""/>
              </m:dPr>
              <m:e>
                <m:r>
                  <m:t>3</m:t>
                </m:r>
              </m:e>
            </m:d>
          </m:sup>
        </m:sSup>
        <m:r>
          <m:t>)</m:t>
        </m:r>
        <m:r>
          <m:t>]</m:t>
        </m:r>
      </m:oMath>
      <w:r>
        <w:rPr>
          <w:rFonts w:ascii="Times New Roman" w:hAnsi="Times New Roman"/>
          <w:sz w:val="20"/>
        </w:rPr>
        <w:tab/>
        <w:t>(7)</w:t>
      </w:r>
    </w:p>
    <w:p>
      <w:pPr>
        <w:sectPr>
          <w:type w:val="continuous"/>
          <w:pgSz w:w="12240" w:h="15840"/>
          <w:pgMar w:top="1080" w:right="900" w:bottom="1440" w:left="900" w:header="720" w:footer="720" w:gutter="0"/>
          <w:cols w:space="360" w:num="2"/>
          <w:docGrid w:linePitch="360"/>
        </w:sectPr>
      </w:pPr>
    </w:p>
    <w:p>
      <w:pPr>
        <w:keepNext/>
        <w:spacing w:before="120" w:after="0" w:line="240" w:lineRule="auto"/>
        <w:jc w:val="center"/>
      </w:pPr>
      <w:r>
        <w:drawing>
          <wp:inline xmlns:a="http://schemas.openxmlformats.org/drawingml/2006/main" xmlns:pic="http://schemas.openxmlformats.org/drawingml/2006/picture">
            <wp:extent cx="5029200" cy="1739265"/>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029200" cy="1739265"/>
                    </a:xfrm>
                    <a:prstGeom prst="rect"/>
                  </pic:spPr>
                </pic:pic>
              </a:graphicData>
            </a:graphic>
          </wp:inline>
        </w:drawing>
      </w:r>
    </w:p>
    <w:p>
      <w:pPr>
        <w:keepNext w:val="0"/>
        <w:spacing w:before="0" w:after="12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EfficientNetV2-MSAF architecture. Three backbone depths are each refined by CBAM, pooled by GeM and layer-normalised, then concatenated with scale-dropout before a single linear classifier.</w:t>
      </w:r>
    </w:p>
    <w:p>
      <w:pPr>
        <w:sectPr>
          <w:type w:val="continuous"/>
          <w:pgSz w:w="12240" w:h="15840"/>
          <w:pgMar w:top="1080" w:right="900" w:bottom="1440" w:left="900" w:header="720" w:footer="720" w:gutter="0"/>
          <w:cols w:space="360" w:num="1"/>
          <w:docGrid w:linePitch="360"/>
        </w:sectPr>
      </w:pPr>
    </w:p>
    <w:p>
      <w:pPr>
        <w:keepNext w:val="0"/>
        <w:spacing w:before="0" w:after="0" w:line="240" w:lineRule="auto"/>
        <w:ind w:firstLine="288"/>
        <w:jc w:val="both"/>
      </w:pPr>
      <w:r>
        <w:rPr>
          <w:rFonts w:ascii="Times New Roman" w:hAnsi="Times New Roman"/>
          <w:b w:val="0"/>
          <w:i w:val="0"/>
          <w:smallCaps w:val="0"/>
          <w:sz w:val="20"/>
        </w:rPr>
        <w:t>The head adds 220,841 parameters (+1.09%, 20.45 M total) at an unchanged 2.85 GMACs. Two controls isolate its effect: the stock head (baseline) and one CBAM block on the 1,280-channel map (CBAM variant).</w:t>
      </w:r>
    </w:p>
    <w:p>
      <w:pPr>
        <w:keepNext/>
        <w:spacing w:before="80" w:after="40" w:line="240" w:lineRule="auto"/>
        <w:jc w:val="left"/>
      </w:pPr>
      <w:r>
        <w:rPr>
          <w:rFonts w:ascii="Times New Roman" w:hAnsi="Times New Roman"/>
          <w:b w:val="0"/>
          <w:i/>
          <w:smallCaps w:val="0"/>
          <w:sz w:val="20"/>
        </w:rPr>
        <w:t>D. Model Training and Implementation</w:t>
      </w:r>
    </w:p>
    <w:p>
      <w:pPr>
        <w:keepNext w:val="0"/>
        <w:spacing w:before="0" w:after="0" w:line="240" w:lineRule="auto"/>
        <w:ind w:firstLine="288"/>
        <w:jc w:val="both"/>
      </w:pPr>
      <w:r>
        <w:rPr>
          <w:rFonts w:ascii="Times New Roman" w:hAnsi="Times New Roman"/>
          <w:b w:val="0"/>
          <w:i w:val="0"/>
          <w:smallCaps w:val="0"/>
          <w:sz w:val="20"/>
        </w:rPr>
        <w:t>All five models (baseline, CBAM, MSAF, and baseline and MSAF with field augmentation) share one recipe: 8 epochs, batch 32, AdamW [27] (learning rate 10⁻³, weight decay 10⁻⁴), a one-cycle schedule [28], mixed precision, seed 42 and cross-entropy with label smoothing [29] ε = 0.1 over K = 38 classes:</w:t>
      </w:r>
    </w:p>
    <w:p>
      <w:pPr>
        <w:keepNext w:val="0"/>
        <w:tabs>
          <w:tab w:pos="2520" w:val="center"/>
          <w:tab w:pos="5040" w:val="right"/>
        </w:tabs>
        <w:spacing w:before="60" w:after="60" w:line="240" w:lineRule="auto"/>
        <w:jc w:val="left"/>
      </w:pPr>
      <w:r>
        <w:tab/>
      </w:r>
      <m:oMath>
        <m:r>
          <m:t>ℒ=−</m:t>
        </m:r>
        <m:nary>
          <m:naryPr>
            <m:chr m:val="∑"/>
            <m:limLoc m:val="subSup"/>
            <m:grow m:val="1"/>
            <m:subHide m:val="off"/>
            <m:supHide m:val="off"/>
          </m:naryPr>
          <m:sub>
            <m:r>
              <m:t>k=1</m:t>
            </m:r>
          </m:sub>
          <m:sup>
            <m:r>
              <m:t>K</m:t>
            </m:r>
          </m:sup>
          <m:e>
            <m:r>
              <m:t>[(1−ε)</m:t>
            </m:r>
          </m:e>
        </m:nary>
        <m:sSub>
          <m:e>
            <m:r>
              <m:t>y</m:t>
            </m:r>
          </m:e>
          <m:sub>
            <m:r>
              <m:t>k</m:t>
            </m:r>
          </m:sub>
        </m:sSub>
        <m:r>
          <m:t>+</m:t>
        </m:r>
        <m:f>
          <m:fPr>
            <m:type m:val="bar"/>
          </m:fPr>
          <m:num>
            <m:r>
              <m:t>ε</m:t>
            </m:r>
          </m:num>
          <m:den>
            <m:r>
              <m:t>K</m:t>
            </m:r>
          </m:den>
        </m:f>
        <m:r>
          <m:t>]</m:t>
        </m:r>
        <m:r>
          <m:rPr>
            <m:sty m:val="p"/>
          </m:rPr>
          <m:t>log</m:t>
        </m:r>
        <m:sSub>
          <m:e>
            <m:acc>
              <m:accPr>
                <m:chr m:val="̂"/>
              </m:accPr>
              <m:e>
                <m:r>
                  <m:t>y</m:t>
                </m:r>
              </m:e>
            </m:acc>
          </m:e>
          <m:sub>
            <m:r>
              <m:t>k</m:t>
            </m:r>
          </m:sub>
        </m:sSub>
      </m:oMath>
      <w:r>
        <w:rPr>
          <w:rFonts w:ascii="Times New Roman" w:hAnsi="Times New Roman"/>
          <w:sz w:val="20"/>
        </w:rPr>
        <w:tab/>
        <w:t>(8)</w:t>
      </w:r>
    </w:p>
    <w:p>
      <w:pPr>
        <w:keepNext w:val="0"/>
        <w:spacing w:before="0" w:after="0" w:line="240" w:lineRule="auto"/>
        <w:ind w:firstLine="288"/>
        <w:jc w:val="both"/>
      </w:pPr>
      <w:r>
        <w:rPr>
          <w:rFonts w:ascii="Times New Roman" w:hAnsi="Times New Roman"/>
          <w:b w:val="0"/>
          <w:i w:val="0"/>
          <w:smallCaps w:val="0"/>
          <w:sz w:val="20"/>
        </w:rPr>
        <w:t>The best-validation checkpoint is kept, and a temperature T is fitted on the validation set by minimising NLL (Eq. 9). Training on an NVIDIA RTX 3050 (4 GB) took 37.8, 35.8 and 48.7 min for the baseline, CBAM and MSAF models.</w:t>
      </w:r>
    </w:p>
    <w:p>
      <w:pPr>
        <w:keepNext w:val="0"/>
        <w:tabs>
          <w:tab w:pos="2520" w:val="center"/>
          <w:tab w:pos="5040" w:val="right"/>
        </w:tabs>
        <w:spacing w:before="60" w:after="60" w:line="240" w:lineRule="auto"/>
        <w:jc w:val="left"/>
      </w:pPr>
      <w:r>
        <w:tab/>
      </w:r>
      <m:oMath>
        <m:sSub>
          <m:e>
            <m:acc>
              <m:accPr>
                <m:chr m:val="̂"/>
              </m:accPr>
              <m:e>
                <m:r>
                  <m:t>p</m:t>
                </m:r>
              </m:e>
            </m:acc>
          </m:e>
          <m:sub>
            <m:r>
              <m:t>k</m:t>
            </m:r>
          </m:sub>
        </m:sSub>
        <m:r>
          <m:t>=</m:t>
        </m:r>
        <m:f>
          <m:fPr>
            <m:type m:val="bar"/>
          </m:fPr>
          <m:num>
            <m:r>
              <m:rPr>
                <m:sty m:val="p"/>
              </m:rPr>
              <m:t>exp</m:t>
            </m:r>
            <m:r>
              <m:t>(</m:t>
            </m:r>
            <m:sSub>
              <m:e>
                <m:r>
                  <m:t>z</m:t>
                </m:r>
              </m:e>
              <m:sub>
                <m:r>
                  <m:t>k</m:t>
                </m:r>
              </m:sub>
            </m:sSub>
            <m:r>
              <m:t>/T)</m:t>
            </m:r>
          </m:num>
          <m:den>
            <m:nary>
              <m:naryPr>
                <m:chr m:val="∑"/>
                <m:limLoc m:val="subSup"/>
                <m:grow m:val="1"/>
                <m:subHide m:val="off"/>
                <m:supHide m:val="off"/>
              </m:naryPr>
              <m:sub>
                <m:r>
                  <m:t>j=1</m:t>
                </m:r>
              </m:sub>
              <m:sup>
                <m:r>
                  <m:t>K</m:t>
                </m:r>
              </m:sup>
              <m:e>
                <m:r>
                  <m:rPr>
                    <m:sty m:val="p"/>
                  </m:rPr>
                  <m:t>exp</m:t>
                </m:r>
                <m:r>
                  <m:t>(</m:t>
                </m:r>
              </m:e>
            </m:nary>
            <m:sSub>
              <m:e>
                <m:r>
                  <m:t>z</m:t>
                </m:r>
              </m:e>
              <m:sub>
                <m:r>
                  <m:t>j</m:t>
                </m:r>
              </m:sub>
            </m:sSub>
            <m:r>
              <m:t>/T)</m:t>
            </m:r>
          </m:den>
        </m:f>
      </m:oMath>
      <w:r>
        <w:rPr>
          <w:rFonts w:ascii="Times New Roman" w:hAnsi="Times New Roman"/>
          <w:sz w:val="20"/>
        </w:rPr>
        <w:tab/>
        <w:t>(9)</w:t>
      </w:r>
    </w:p>
    <w:p>
      <w:pPr>
        <w:keepNext w:val="0"/>
        <w:spacing w:before="0" w:after="0" w:line="240" w:lineRule="auto"/>
        <w:ind w:firstLine="288"/>
        <w:jc w:val="both"/>
      </w:pPr>
      <w:r>
        <w:rPr>
          <w:rFonts w:ascii="Times New Roman" w:hAnsi="Times New Roman"/>
          <w:b w:val="0"/>
          <w:i w:val="0"/>
          <w:smallCaps w:val="0"/>
          <w:sz w:val="20"/>
        </w:rPr>
        <w:t>The deployed Streamlit application follows Algorithm 1.</w:t>
      </w:r>
    </w:p>
    <w:p>
      <w:pPr>
        <w:keepNext/>
        <w:pBdr>
          <w:top w:val="single" w:sz="6" w:space="1" w:color="000000"/>
          <w:bottom w:val="single" w:sz="6" w:space="1" w:color="000000"/>
        </w:pBdr>
        <w:spacing w:before="120" w:after="0" w:line="240" w:lineRule="auto"/>
        <w:jc w:val="both"/>
      </w:pPr>
      <w:r>
        <w:rPr>
          <w:rFonts w:ascii="Times New Roman" w:hAnsi="Times New Roman"/>
          <w:b/>
          <w:i w:val="0"/>
          <w:smallCaps w:val="0"/>
          <w:sz w:val="16"/>
        </w:rPr>
        <w:t>Algorithm 1: Diagnosis pipeline</w:t>
      </w:r>
    </w:p>
    <w:p>
      <w:pPr>
        <w:keepNext w:val="0"/>
        <w:tabs>
          <w:tab w:pos="360" w:val="left"/>
        </w:tabs>
        <w:spacing w:before="0" w:after="0" w:line="240" w:lineRule="auto"/>
        <w:ind w:left="360" w:hanging="360"/>
        <w:jc w:val="both"/>
      </w:pPr>
      <w:r>
        <w:rPr>
          <w:rFonts w:ascii="Times New Roman" w:hAnsi="Times New Roman"/>
          <w:b w:val="0"/>
          <w:i w:val="0"/>
          <w:smallCaps w:val="0"/>
          <w:sz w:val="16"/>
        </w:rPr>
        <w:t>1:</w:t>
        <w:tab/>
      </w:r>
      <w:r>
        <w:rPr>
          <w:rFonts w:ascii="Times New Roman" w:hAnsi="Times New Roman"/>
          <w:b w:val="0"/>
          <w:i w:val="0"/>
          <w:smallCaps w:val="0"/>
          <w:sz w:val="16"/>
        </w:rPr>
        <w:t>Input: photograph I. Output: diagnosis report or rejection.</w:t>
      </w:r>
    </w:p>
    <w:p>
      <w:pPr>
        <w:keepNext w:val="0"/>
        <w:tabs>
          <w:tab w:pos="360" w:val="left"/>
        </w:tabs>
        <w:spacing w:before="0" w:after="0" w:line="240" w:lineRule="auto"/>
        <w:ind w:left="360" w:hanging="360"/>
        <w:jc w:val="both"/>
      </w:pPr>
      <w:r>
        <w:rPr>
          <w:rFonts w:ascii="Times New Roman" w:hAnsi="Times New Roman"/>
          <w:b w:val="0"/>
          <w:i w:val="0"/>
          <w:smallCaps w:val="0"/>
          <w:sz w:val="16"/>
        </w:rPr>
        <w:t>2:</w:t>
        <w:tab/>
      </w:r>
      <w:r>
        <w:rPr>
          <w:rFonts w:ascii="Times New Roman" w:hAnsi="Times New Roman"/>
          <w:b w:val="0"/>
          <w:i w:val="0"/>
          <w:smallCaps w:val="0"/>
          <w:sz w:val="16"/>
        </w:rPr>
        <w:t>Run the leaf gatekeeper; if I is not a plant image or shows several leaves, reject it with a reason and stop.</w:t>
      </w:r>
    </w:p>
    <w:p>
      <w:pPr>
        <w:keepNext w:val="0"/>
        <w:tabs>
          <w:tab w:pos="360" w:val="left"/>
        </w:tabs>
        <w:spacing w:before="0" w:after="0" w:line="240" w:lineRule="auto"/>
        <w:ind w:left="360" w:hanging="360"/>
        <w:jc w:val="both"/>
      </w:pPr>
      <w:r>
        <w:rPr>
          <w:rFonts w:ascii="Times New Roman" w:hAnsi="Times New Roman"/>
          <w:b w:val="0"/>
          <w:i w:val="0"/>
          <w:smallCaps w:val="0"/>
          <w:sz w:val="16"/>
        </w:rPr>
        <w:t>3:</w:t>
        <w:tab/>
      </w:r>
      <w:r>
        <w:rPr>
          <w:rFonts w:ascii="Times New Roman" w:hAnsi="Times New Roman"/>
          <w:b w:val="0"/>
          <w:i w:val="0"/>
          <w:smallCaps w:val="0"/>
          <w:sz w:val="16"/>
        </w:rPr>
        <w:t>Resize and normalise I (Eq. 2) and compute logits z with the classifier.</w:t>
      </w:r>
    </w:p>
    <w:p>
      <w:pPr>
        <w:keepNext w:val="0"/>
        <w:tabs>
          <w:tab w:pos="360" w:val="left"/>
        </w:tabs>
        <w:spacing w:before="0" w:after="0" w:line="240" w:lineRule="auto"/>
        <w:ind w:left="360" w:hanging="360"/>
        <w:jc w:val="both"/>
      </w:pPr>
      <w:r>
        <w:rPr>
          <w:rFonts w:ascii="Times New Roman" w:hAnsi="Times New Roman"/>
          <w:b w:val="0"/>
          <w:i w:val="0"/>
          <w:smallCaps w:val="0"/>
          <w:sz w:val="16"/>
        </w:rPr>
        <w:t>4:</w:t>
        <w:tab/>
      </w:r>
      <w:r>
        <w:rPr>
          <w:rFonts w:ascii="Times New Roman" w:hAnsi="Times New Roman"/>
          <w:b w:val="0"/>
          <w:i w:val="0"/>
          <w:smallCaps w:val="0"/>
          <w:sz w:val="16"/>
        </w:rPr>
        <w:t>Calibrate the probabilities with temperature T (Eq. 9); flag low-confidence predictions.</w:t>
      </w:r>
    </w:p>
    <w:p>
      <w:pPr>
        <w:keepNext w:val="0"/>
        <w:tabs>
          <w:tab w:pos="360" w:val="left"/>
        </w:tabs>
        <w:spacing w:before="0" w:after="0" w:line="240" w:lineRule="auto"/>
        <w:ind w:left="360" w:hanging="360"/>
        <w:jc w:val="both"/>
      </w:pPr>
      <w:r>
        <w:rPr>
          <w:rFonts w:ascii="Times New Roman" w:hAnsi="Times New Roman"/>
          <w:b w:val="0"/>
          <w:i w:val="0"/>
          <w:smallCaps w:val="0"/>
          <w:sz w:val="16"/>
        </w:rPr>
        <w:t>5:</w:t>
        <w:tab/>
      </w:r>
      <w:r>
        <w:rPr>
          <w:rFonts w:ascii="Times New Roman" w:hAnsi="Times New Roman"/>
          <w:b w:val="0"/>
          <w:i w:val="0"/>
          <w:smallCaps w:val="0"/>
          <w:sz w:val="16"/>
        </w:rPr>
        <w:t>Compute the Grad-CAM map [30] for the predicted class.</w:t>
      </w:r>
    </w:p>
    <w:p>
      <w:pPr>
        <w:keepNext w:val="0"/>
        <w:tabs>
          <w:tab w:pos="360" w:val="left"/>
        </w:tabs>
        <w:spacing w:before="0" w:after="0" w:line="240" w:lineRule="auto"/>
        <w:ind w:left="360" w:hanging="360"/>
        <w:jc w:val="both"/>
      </w:pPr>
      <w:r>
        <w:rPr>
          <w:rFonts w:ascii="Times New Roman" w:hAnsi="Times New Roman"/>
          <w:b w:val="0"/>
          <w:i w:val="0"/>
          <w:smallCaps w:val="0"/>
          <w:sz w:val="16"/>
        </w:rPr>
        <w:t>6:</w:t>
        <w:tab/>
      </w:r>
      <w:r>
        <w:rPr>
          <w:rFonts w:ascii="Times New Roman" w:hAnsi="Times New Roman"/>
          <w:b w:val="0"/>
          <w:i w:val="0"/>
          <w:smallCaps w:val="0"/>
          <w:sz w:val="16"/>
        </w:rPr>
        <w:t>Segment the leaf and compute the severity index as the share of leaf pixels flagged by Grad-CAM; map it to one of four stages.</w:t>
      </w:r>
    </w:p>
    <w:p>
      <w:pPr>
        <w:keepNext w:val="0"/>
        <w:pBdr>
          <w:bottom w:val="single" w:sz="6" w:space="1" w:color="000000"/>
        </w:pBdr>
        <w:tabs>
          <w:tab w:pos="360" w:val="left"/>
        </w:tabs>
        <w:spacing w:before="0" w:after="0" w:line="240" w:lineRule="auto"/>
        <w:ind w:left="360" w:hanging="360"/>
        <w:jc w:val="both"/>
      </w:pPr>
      <w:r>
        <w:rPr>
          <w:rFonts w:ascii="Times New Roman" w:hAnsi="Times New Roman"/>
          <w:b w:val="0"/>
          <w:i w:val="0"/>
          <w:smallCaps w:val="0"/>
          <w:sz w:val="16"/>
        </w:rPr>
        <w:t>7:</w:t>
        <w:tab/>
      </w:r>
      <w:r>
        <w:rPr>
          <w:rFonts w:ascii="Times New Roman" w:hAnsi="Times New Roman"/>
          <w:b w:val="0"/>
          <w:i w:val="0"/>
          <w:smallCaps w:val="0"/>
          <w:sz w:val="16"/>
        </w:rPr>
        <w:t>Look up the pathogen, symptoms, organic and chemical controls and prevention for the class, and return the report (optionally as PDF).</w:t>
      </w:r>
    </w:p>
    <w:p>
      <w:pPr>
        <w:keepNext w:val="0"/>
        <w:spacing w:before="0" w:after="0" w:line="240" w:lineRule="auto"/>
        <w:ind w:firstLine="288"/>
        <w:jc w:val="both"/>
      </w:pPr>
      <w:r>
        <w:rPr>
          <w:rFonts w:ascii="Times New Roman" w:hAnsi="Times New Roman"/>
          <w:b w:val="0"/>
          <w:i w:val="0"/>
          <w:smallCaps w:val="0"/>
          <w:sz w:val="20"/>
        </w:rPr>
        <w:t>The application uses the EfficientNetV2-S checkpoint, because standard Grad-CAM gives noisy maps on MSAF, whose per-scale layer normalisation cancels much of the gradient weighting. The severity index is a heuristic, not a laboratory measurement.</w:t>
      </w:r>
    </w:p>
    <w:p>
      <w:pPr>
        <w:keepNext/>
        <w:spacing w:before="120" w:after="60" w:line="240" w:lineRule="auto"/>
        <w:jc w:val="center"/>
      </w:pPr>
      <w:r>
        <w:rPr>
          <w:rFonts w:ascii="Times New Roman" w:hAnsi="Times New Roman"/>
          <w:b w:val="0"/>
          <w:i w:val="0"/>
          <w:smallCaps/>
          <w:sz w:val="20"/>
        </w:rPr>
        <w:t>IV. Results and Discussion</w:t>
      </w:r>
    </w:p>
    <w:p>
      <w:pPr>
        <w:keepNext/>
        <w:spacing w:before="80" w:after="40" w:line="240" w:lineRule="auto"/>
        <w:jc w:val="left"/>
      </w:pPr>
      <w:r>
        <w:rPr>
          <w:rFonts w:ascii="Times New Roman" w:hAnsi="Times New Roman"/>
          <w:b w:val="0"/>
          <w:i/>
          <w:smallCaps w:val="0"/>
          <w:sz w:val="20"/>
        </w:rPr>
        <w:t>A. Experimental Setup</w:t>
      </w:r>
    </w:p>
    <w:p>
      <w:pPr>
        <w:keepNext w:val="0"/>
        <w:spacing w:before="0" w:after="0" w:line="240" w:lineRule="auto"/>
        <w:ind w:firstLine="288"/>
        <w:jc w:val="both"/>
      </w:pPr>
      <w:r>
        <w:rPr>
          <w:rFonts w:ascii="Times New Roman" w:hAnsi="Times New Roman"/>
          <w:b w:val="0"/>
          <w:i w:val="0"/>
          <w:smallCaps w:val="0"/>
          <w:sz w:val="20"/>
        </w:rPr>
        <w:t>All results use the 8,889-image leaf-disjoint test set under clean images and six fixed-severity corruptions in the style of [10] (Gaussian blur, motion blur, sensor noise, low light, JPEG quality 10, overexposure). Metrics are accuracy, macro-F1, mean corrupted accuracy (mCA), expected calibration error (ECE, 15 bins) before and after temperature scaling (TS), and selective prediction [31] on pooled corrupted images: area under the risk–coverage curve (AURC), error-detection AUROC and accuracy at 90% coverage. Paired differences use exact McNemar tests [32] and 95% bootstrap intervals. Latency is per image on the RTX 3050 and a 4-thread CPU.</w:t>
      </w:r>
    </w:p>
    <w:p>
      <w:pPr>
        <w:keepNext/>
        <w:spacing w:before="80" w:after="40" w:line="240" w:lineRule="auto"/>
        <w:jc w:val="left"/>
      </w:pPr>
      <w:r>
        <w:rPr>
          <w:rFonts w:ascii="Times New Roman" w:hAnsi="Times New Roman"/>
          <w:b w:val="0"/>
          <w:i/>
          <w:smallCaps w:val="0"/>
          <w:sz w:val="20"/>
        </w:rPr>
        <w:t>B. Quantitative Results</w:t>
      </w:r>
    </w:p>
    <w:p>
      <w:pPr>
        <w:keepNext w:val="0"/>
        <w:spacing w:before="0" w:after="0" w:line="240" w:lineRule="auto"/>
        <w:ind w:firstLine="288"/>
        <w:jc w:val="both"/>
      </w:pPr>
      <w:r>
        <w:rPr>
          <w:rFonts w:ascii="Times New Roman" w:hAnsi="Times New Roman"/>
          <w:b w:val="0"/>
          <w:i w:val="0"/>
          <w:smallCaps w:val="0"/>
          <w:sz w:val="20"/>
        </w:rPr>
        <w:t>Table IV reports the main results. Clean accuracy spans 99.51–99.62% and no pairwise difference is significant (baseline vs. MSAF p = 0.143; vs. CBAM p = 0.164; field-augmented pair p = 0.86), so clean accuracy cannot separate the architectures.</w:t>
      </w:r>
    </w:p>
    <w:p>
      <w:pPr>
        <w:sectPr>
          <w:type w:val="continuous"/>
          <w:pgSz w:w="12240" w:h="15840"/>
          <w:pgMar w:top="1080" w:right="900" w:bottom="1440" w:left="900" w:header="720" w:footer="720" w:gutter="0"/>
          <w:cols w:space="360" w:num="2"/>
          <w:docGrid w:linePitch="360"/>
        </w:sectPr>
      </w:pPr>
    </w:p>
    <w:p>
      <w:pPr>
        <w:keepNext/>
        <w:spacing w:before="120" w:after="0" w:line="240" w:lineRule="auto"/>
        <w:jc w:val="center"/>
      </w:pPr>
      <w:r>
        <w:rPr>
          <w:rFonts w:ascii="Times New Roman" w:hAnsi="Times New Roman"/>
          <w:b w:val="0"/>
          <w:i w:val="0"/>
          <w:smallCaps w:val="0"/>
          <w:sz w:val="16"/>
        </w:rPr>
        <w:t>TABLE IV</w:t>
      </w:r>
    </w:p>
    <w:p>
      <w:pPr>
        <w:keepNext/>
        <w:spacing w:before="0" w:after="60" w:line="240" w:lineRule="auto"/>
        <w:jc w:val="center"/>
      </w:pPr>
      <w:r>
        <w:rPr>
          <w:rFonts w:ascii="Times New Roman" w:hAnsi="Times New Roman"/>
          <w:b w:val="0"/>
          <w:i w:val="0"/>
          <w:smallCaps/>
          <w:sz w:val="16"/>
        </w:rPr>
        <w:t>Main results on the leaf-disjoint test set (8,889 images)</w:t>
      </w:r>
    </w:p>
    <w:tbl>
      <w:tblPr>
        <w:tblW w:type="auto" w:w="0"/>
        <w:jc w:val="center"/>
        <w:tblLayout w:type="fixed"/>
        <w:tblBorders>
          <w:top w:val="single" w:sz="4" w:color="000000"/>
          <w:bottom w:val="single" w:sz="4" w:color="000000"/>
          <w:insideH w:val="single" w:sz="4" w:color="000000"/>
        </w:tblBorders>
        <w:tblCellMar>
          <w:left w:w="50" w:type="dxa"/>
          <w:right w:w="50" w:type="dxa"/>
        </w:tblCellMar>
        <w:tblLook w:firstColumn="1" w:firstRow="1" w:lastColumn="0" w:lastRow="0" w:noHBand="0" w:noVBand="1" w:val="04A0"/>
      </w:tblPr>
      <w:tblGrid>
        <w:gridCol w:w="949"/>
        <w:gridCol w:w="949"/>
        <w:gridCol w:w="949"/>
        <w:gridCol w:w="949"/>
        <w:gridCol w:w="949"/>
        <w:gridCol w:w="949"/>
        <w:gridCol w:w="949"/>
        <w:gridCol w:w="949"/>
        <w:gridCol w:w="949"/>
        <w:gridCol w:w="949"/>
        <w:gridCol w:w="949"/>
      </w:tblGrid>
      <w:tr>
        <w:trPr>
          <w:cantSplit/>
        </w:trPr>
        <w:tc>
          <w:tcPr>
            <w:tcW w:type="dxa" w:w="1712"/>
          </w:tcPr>
          <w:p>
            <w:pPr>
              <w:keepNext w:val="0"/>
              <w:spacing w:before="0" w:after="0" w:line="240" w:lineRule="auto"/>
              <w:jc w:val="center"/>
            </w:pPr>
            <w:r>
              <w:rPr>
                <w:rFonts w:ascii="Times New Roman" w:hAnsi="Times New Roman"/>
                <w:b/>
                <w:i w:val="0"/>
                <w:smallCaps w:val="0"/>
                <w:sz w:val="14"/>
              </w:rPr>
              <w:t>Model</w:t>
            </w:r>
          </w:p>
        </w:tc>
        <w:tc>
          <w:tcPr>
            <w:tcW w:type="dxa" w:w="720"/>
          </w:tcPr>
          <w:p>
            <w:pPr>
              <w:keepNext w:val="0"/>
              <w:spacing w:before="0" w:after="0" w:line="240" w:lineRule="auto"/>
              <w:jc w:val="center"/>
            </w:pPr>
            <w:r>
              <w:rPr>
                <w:rFonts w:ascii="Times New Roman" w:hAnsi="Times New Roman"/>
                <w:b/>
                <w:i w:val="0"/>
                <w:smallCaps w:val="0"/>
                <w:sz w:val="14"/>
              </w:rPr>
              <w:t>Params (M)</w:t>
            </w:r>
          </w:p>
        </w:tc>
        <w:tc>
          <w:tcPr>
            <w:tcW w:type="dxa" w:w="822"/>
          </w:tcPr>
          <w:p>
            <w:pPr>
              <w:keepNext w:val="0"/>
              <w:spacing w:before="0" w:after="0" w:line="240" w:lineRule="auto"/>
              <w:jc w:val="center"/>
            </w:pPr>
            <w:r>
              <w:rPr>
                <w:rFonts w:ascii="Times New Roman" w:hAnsi="Times New Roman"/>
                <w:b/>
                <w:i w:val="0"/>
                <w:smallCaps w:val="0"/>
                <w:sz w:val="14"/>
              </w:rPr>
              <w:t>Clean acc. (%)</w:t>
            </w:r>
          </w:p>
        </w:tc>
        <w:tc>
          <w:tcPr>
            <w:tcW w:type="dxa" w:w="727"/>
          </w:tcPr>
          <w:p>
            <w:pPr>
              <w:keepNext w:val="0"/>
              <w:spacing w:before="0" w:after="0" w:line="240" w:lineRule="auto"/>
              <w:jc w:val="center"/>
            </w:pPr>
            <w:r>
              <w:rPr>
                <w:rFonts w:ascii="Times New Roman" w:hAnsi="Times New Roman"/>
                <w:b/>
                <w:i w:val="0"/>
                <w:smallCaps w:val="0"/>
                <w:sz w:val="14"/>
              </w:rPr>
              <w:t>Macro-F1 (%)</w:t>
            </w:r>
          </w:p>
        </w:tc>
        <w:tc>
          <w:tcPr>
            <w:tcW w:type="dxa" w:w="720"/>
          </w:tcPr>
          <w:p>
            <w:pPr>
              <w:keepNext w:val="0"/>
              <w:spacing w:before="0" w:after="0" w:line="240" w:lineRule="auto"/>
              <w:jc w:val="center"/>
            </w:pPr>
            <w:r>
              <w:rPr>
                <w:rFonts w:ascii="Times New Roman" w:hAnsi="Times New Roman"/>
                <w:b/>
                <w:i w:val="0"/>
                <w:smallCaps w:val="0"/>
                <w:sz w:val="14"/>
              </w:rPr>
              <w:t>mCA (%)</w:t>
            </w:r>
          </w:p>
        </w:tc>
        <w:tc>
          <w:tcPr>
            <w:tcW w:type="dxa" w:w="720"/>
          </w:tcPr>
          <w:p>
            <w:pPr>
              <w:keepNext w:val="0"/>
              <w:spacing w:before="0" w:after="0" w:line="240" w:lineRule="auto"/>
              <w:jc w:val="center"/>
            </w:pPr>
            <w:r>
              <w:rPr>
                <w:rFonts w:ascii="Times New Roman" w:hAnsi="Times New Roman"/>
                <w:b/>
                <w:i w:val="0"/>
                <w:smallCaps w:val="0"/>
                <w:sz w:val="14"/>
              </w:rPr>
              <w:t>ECE raw (%)</w:t>
            </w:r>
          </w:p>
        </w:tc>
        <w:tc>
          <w:tcPr>
            <w:tcW w:type="dxa" w:w="915"/>
          </w:tcPr>
          <w:p>
            <w:pPr>
              <w:keepNext w:val="0"/>
              <w:spacing w:before="0" w:after="0" w:line="240" w:lineRule="auto"/>
              <w:jc w:val="center"/>
            </w:pPr>
            <w:r>
              <w:rPr>
                <w:rFonts w:ascii="Times New Roman" w:hAnsi="Times New Roman"/>
                <w:b/>
                <w:i w:val="0"/>
                <w:smallCaps w:val="0"/>
                <w:sz w:val="14"/>
              </w:rPr>
              <w:t>ECE after TS (%)</w:t>
            </w:r>
          </w:p>
        </w:tc>
        <w:tc>
          <w:tcPr>
            <w:tcW w:type="dxa" w:w="1349"/>
          </w:tcPr>
          <w:p>
            <w:pPr>
              <w:keepNext w:val="0"/>
              <w:spacing w:before="0" w:after="0" w:line="240" w:lineRule="auto"/>
              <w:jc w:val="center"/>
            </w:pPr>
            <w:r>
              <w:rPr>
                <w:rFonts w:ascii="Times New Roman" w:hAnsi="Times New Roman"/>
                <w:b/>
                <w:i w:val="0"/>
                <w:smallCaps w:val="0"/>
                <w:sz w:val="14"/>
              </w:rPr>
              <w:t>Corrupted ECE after TS (%)</w:t>
            </w:r>
          </w:p>
        </w:tc>
        <w:tc>
          <w:tcPr>
            <w:tcW w:type="dxa" w:w="720"/>
          </w:tcPr>
          <w:p>
            <w:pPr>
              <w:keepNext w:val="0"/>
              <w:spacing w:before="0" w:after="0" w:line="240" w:lineRule="auto"/>
              <w:jc w:val="center"/>
            </w:pPr>
            <w:r>
              <w:rPr>
                <w:rFonts w:ascii="Times New Roman" w:hAnsi="Times New Roman"/>
                <w:b/>
                <w:i w:val="0"/>
                <w:smallCaps w:val="0"/>
                <w:sz w:val="14"/>
              </w:rPr>
              <w:t>AURC (%)</w:t>
            </w:r>
          </w:p>
        </w:tc>
        <w:tc>
          <w:tcPr>
            <w:tcW w:type="dxa" w:w="1308"/>
          </w:tcPr>
          <w:p>
            <w:pPr>
              <w:keepNext w:val="0"/>
              <w:spacing w:before="0" w:after="0" w:line="240" w:lineRule="auto"/>
              <w:jc w:val="center"/>
            </w:pPr>
            <w:r>
              <w:rPr>
                <w:rFonts w:ascii="Times New Roman" w:hAnsi="Times New Roman"/>
                <w:b/>
                <w:i w:val="0"/>
                <w:smallCaps w:val="0"/>
                <w:sz w:val="14"/>
              </w:rPr>
              <w:t>Error-detection AUROC (%)</w:t>
            </w:r>
          </w:p>
        </w:tc>
        <w:tc>
          <w:tcPr>
            <w:tcW w:type="dxa" w:w="727"/>
          </w:tcPr>
          <w:p>
            <w:pPr>
              <w:keepNext w:val="0"/>
              <w:spacing w:before="0" w:after="0" w:line="240" w:lineRule="auto"/>
              <w:jc w:val="center"/>
            </w:pPr>
            <w:r>
              <w:rPr>
                <w:rFonts w:ascii="Times New Roman" w:hAnsi="Times New Roman"/>
                <w:b/>
                <w:i w:val="0"/>
                <w:smallCaps w:val="0"/>
                <w:sz w:val="14"/>
              </w:rPr>
              <w:t>Field photos</w:t>
            </w:r>
          </w:p>
        </w:tc>
      </w:tr>
      <w:tr>
        <w:trPr>
          <w:cantSplit/>
        </w:trPr>
        <w:tc>
          <w:tcPr>
            <w:tcW w:type="dxa" w:w="1712"/>
          </w:tcPr>
          <w:p>
            <w:pPr>
              <w:keepNext w:val="0"/>
              <w:spacing w:before="0" w:after="0" w:line="240" w:lineRule="auto"/>
              <w:jc w:val="left"/>
            </w:pPr>
            <w:r>
              <w:rPr>
                <w:rFonts w:ascii="Times New Roman" w:hAnsi="Times New Roman"/>
                <w:b w:val="0"/>
                <w:i w:val="0"/>
                <w:smallCaps w:val="0"/>
                <w:sz w:val="14"/>
              </w:rPr>
              <w:t>EfficientNetV2-S (baseline)</w:t>
            </w:r>
          </w:p>
        </w:tc>
        <w:tc>
          <w:tcPr>
            <w:tcW w:type="dxa" w:w="720"/>
          </w:tcPr>
          <w:p>
            <w:pPr>
              <w:keepNext w:val="0"/>
              <w:spacing w:before="0" w:after="0" w:line="240" w:lineRule="auto"/>
              <w:jc w:val="center"/>
            </w:pPr>
            <w:r>
              <w:rPr>
                <w:rFonts w:ascii="Times New Roman" w:hAnsi="Times New Roman"/>
                <w:b w:val="0"/>
                <w:i w:val="0"/>
                <w:smallCaps w:val="0"/>
                <w:sz w:val="14"/>
              </w:rPr>
              <w:t>20.23</w:t>
            </w:r>
          </w:p>
        </w:tc>
        <w:tc>
          <w:tcPr>
            <w:tcW w:type="dxa" w:w="822"/>
          </w:tcPr>
          <w:p>
            <w:pPr>
              <w:keepNext w:val="0"/>
              <w:spacing w:before="0" w:after="0" w:line="240" w:lineRule="auto"/>
              <w:jc w:val="center"/>
            </w:pPr>
            <w:r>
              <w:rPr>
                <w:rFonts w:ascii="Times New Roman" w:hAnsi="Times New Roman"/>
                <w:b w:val="0"/>
                <w:i w:val="0"/>
                <w:smallCaps w:val="0"/>
                <w:sz w:val="14"/>
              </w:rPr>
              <w:t>99.62</w:t>
            </w:r>
          </w:p>
        </w:tc>
        <w:tc>
          <w:tcPr>
            <w:tcW w:type="dxa" w:w="727"/>
          </w:tcPr>
          <w:p>
            <w:pPr>
              <w:keepNext w:val="0"/>
              <w:spacing w:before="0" w:after="0" w:line="240" w:lineRule="auto"/>
              <w:jc w:val="center"/>
            </w:pPr>
            <w:r>
              <w:rPr>
                <w:rFonts w:ascii="Times New Roman" w:hAnsi="Times New Roman"/>
                <w:b w:val="0"/>
                <w:i w:val="0"/>
                <w:smallCaps w:val="0"/>
                <w:sz w:val="14"/>
              </w:rPr>
              <w:t>99.61</w:t>
            </w:r>
          </w:p>
        </w:tc>
        <w:tc>
          <w:tcPr>
            <w:tcW w:type="dxa" w:w="720"/>
          </w:tcPr>
          <w:p>
            <w:pPr>
              <w:keepNext w:val="0"/>
              <w:spacing w:before="0" w:after="0" w:line="240" w:lineRule="auto"/>
              <w:jc w:val="center"/>
            </w:pPr>
            <w:r>
              <w:rPr>
                <w:rFonts w:ascii="Times New Roman" w:hAnsi="Times New Roman"/>
                <w:b w:val="0"/>
                <w:i w:val="0"/>
                <w:smallCaps w:val="0"/>
                <w:sz w:val="14"/>
              </w:rPr>
              <w:t>82.20</w:t>
            </w:r>
          </w:p>
        </w:tc>
        <w:tc>
          <w:tcPr>
            <w:tcW w:type="dxa" w:w="720"/>
          </w:tcPr>
          <w:p>
            <w:pPr>
              <w:keepNext w:val="0"/>
              <w:spacing w:before="0" w:after="0" w:line="240" w:lineRule="auto"/>
              <w:jc w:val="center"/>
            </w:pPr>
            <w:r>
              <w:rPr>
                <w:rFonts w:ascii="Times New Roman" w:hAnsi="Times New Roman"/>
                <w:b w:val="0"/>
                <w:i w:val="0"/>
                <w:smallCaps w:val="0"/>
                <w:sz w:val="14"/>
              </w:rPr>
              <w:t>10.57</w:t>
            </w:r>
          </w:p>
        </w:tc>
        <w:tc>
          <w:tcPr>
            <w:tcW w:type="dxa" w:w="915"/>
          </w:tcPr>
          <w:p>
            <w:pPr>
              <w:keepNext w:val="0"/>
              <w:spacing w:before="0" w:after="0" w:line="240" w:lineRule="auto"/>
              <w:jc w:val="center"/>
            </w:pPr>
            <w:r>
              <w:rPr>
                <w:rFonts w:ascii="Times New Roman" w:hAnsi="Times New Roman"/>
                <w:b w:val="0"/>
                <w:i w:val="0"/>
                <w:smallCaps w:val="0"/>
                <w:sz w:val="14"/>
              </w:rPr>
              <w:t>0.17</w:t>
            </w:r>
          </w:p>
        </w:tc>
        <w:tc>
          <w:tcPr>
            <w:tcW w:type="dxa" w:w="1349"/>
          </w:tcPr>
          <w:p>
            <w:pPr>
              <w:keepNext w:val="0"/>
              <w:spacing w:before="0" w:after="0" w:line="240" w:lineRule="auto"/>
              <w:jc w:val="center"/>
            </w:pPr>
            <w:r>
              <w:rPr>
                <w:rFonts w:ascii="Times New Roman" w:hAnsi="Times New Roman"/>
                <w:b w:val="0"/>
                <w:i w:val="0"/>
                <w:smallCaps w:val="0"/>
                <w:sz w:val="14"/>
              </w:rPr>
              <w:t>12.23</w:t>
            </w:r>
          </w:p>
        </w:tc>
        <w:tc>
          <w:tcPr>
            <w:tcW w:type="dxa" w:w="720"/>
          </w:tcPr>
          <w:p>
            <w:pPr>
              <w:keepNext w:val="0"/>
              <w:spacing w:before="0" w:after="0" w:line="240" w:lineRule="auto"/>
              <w:jc w:val="center"/>
            </w:pPr>
            <w:r>
              <w:rPr>
                <w:rFonts w:ascii="Times New Roman" w:hAnsi="Times New Roman"/>
                <w:b w:val="0"/>
                <w:i w:val="0"/>
                <w:smallCaps w:val="0"/>
                <w:sz w:val="14"/>
              </w:rPr>
              <w:t>5.21</w:t>
            </w:r>
          </w:p>
        </w:tc>
        <w:tc>
          <w:tcPr>
            <w:tcW w:type="dxa" w:w="1308"/>
          </w:tcPr>
          <w:p>
            <w:pPr>
              <w:keepNext w:val="0"/>
              <w:spacing w:before="0" w:after="0" w:line="240" w:lineRule="auto"/>
              <w:jc w:val="center"/>
            </w:pPr>
            <w:r>
              <w:rPr>
                <w:rFonts w:ascii="Times New Roman" w:hAnsi="Times New Roman"/>
                <w:b w:val="0"/>
                <w:i w:val="0"/>
                <w:smallCaps w:val="0"/>
                <w:sz w:val="14"/>
              </w:rPr>
              <w:t>85.49</w:t>
            </w:r>
          </w:p>
        </w:tc>
        <w:tc>
          <w:tcPr>
            <w:tcW w:type="dxa" w:w="727"/>
          </w:tcPr>
          <w:p>
            <w:pPr>
              <w:keepNext w:val="0"/>
              <w:spacing w:before="0" w:after="0" w:line="240" w:lineRule="auto"/>
              <w:jc w:val="center"/>
            </w:pPr>
            <w:r>
              <w:rPr>
                <w:rFonts w:ascii="Times New Roman" w:hAnsi="Times New Roman"/>
                <w:b w:val="0"/>
                <w:i w:val="0"/>
                <w:smallCaps w:val="0"/>
                <w:sz w:val="14"/>
              </w:rPr>
              <w:t>6/8</w:t>
            </w:r>
          </w:p>
        </w:tc>
      </w:tr>
      <w:tr>
        <w:trPr>
          <w:cantSplit/>
        </w:trPr>
        <w:tc>
          <w:tcPr>
            <w:tcW w:type="dxa" w:w="1712"/>
          </w:tcPr>
          <w:p>
            <w:pPr>
              <w:keepNext w:val="0"/>
              <w:spacing w:before="0" w:after="0" w:line="240" w:lineRule="auto"/>
              <w:jc w:val="left"/>
            </w:pPr>
            <w:r>
              <w:rPr>
                <w:rFonts w:ascii="Times New Roman" w:hAnsi="Times New Roman"/>
                <w:b w:val="0"/>
                <w:i w:val="0"/>
                <w:smallCaps w:val="0"/>
                <w:sz w:val="14"/>
              </w:rPr>
              <w:t>+ CBAM</w:t>
            </w:r>
          </w:p>
        </w:tc>
        <w:tc>
          <w:tcPr>
            <w:tcW w:type="dxa" w:w="720"/>
          </w:tcPr>
          <w:p>
            <w:pPr>
              <w:keepNext w:val="0"/>
              <w:spacing w:before="0" w:after="0" w:line="240" w:lineRule="auto"/>
              <w:jc w:val="center"/>
            </w:pPr>
            <w:r>
              <w:rPr>
                <w:rFonts w:ascii="Times New Roman" w:hAnsi="Times New Roman"/>
                <w:b w:val="0"/>
                <w:i w:val="0"/>
                <w:smallCaps w:val="0"/>
                <w:sz w:val="14"/>
              </w:rPr>
              <w:t>20.43</w:t>
            </w:r>
          </w:p>
        </w:tc>
        <w:tc>
          <w:tcPr>
            <w:tcW w:type="dxa" w:w="822"/>
          </w:tcPr>
          <w:p>
            <w:pPr>
              <w:keepNext w:val="0"/>
              <w:spacing w:before="0" w:after="0" w:line="240" w:lineRule="auto"/>
              <w:jc w:val="center"/>
            </w:pPr>
            <w:r>
              <w:rPr>
                <w:rFonts w:ascii="Times New Roman" w:hAnsi="Times New Roman"/>
                <w:b w:val="0"/>
                <w:i w:val="0"/>
                <w:smallCaps w:val="0"/>
                <w:sz w:val="14"/>
              </w:rPr>
              <w:t>99.51</w:t>
            </w:r>
          </w:p>
        </w:tc>
        <w:tc>
          <w:tcPr>
            <w:tcW w:type="dxa" w:w="727"/>
          </w:tcPr>
          <w:p>
            <w:pPr>
              <w:keepNext w:val="0"/>
              <w:spacing w:before="0" w:after="0" w:line="240" w:lineRule="auto"/>
              <w:jc w:val="center"/>
            </w:pPr>
            <w:r>
              <w:rPr>
                <w:rFonts w:ascii="Times New Roman" w:hAnsi="Times New Roman"/>
                <w:b w:val="0"/>
                <w:i w:val="0"/>
                <w:smallCaps w:val="0"/>
                <w:sz w:val="14"/>
              </w:rPr>
              <w:t>99.51</w:t>
            </w:r>
          </w:p>
        </w:tc>
        <w:tc>
          <w:tcPr>
            <w:tcW w:type="dxa" w:w="720"/>
          </w:tcPr>
          <w:p>
            <w:pPr>
              <w:keepNext w:val="0"/>
              <w:spacing w:before="0" w:after="0" w:line="240" w:lineRule="auto"/>
              <w:jc w:val="center"/>
            </w:pPr>
            <w:r>
              <w:rPr>
                <w:rFonts w:ascii="Times New Roman" w:hAnsi="Times New Roman"/>
                <w:b w:val="0"/>
                <w:i w:val="0"/>
                <w:smallCaps w:val="0"/>
                <w:sz w:val="14"/>
              </w:rPr>
              <w:t>83.08</w:t>
            </w:r>
          </w:p>
        </w:tc>
        <w:tc>
          <w:tcPr>
            <w:tcW w:type="dxa" w:w="720"/>
          </w:tcPr>
          <w:p>
            <w:pPr>
              <w:keepNext w:val="0"/>
              <w:spacing w:before="0" w:after="0" w:line="240" w:lineRule="auto"/>
              <w:jc w:val="center"/>
            </w:pPr>
            <w:r>
              <w:rPr>
                <w:rFonts w:ascii="Times New Roman" w:hAnsi="Times New Roman"/>
                <w:b w:val="0"/>
                <w:i w:val="0"/>
                <w:smallCaps w:val="0"/>
                <w:sz w:val="14"/>
              </w:rPr>
              <w:t>10.17</w:t>
            </w:r>
          </w:p>
        </w:tc>
        <w:tc>
          <w:tcPr>
            <w:tcW w:type="dxa" w:w="915"/>
          </w:tcPr>
          <w:p>
            <w:pPr>
              <w:keepNext w:val="0"/>
              <w:spacing w:before="0" w:after="0" w:line="240" w:lineRule="auto"/>
              <w:jc w:val="center"/>
            </w:pPr>
            <w:r>
              <w:rPr>
                <w:rFonts w:ascii="Times New Roman" w:hAnsi="Times New Roman"/>
                <w:b w:val="0"/>
                <w:i w:val="0"/>
                <w:smallCaps w:val="0"/>
                <w:sz w:val="14"/>
              </w:rPr>
              <w:t>0.29</w:t>
            </w:r>
          </w:p>
        </w:tc>
        <w:tc>
          <w:tcPr>
            <w:tcW w:type="dxa" w:w="1349"/>
          </w:tcPr>
          <w:p>
            <w:pPr>
              <w:keepNext w:val="0"/>
              <w:spacing w:before="0" w:after="0" w:line="240" w:lineRule="auto"/>
              <w:jc w:val="center"/>
            </w:pPr>
            <w:r>
              <w:rPr>
                <w:rFonts w:ascii="Times New Roman" w:hAnsi="Times New Roman"/>
                <w:b w:val="0"/>
                <w:i w:val="0"/>
                <w:smallCaps w:val="0"/>
                <w:sz w:val="14"/>
              </w:rPr>
              <w:t>11.65</w:t>
            </w:r>
          </w:p>
        </w:tc>
        <w:tc>
          <w:tcPr>
            <w:tcW w:type="dxa" w:w="720"/>
          </w:tcPr>
          <w:p>
            <w:pPr>
              <w:keepNext w:val="0"/>
              <w:spacing w:before="0" w:after="0" w:line="240" w:lineRule="auto"/>
              <w:jc w:val="center"/>
            </w:pPr>
            <w:r>
              <w:rPr>
                <w:rFonts w:ascii="Times New Roman" w:hAnsi="Times New Roman"/>
                <w:b w:val="0"/>
                <w:i w:val="0"/>
                <w:smallCaps w:val="0"/>
                <w:sz w:val="14"/>
              </w:rPr>
              <w:t>5.16</w:t>
            </w:r>
          </w:p>
        </w:tc>
        <w:tc>
          <w:tcPr>
            <w:tcW w:type="dxa" w:w="1308"/>
          </w:tcPr>
          <w:p>
            <w:pPr>
              <w:keepNext w:val="0"/>
              <w:spacing w:before="0" w:after="0" w:line="240" w:lineRule="auto"/>
              <w:jc w:val="center"/>
            </w:pPr>
            <w:r>
              <w:rPr>
                <w:rFonts w:ascii="Times New Roman" w:hAnsi="Times New Roman"/>
                <w:b w:val="0"/>
                <w:i w:val="0"/>
                <w:smallCaps w:val="0"/>
                <w:sz w:val="14"/>
              </w:rPr>
              <w:t>85.29</w:t>
            </w:r>
          </w:p>
        </w:tc>
        <w:tc>
          <w:tcPr>
            <w:tcW w:type="dxa" w:w="727"/>
          </w:tcPr>
          <w:p>
            <w:pPr>
              <w:keepNext w:val="0"/>
              <w:spacing w:before="0" w:after="0" w:line="240" w:lineRule="auto"/>
              <w:jc w:val="center"/>
            </w:pPr>
            <w:r>
              <w:rPr>
                <w:rFonts w:ascii="Times New Roman" w:hAnsi="Times New Roman"/>
                <w:b w:val="0"/>
                <w:i w:val="0"/>
                <w:smallCaps w:val="0"/>
                <w:sz w:val="14"/>
              </w:rPr>
              <w:t>8/8</w:t>
            </w:r>
          </w:p>
        </w:tc>
      </w:tr>
      <w:tr>
        <w:trPr>
          <w:cantSplit/>
        </w:trPr>
        <w:tc>
          <w:tcPr>
            <w:tcW w:type="dxa" w:w="1712"/>
          </w:tcPr>
          <w:p>
            <w:pPr>
              <w:keepNext w:val="0"/>
              <w:spacing w:before="0" w:after="0" w:line="240" w:lineRule="auto"/>
              <w:jc w:val="left"/>
            </w:pPr>
            <w:r>
              <w:rPr>
                <w:rFonts w:ascii="Times New Roman" w:hAnsi="Times New Roman"/>
                <w:b w:val="0"/>
                <w:i w:val="0"/>
                <w:smallCaps w:val="0"/>
                <w:sz w:val="14"/>
              </w:rPr>
              <w:t>EfficientNetV2-MSAF</w:t>
            </w:r>
          </w:p>
        </w:tc>
        <w:tc>
          <w:tcPr>
            <w:tcW w:type="dxa" w:w="720"/>
          </w:tcPr>
          <w:p>
            <w:pPr>
              <w:keepNext w:val="0"/>
              <w:spacing w:before="0" w:after="0" w:line="240" w:lineRule="auto"/>
              <w:jc w:val="center"/>
            </w:pPr>
            <w:r>
              <w:rPr>
                <w:rFonts w:ascii="Times New Roman" w:hAnsi="Times New Roman"/>
                <w:b w:val="0"/>
                <w:i w:val="0"/>
                <w:smallCaps w:val="0"/>
                <w:sz w:val="14"/>
              </w:rPr>
              <w:t>20.45</w:t>
            </w:r>
          </w:p>
        </w:tc>
        <w:tc>
          <w:tcPr>
            <w:tcW w:type="dxa" w:w="822"/>
          </w:tcPr>
          <w:p>
            <w:pPr>
              <w:keepNext w:val="0"/>
              <w:spacing w:before="0" w:after="0" w:line="240" w:lineRule="auto"/>
              <w:jc w:val="center"/>
            </w:pPr>
            <w:r>
              <w:rPr>
                <w:rFonts w:ascii="Times New Roman" w:hAnsi="Times New Roman"/>
                <w:b w:val="0"/>
                <w:i w:val="0"/>
                <w:smallCaps w:val="0"/>
                <w:sz w:val="14"/>
              </w:rPr>
              <w:t>99.51</w:t>
            </w:r>
          </w:p>
        </w:tc>
        <w:tc>
          <w:tcPr>
            <w:tcW w:type="dxa" w:w="727"/>
          </w:tcPr>
          <w:p>
            <w:pPr>
              <w:keepNext w:val="0"/>
              <w:spacing w:before="0" w:after="0" w:line="240" w:lineRule="auto"/>
              <w:jc w:val="center"/>
            </w:pPr>
            <w:r>
              <w:rPr>
                <w:rFonts w:ascii="Times New Roman" w:hAnsi="Times New Roman"/>
                <w:b w:val="0"/>
                <w:i w:val="0"/>
                <w:smallCaps w:val="0"/>
                <w:sz w:val="14"/>
              </w:rPr>
              <w:t>99.51</w:t>
            </w:r>
          </w:p>
        </w:tc>
        <w:tc>
          <w:tcPr>
            <w:tcW w:type="dxa" w:w="720"/>
          </w:tcPr>
          <w:p>
            <w:pPr>
              <w:keepNext w:val="0"/>
              <w:spacing w:before="0" w:after="0" w:line="240" w:lineRule="auto"/>
              <w:jc w:val="center"/>
            </w:pPr>
            <w:r>
              <w:rPr>
                <w:rFonts w:ascii="Times New Roman" w:hAnsi="Times New Roman"/>
                <w:b w:val="0"/>
                <w:i w:val="0"/>
                <w:smallCaps w:val="0"/>
                <w:sz w:val="14"/>
              </w:rPr>
              <w:t>82.99</w:t>
            </w:r>
          </w:p>
        </w:tc>
        <w:tc>
          <w:tcPr>
            <w:tcW w:type="dxa" w:w="720"/>
          </w:tcPr>
          <w:p>
            <w:pPr>
              <w:keepNext w:val="0"/>
              <w:spacing w:before="0" w:after="0" w:line="240" w:lineRule="auto"/>
              <w:jc w:val="center"/>
            </w:pPr>
            <w:r>
              <w:rPr>
                <w:rFonts w:ascii="Times New Roman" w:hAnsi="Times New Roman"/>
                <w:b/>
                <w:i w:val="0"/>
                <w:smallCaps w:val="0"/>
                <w:sz w:val="14"/>
              </w:rPr>
              <w:t>5.14</w:t>
            </w:r>
          </w:p>
        </w:tc>
        <w:tc>
          <w:tcPr>
            <w:tcW w:type="dxa" w:w="915"/>
          </w:tcPr>
          <w:p>
            <w:pPr>
              <w:keepNext w:val="0"/>
              <w:spacing w:before="0" w:after="0" w:line="240" w:lineRule="auto"/>
              <w:jc w:val="center"/>
            </w:pPr>
            <w:r>
              <w:rPr>
                <w:rFonts w:ascii="Times New Roman" w:hAnsi="Times New Roman"/>
                <w:b w:val="0"/>
                <w:i w:val="0"/>
                <w:smallCaps w:val="0"/>
                <w:sz w:val="14"/>
              </w:rPr>
              <w:t>0.29</w:t>
            </w:r>
          </w:p>
        </w:tc>
        <w:tc>
          <w:tcPr>
            <w:tcW w:type="dxa" w:w="1349"/>
          </w:tcPr>
          <w:p>
            <w:pPr>
              <w:keepNext w:val="0"/>
              <w:spacing w:before="0" w:after="0" w:line="240" w:lineRule="auto"/>
              <w:jc w:val="center"/>
            </w:pPr>
            <w:r>
              <w:rPr>
                <w:rFonts w:ascii="Times New Roman" w:hAnsi="Times New Roman"/>
                <w:b w:val="0"/>
                <w:i w:val="0"/>
                <w:smallCaps w:val="0"/>
                <w:sz w:val="14"/>
              </w:rPr>
              <w:t>10.83</w:t>
            </w:r>
          </w:p>
        </w:tc>
        <w:tc>
          <w:tcPr>
            <w:tcW w:type="dxa" w:w="720"/>
          </w:tcPr>
          <w:p>
            <w:pPr>
              <w:keepNext w:val="0"/>
              <w:spacing w:before="0" w:after="0" w:line="240" w:lineRule="auto"/>
              <w:jc w:val="center"/>
            </w:pPr>
            <w:r>
              <w:rPr>
                <w:rFonts w:ascii="Times New Roman" w:hAnsi="Times New Roman"/>
                <w:b w:val="0"/>
                <w:i w:val="0"/>
                <w:smallCaps w:val="0"/>
                <w:sz w:val="14"/>
              </w:rPr>
              <w:t>4.16</w:t>
            </w:r>
          </w:p>
        </w:tc>
        <w:tc>
          <w:tcPr>
            <w:tcW w:type="dxa" w:w="1308"/>
          </w:tcPr>
          <w:p>
            <w:pPr>
              <w:keepNext w:val="0"/>
              <w:spacing w:before="0" w:after="0" w:line="240" w:lineRule="auto"/>
              <w:jc w:val="center"/>
            </w:pPr>
            <w:r>
              <w:rPr>
                <w:rFonts w:ascii="Times New Roman" w:hAnsi="Times New Roman"/>
                <w:b w:val="0"/>
                <w:i w:val="0"/>
                <w:smallCaps w:val="0"/>
                <w:sz w:val="14"/>
              </w:rPr>
              <w:t>87.27</w:t>
            </w:r>
          </w:p>
        </w:tc>
        <w:tc>
          <w:tcPr>
            <w:tcW w:type="dxa" w:w="727"/>
          </w:tcPr>
          <w:p>
            <w:pPr>
              <w:keepNext w:val="0"/>
              <w:spacing w:before="0" w:after="0" w:line="240" w:lineRule="auto"/>
              <w:jc w:val="center"/>
            </w:pPr>
            <w:r>
              <w:rPr>
                <w:rFonts w:ascii="Times New Roman" w:hAnsi="Times New Roman"/>
                <w:b w:val="0"/>
                <w:i w:val="0"/>
                <w:smallCaps w:val="0"/>
                <w:sz w:val="14"/>
              </w:rPr>
              <w:t>8/8</w:t>
            </w:r>
          </w:p>
        </w:tc>
      </w:tr>
      <w:tr>
        <w:trPr>
          <w:cantSplit/>
        </w:trPr>
        <w:tc>
          <w:tcPr>
            <w:tcW w:type="dxa" w:w="1712"/>
          </w:tcPr>
          <w:p>
            <w:pPr>
              <w:keepNext w:val="0"/>
              <w:spacing w:before="0" w:after="0" w:line="240" w:lineRule="auto"/>
              <w:jc w:val="left"/>
            </w:pPr>
            <w:r>
              <w:rPr>
                <w:rFonts w:ascii="Times New Roman" w:hAnsi="Times New Roman"/>
                <w:b w:val="0"/>
                <w:i w:val="0"/>
                <w:smallCaps w:val="0"/>
                <w:sz w:val="14"/>
              </w:rPr>
              <w:t>Baseline + field aug.</w:t>
            </w:r>
          </w:p>
        </w:tc>
        <w:tc>
          <w:tcPr>
            <w:tcW w:type="dxa" w:w="720"/>
          </w:tcPr>
          <w:p>
            <w:pPr>
              <w:keepNext w:val="0"/>
              <w:spacing w:before="0" w:after="0" w:line="240" w:lineRule="auto"/>
              <w:jc w:val="center"/>
            </w:pPr>
            <w:r>
              <w:rPr>
                <w:rFonts w:ascii="Times New Roman" w:hAnsi="Times New Roman"/>
                <w:b w:val="0"/>
                <w:i w:val="0"/>
                <w:smallCaps w:val="0"/>
                <w:sz w:val="14"/>
              </w:rPr>
              <w:t>20.23</w:t>
            </w:r>
          </w:p>
        </w:tc>
        <w:tc>
          <w:tcPr>
            <w:tcW w:type="dxa" w:w="822"/>
          </w:tcPr>
          <w:p>
            <w:pPr>
              <w:keepNext w:val="0"/>
              <w:spacing w:before="0" w:after="0" w:line="240" w:lineRule="auto"/>
              <w:jc w:val="center"/>
            </w:pPr>
            <w:r>
              <w:rPr>
                <w:rFonts w:ascii="Times New Roman" w:hAnsi="Times New Roman"/>
                <w:b w:val="0"/>
                <w:i w:val="0"/>
                <w:smallCaps w:val="0"/>
                <w:sz w:val="14"/>
              </w:rPr>
              <w:t>99.58</w:t>
            </w:r>
          </w:p>
        </w:tc>
        <w:tc>
          <w:tcPr>
            <w:tcW w:type="dxa" w:w="727"/>
          </w:tcPr>
          <w:p>
            <w:pPr>
              <w:keepNext w:val="0"/>
              <w:spacing w:before="0" w:after="0" w:line="240" w:lineRule="auto"/>
              <w:jc w:val="center"/>
            </w:pPr>
            <w:r>
              <w:rPr>
                <w:rFonts w:ascii="Times New Roman" w:hAnsi="Times New Roman"/>
                <w:b w:val="0"/>
                <w:i w:val="0"/>
                <w:smallCaps w:val="0"/>
                <w:sz w:val="14"/>
              </w:rPr>
              <w:t>99.57</w:t>
            </w:r>
          </w:p>
        </w:tc>
        <w:tc>
          <w:tcPr>
            <w:tcW w:type="dxa" w:w="720"/>
          </w:tcPr>
          <w:p>
            <w:pPr>
              <w:keepNext w:val="0"/>
              <w:spacing w:before="0" w:after="0" w:line="240" w:lineRule="auto"/>
              <w:jc w:val="center"/>
            </w:pPr>
            <w:r>
              <w:rPr>
                <w:rFonts w:ascii="Times New Roman" w:hAnsi="Times New Roman"/>
                <w:b/>
                <w:i w:val="0"/>
                <w:smallCaps w:val="0"/>
                <w:sz w:val="14"/>
              </w:rPr>
              <w:t>95.67</w:t>
            </w:r>
          </w:p>
        </w:tc>
        <w:tc>
          <w:tcPr>
            <w:tcW w:type="dxa" w:w="720"/>
          </w:tcPr>
          <w:p>
            <w:pPr>
              <w:keepNext w:val="0"/>
              <w:spacing w:before="0" w:after="0" w:line="240" w:lineRule="auto"/>
              <w:jc w:val="center"/>
            </w:pPr>
            <w:r>
              <w:rPr>
                <w:rFonts w:ascii="Times New Roman" w:hAnsi="Times New Roman"/>
                <w:b w:val="0"/>
                <w:i w:val="0"/>
                <w:smallCaps w:val="0"/>
                <w:sz w:val="14"/>
              </w:rPr>
              <w:t>10.56</w:t>
            </w:r>
          </w:p>
        </w:tc>
        <w:tc>
          <w:tcPr>
            <w:tcW w:type="dxa" w:w="915"/>
          </w:tcPr>
          <w:p>
            <w:pPr>
              <w:keepNext w:val="0"/>
              <w:spacing w:before="0" w:after="0" w:line="240" w:lineRule="auto"/>
              <w:jc w:val="center"/>
            </w:pPr>
            <w:r>
              <w:rPr>
                <w:rFonts w:ascii="Times New Roman" w:hAnsi="Times New Roman"/>
                <w:b w:val="0"/>
                <w:i w:val="0"/>
                <w:smallCaps w:val="0"/>
                <w:sz w:val="14"/>
              </w:rPr>
              <w:t>0.19</w:t>
            </w:r>
          </w:p>
        </w:tc>
        <w:tc>
          <w:tcPr>
            <w:tcW w:type="dxa" w:w="1349"/>
          </w:tcPr>
          <w:p>
            <w:pPr>
              <w:keepNext w:val="0"/>
              <w:spacing w:before="0" w:after="0" w:line="240" w:lineRule="auto"/>
              <w:jc w:val="center"/>
            </w:pPr>
            <w:r>
              <w:rPr>
                <w:rFonts w:ascii="Times New Roman" w:hAnsi="Times New Roman"/>
                <w:b/>
                <w:i w:val="0"/>
                <w:smallCaps w:val="0"/>
                <w:sz w:val="14"/>
              </w:rPr>
              <w:t>2.49</w:t>
            </w:r>
          </w:p>
        </w:tc>
        <w:tc>
          <w:tcPr>
            <w:tcW w:type="dxa" w:w="720"/>
          </w:tcPr>
          <w:p>
            <w:pPr>
              <w:keepNext w:val="0"/>
              <w:spacing w:before="0" w:after="0" w:line="240" w:lineRule="auto"/>
              <w:jc w:val="center"/>
            </w:pPr>
            <w:r>
              <w:rPr>
                <w:rFonts w:ascii="Times New Roman" w:hAnsi="Times New Roman"/>
                <w:b/>
                <w:i w:val="0"/>
                <w:smallCaps w:val="0"/>
                <w:sz w:val="14"/>
              </w:rPr>
              <w:t>0.45</w:t>
            </w:r>
          </w:p>
        </w:tc>
        <w:tc>
          <w:tcPr>
            <w:tcW w:type="dxa" w:w="1308"/>
          </w:tcPr>
          <w:p>
            <w:pPr>
              <w:keepNext w:val="0"/>
              <w:spacing w:before="0" w:after="0" w:line="240" w:lineRule="auto"/>
              <w:jc w:val="center"/>
            </w:pPr>
            <w:r>
              <w:rPr>
                <w:rFonts w:ascii="Times New Roman" w:hAnsi="Times New Roman"/>
                <w:b w:val="0"/>
                <w:i w:val="0"/>
                <w:smallCaps w:val="0"/>
                <w:sz w:val="14"/>
              </w:rPr>
              <w:t>93.82</w:t>
            </w:r>
          </w:p>
        </w:tc>
        <w:tc>
          <w:tcPr>
            <w:tcW w:type="dxa" w:w="727"/>
          </w:tcPr>
          <w:p>
            <w:pPr>
              <w:keepNext w:val="0"/>
              <w:spacing w:before="0" w:after="0" w:line="240" w:lineRule="auto"/>
              <w:jc w:val="center"/>
            </w:pPr>
            <w:r>
              <w:rPr>
                <w:rFonts w:ascii="Times New Roman" w:hAnsi="Times New Roman"/>
                <w:b w:val="0"/>
                <w:i w:val="0"/>
                <w:smallCaps w:val="0"/>
                <w:sz w:val="14"/>
              </w:rPr>
              <w:t>6/8</w:t>
            </w:r>
          </w:p>
        </w:tc>
      </w:tr>
      <w:tr>
        <w:trPr>
          <w:cantSplit/>
        </w:trPr>
        <w:tc>
          <w:tcPr>
            <w:tcW w:type="dxa" w:w="1712"/>
          </w:tcPr>
          <w:p>
            <w:pPr>
              <w:keepNext w:val="0"/>
              <w:spacing w:before="0" w:after="0" w:line="240" w:lineRule="auto"/>
              <w:jc w:val="left"/>
            </w:pPr>
            <w:r>
              <w:rPr>
                <w:rFonts w:ascii="Times New Roman" w:hAnsi="Times New Roman"/>
                <w:b w:val="0"/>
                <w:i w:val="0"/>
                <w:smallCaps w:val="0"/>
                <w:sz w:val="14"/>
              </w:rPr>
              <w:t>MSAF + field aug. (proposed system)</w:t>
            </w:r>
          </w:p>
        </w:tc>
        <w:tc>
          <w:tcPr>
            <w:tcW w:type="dxa" w:w="720"/>
          </w:tcPr>
          <w:p>
            <w:pPr>
              <w:keepNext w:val="0"/>
              <w:spacing w:before="0" w:after="0" w:line="240" w:lineRule="auto"/>
              <w:jc w:val="center"/>
            </w:pPr>
            <w:r>
              <w:rPr>
                <w:rFonts w:ascii="Times New Roman" w:hAnsi="Times New Roman"/>
                <w:b w:val="0"/>
                <w:i w:val="0"/>
                <w:smallCaps w:val="0"/>
                <w:sz w:val="14"/>
              </w:rPr>
              <w:t>20.45</w:t>
            </w:r>
          </w:p>
        </w:tc>
        <w:tc>
          <w:tcPr>
            <w:tcW w:type="dxa" w:w="822"/>
          </w:tcPr>
          <w:p>
            <w:pPr>
              <w:keepNext w:val="0"/>
              <w:spacing w:before="0" w:after="0" w:line="240" w:lineRule="auto"/>
              <w:jc w:val="center"/>
            </w:pPr>
            <w:r>
              <w:rPr>
                <w:rFonts w:ascii="Times New Roman" w:hAnsi="Times New Roman"/>
                <w:b w:val="0"/>
                <w:i w:val="0"/>
                <w:smallCaps w:val="0"/>
                <w:sz w:val="14"/>
              </w:rPr>
              <w:t>99.56</w:t>
            </w:r>
          </w:p>
        </w:tc>
        <w:tc>
          <w:tcPr>
            <w:tcW w:type="dxa" w:w="727"/>
          </w:tcPr>
          <w:p>
            <w:pPr>
              <w:keepNext w:val="0"/>
              <w:spacing w:before="0" w:after="0" w:line="240" w:lineRule="auto"/>
              <w:jc w:val="center"/>
            </w:pPr>
            <w:r>
              <w:rPr>
                <w:rFonts w:ascii="Times New Roman" w:hAnsi="Times New Roman"/>
                <w:b w:val="0"/>
                <w:i w:val="0"/>
                <w:smallCaps w:val="0"/>
                <w:sz w:val="14"/>
              </w:rPr>
              <w:t>99.55</w:t>
            </w:r>
          </w:p>
        </w:tc>
        <w:tc>
          <w:tcPr>
            <w:tcW w:type="dxa" w:w="720"/>
          </w:tcPr>
          <w:p>
            <w:pPr>
              <w:keepNext w:val="0"/>
              <w:spacing w:before="0" w:after="0" w:line="240" w:lineRule="auto"/>
              <w:jc w:val="center"/>
            </w:pPr>
            <w:r>
              <w:rPr>
                <w:rFonts w:ascii="Times New Roman" w:hAnsi="Times New Roman"/>
                <w:b w:val="0"/>
                <w:i w:val="0"/>
                <w:smallCaps w:val="0"/>
                <w:sz w:val="14"/>
              </w:rPr>
              <w:t>94.84</w:t>
            </w:r>
          </w:p>
        </w:tc>
        <w:tc>
          <w:tcPr>
            <w:tcW w:type="dxa" w:w="720"/>
          </w:tcPr>
          <w:p>
            <w:pPr>
              <w:keepNext w:val="0"/>
              <w:spacing w:before="0" w:after="0" w:line="240" w:lineRule="auto"/>
              <w:jc w:val="center"/>
            </w:pPr>
            <w:r>
              <w:rPr>
                <w:rFonts w:ascii="Times New Roman" w:hAnsi="Times New Roman"/>
                <w:b w:val="0"/>
                <w:i w:val="0"/>
                <w:smallCaps w:val="0"/>
                <w:sz w:val="14"/>
              </w:rPr>
              <w:t>5.44</w:t>
            </w:r>
          </w:p>
        </w:tc>
        <w:tc>
          <w:tcPr>
            <w:tcW w:type="dxa" w:w="915"/>
          </w:tcPr>
          <w:p>
            <w:pPr>
              <w:keepNext w:val="0"/>
              <w:spacing w:before="0" w:after="0" w:line="240" w:lineRule="auto"/>
              <w:jc w:val="center"/>
            </w:pPr>
            <w:r>
              <w:rPr>
                <w:rFonts w:ascii="Times New Roman" w:hAnsi="Times New Roman"/>
                <w:b w:val="0"/>
                <w:i w:val="0"/>
                <w:smallCaps w:val="0"/>
                <w:sz w:val="14"/>
              </w:rPr>
              <w:t>0.21</w:t>
            </w:r>
          </w:p>
        </w:tc>
        <w:tc>
          <w:tcPr>
            <w:tcW w:type="dxa" w:w="1349"/>
          </w:tcPr>
          <w:p>
            <w:pPr>
              <w:keepNext w:val="0"/>
              <w:spacing w:before="0" w:after="0" w:line="240" w:lineRule="auto"/>
              <w:jc w:val="center"/>
            </w:pPr>
            <w:r>
              <w:rPr>
                <w:rFonts w:ascii="Times New Roman" w:hAnsi="Times New Roman"/>
                <w:b w:val="0"/>
                <w:i w:val="0"/>
                <w:smallCaps w:val="0"/>
                <w:sz w:val="14"/>
              </w:rPr>
              <w:t>2.77</w:t>
            </w:r>
          </w:p>
        </w:tc>
        <w:tc>
          <w:tcPr>
            <w:tcW w:type="dxa" w:w="720"/>
          </w:tcPr>
          <w:p>
            <w:pPr>
              <w:keepNext w:val="0"/>
              <w:spacing w:before="0" w:after="0" w:line="240" w:lineRule="auto"/>
              <w:jc w:val="center"/>
            </w:pPr>
            <w:r>
              <w:rPr>
                <w:rFonts w:ascii="Times New Roman" w:hAnsi="Times New Roman"/>
                <w:b w:val="0"/>
                <w:i w:val="0"/>
                <w:smallCaps w:val="0"/>
                <w:sz w:val="14"/>
              </w:rPr>
              <w:t>0.50</w:t>
            </w:r>
          </w:p>
        </w:tc>
        <w:tc>
          <w:tcPr>
            <w:tcW w:type="dxa" w:w="1308"/>
          </w:tcPr>
          <w:p>
            <w:pPr>
              <w:keepNext w:val="0"/>
              <w:spacing w:before="0" w:after="0" w:line="240" w:lineRule="auto"/>
              <w:jc w:val="center"/>
            </w:pPr>
            <w:r>
              <w:rPr>
                <w:rFonts w:ascii="Times New Roman" w:hAnsi="Times New Roman"/>
                <w:b/>
                <w:i w:val="0"/>
                <w:smallCaps w:val="0"/>
                <w:sz w:val="14"/>
              </w:rPr>
              <w:t>93.98</w:t>
            </w:r>
          </w:p>
        </w:tc>
        <w:tc>
          <w:tcPr>
            <w:tcW w:type="dxa" w:w="727"/>
          </w:tcPr>
          <w:p>
            <w:pPr>
              <w:keepNext w:val="0"/>
              <w:spacing w:before="0" w:after="0" w:line="240" w:lineRule="auto"/>
              <w:jc w:val="center"/>
            </w:pPr>
            <w:r>
              <w:rPr>
                <w:rFonts w:ascii="Times New Roman" w:hAnsi="Times New Roman"/>
                <w:b w:val="0"/>
                <w:i w:val="0"/>
                <w:smallCaps w:val="0"/>
                <w:sz w:val="14"/>
              </w:rPr>
              <w:t>8/8</w:t>
            </w:r>
          </w:p>
        </w:tc>
      </w:tr>
    </w:tbl>
    <w:p>
      <w:pPr>
        <w:keepNext w:val="0"/>
        <w:spacing w:before="0" w:after="40" w:line="240" w:lineRule="auto"/>
        <w:jc w:val="both"/>
      </w:pPr>
    </w:p>
    <w:p>
      <w:pPr>
        <w:sectPr>
          <w:type w:val="continuous"/>
          <w:pgSz w:w="12240" w:h="15840"/>
          <w:pgMar w:top="1080" w:right="900" w:bottom="1440" w:left="900" w:header="720" w:footer="720" w:gutter="0"/>
          <w:cols w:space="360" w:num="1"/>
          <w:docGrid w:linePitch="360"/>
        </w:sectPr>
      </w:pPr>
    </w:p>
    <w:p>
      <w:pPr>
        <w:keepNext w:val="0"/>
        <w:spacing w:before="0" w:after="0" w:line="240" w:lineRule="auto"/>
        <w:ind w:firstLine="288"/>
        <w:jc w:val="both"/>
      </w:pPr>
      <w:r>
        <w:rPr>
          <w:rFonts w:ascii="Times New Roman" w:hAnsi="Times New Roman"/>
          <w:b w:val="0"/>
          <w:i/>
          <w:smallCaps w:val="0"/>
          <w:sz w:val="20"/>
        </w:rPr>
        <w:t xml:space="preserve">Calibration. </w:t>
      </w:r>
      <w:r>
        <w:rPr>
          <w:rFonts w:ascii="Times New Roman" w:hAnsi="Times New Roman"/>
          <w:b w:val="0"/>
          <w:i w:val="0"/>
          <w:smallCaps w:val="0"/>
          <w:sz w:val="20"/>
        </w:rPr>
        <w:t>MSAF's raw ECE is 5.14% against 10.57% for the baseline (−5.43 points, 95% CI −5.55 to −5.26); single-scale CBAM lowers it by only 0.40 points, so the gain comes from the multi-scale head. TS brings clean ECE below 0.3% for all models, but without field augmentation it worsens corrupted-image ECE (baseline 8.81% to 12.23%); only the field-augmented models keep it low (2.49% and 2.77%).</w:t>
      </w:r>
    </w:p>
    <w:p>
      <w:pPr>
        <w:keepNext w:val="0"/>
        <w:spacing w:before="0" w:after="0" w:line="240" w:lineRule="auto"/>
        <w:ind w:firstLine="288"/>
        <w:jc w:val="both"/>
      </w:pPr>
      <w:r>
        <w:rPr>
          <w:rFonts w:ascii="Times New Roman" w:hAnsi="Times New Roman"/>
          <w:b w:val="0"/>
          <w:i/>
          <w:smallCaps w:val="0"/>
          <w:sz w:val="20"/>
        </w:rPr>
        <w:t xml:space="preserve">Robustness. </w:t>
      </w:r>
      <w:r>
        <w:rPr>
          <w:rFonts w:ascii="Times New Roman" w:hAnsi="Times New Roman"/>
          <w:b w:val="0"/>
          <w:i w:val="0"/>
          <w:smallCaps w:val="0"/>
          <w:sz w:val="20"/>
        </w:rPr>
        <w:t>Without field augmentation, MSAF raises mCA by 0.79 points (95% CI 0.48 to 1.10): it is better under sensor noise (85.43% vs. 80.64%, p &lt; 10⁻³⁷) and low light (94.35% vs. 90.04%, p &lt; 10⁻⁴³) but worse under motion blur (50.11% vs. 54.48%, p &lt; 10⁻¹⁸). Field augmentation lifts mCA by 12–13 points, and unseen motion blur rises to 86.32% (baseline) and 81.85% (MSAF); with it, MSAF trails the baseline by 0.83 points (95% CI −1.01 to −0.64), mainly on motion blur (Fig. 3).</w:t>
      </w:r>
    </w:p>
    <w:p>
      <w:pPr>
        <w:sectPr>
          <w:type w:val="continuous"/>
          <w:pgSz w:w="12240" w:h="15840"/>
          <w:pgMar w:top="1080" w:right="900" w:bottom="1440" w:left="900" w:header="720" w:footer="720" w:gutter="0"/>
          <w:cols w:space="360" w:num="2"/>
          <w:docGrid w:linePitch="360"/>
        </w:sectPr>
      </w:pPr>
    </w:p>
    <w:p>
      <w:pPr>
        <w:keepNext/>
        <w:spacing w:before="120" w:after="0" w:line="240" w:lineRule="auto"/>
        <w:jc w:val="center"/>
      </w:pPr>
      <w:r>
        <w:drawing>
          <wp:inline xmlns:a="http://schemas.openxmlformats.org/drawingml/2006/main" xmlns:pic="http://schemas.openxmlformats.org/drawingml/2006/picture">
            <wp:extent cx="5029200" cy="1177898"/>
            <wp:docPr id="3" name="Picture 3"/>
            <wp:cNvGraphicFramePr>
              <a:graphicFrameLocks noChangeAspect="1"/>
            </wp:cNvGraphicFramePr>
            <a:graphic>
              <a:graphicData uri="http://schemas.openxmlformats.org/drawingml/2006/picture">
                <pic:pic>
                  <pic:nvPicPr>
                    <pic:cNvPr id="0" name="fig4_robustness.png"/>
                    <pic:cNvPicPr/>
                  </pic:nvPicPr>
                  <pic:blipFill>
                    <a:blip r:embed="rId11"/>
                    <a:stretch>
                      <a:fillRect/>
                    </a:stretch>
                  </pic:blipFill>
                  <pic:spPr>
                    <a:xfrm>
                      <a:off x="0" y="0"/>
                      <a:ext cx="5029200" cy="1177898"/>
                    </a:xfrm>
                    <a:prstGeom prst="rect"/>
                  </pic:spPr>
                </pic:pic>
              </a:graphicData>
            </a:graphic>
          </wp:inline>
        </w:drawing>
      </w:r>
    </w:p>
    <w:p>
      <w:pPr>
        <w:keepNext w:val="0"/>
        <w:spacing w:before="0" w:after="12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Test accuracy (%) of the five models under clean and six corrupted conditions (FA: field augmentation). Field augmentation raises accuracy under blur and noise; the head type changes the result mainly under motion blur, sensor noise and low light.</w:t>
      </w:r>
    </w:p>
    <w:p>
      <w:pPr>
        <w:sectPr>
          <w:type w:val="continuous"/>
          <w:pgSz w:w="12240" w:h="15840"/>
          <w:pgMar w:top="1080" w:right="900" w:bottom="1440" w:left="900" w:header="720" w:footer="720" w:gutter="0"/>
          <w:cols w:space="360" w:num="1"/>
          <w:docGrid w:linePitch="360"/>
        </w:sectPr>
      </w:pPr>
    </w:p>
    <w:p>
      <w:pPr>
        <w:keepNext w:val="0"/>
        <w:spacing w:before="0" w:after="0" w:line="240" w:lineRule="auto"/>
        <w:ind w:firstLine="288"/>
        <w:jc w:val="both"/>
      </w:pPr>
      <w:r>
        <w:rPr>
          <w:rFonts w:ascii="Times New Roman" w:hAnsi="Times New Roman"/>
          <w:b w:val="0"/>
          <w:i/>
          <w:smallCaps w:val="0"/>
          <w:sz w:val="20"/>
        </w:rPr>
        <w:t xml:space="preserve">Selective prediction. </w:t>
      </w:r>
      <w:r>
        <w:rPr>
          <w:rFonts w:ascii="Times New Roman" w:hAnsi="Times New Roman"/>
          <w:b w:val="0"/>
          <w:i w:val="0"/>
          <w:smallCaps w:val="0"/>
          <w:sz w:val="20"/>
        </w:rPr>
        <w:t>Without field augmentation, MSAF lowers AURC from 5.21% to 4.16% and raises error-detection AUROC from 85.49% to 87.27%. With field augmentation, both models reach AURC of about 0.5% and 98.5–99.0% accuracy at 90% coverage.</w:t>
      </w:r>
    </w:p>
    <w:p>
      <w:pPr>
        <w:keepNext w:val="0"/>
        <w:spacing w:before="0" w:after="0" w:line="240" w:lineRule="auto"/>
        <w:ind w:firstLine="288"/>
        <w:jc w:val="both"/>
      </w:pPr>
      <w:r>
        <w:rPr>
          <w:rFonts w:ascii="Times New Roman" w:hAnsi="Times New Roman"/>
          <w:b w:val="0"/>
          <w:i/>
          <w:smallCaps w:val="0"/>
          <w:sz w:val="20"/>
        </w:rPr>
        <w:t xml:space="preserve">Efficiency. </w:t>
      </w:r>
      <w:r>
        <w:rPr>
          <w:rFonts w:ascii="Times New Roman" w:hAnsi="Times New Roman"/>
          <w:b w:val="0"/>
          <w:i w:val="0"/>
          <w:smallCaps w:val="0"/>
          <w:sz w:val="20"/>
        </w:rPr>
        <w:t>MSAF adds 4.1 ms GPU and 9.8 ms CPU latency per image at unchanged GMACs (Table V).</w:t>
      </w:r>
    </w:p>
    <w:p>
      <w:pPr>
        <w:keepNext/>
        <w:spacing w:before="120" w:after="0" w:line="240" w:lineRule="auto"/>
        <w:jc w:val="center"/>
      </w:pPr>
      <w:r>
        <w:rPr>
          <w:rFonts w:ascii="Times New Roman" w:hAnsi="Times New Roman"/>
          <w:b w:val="0"/>
          <w:i w:val="0"/>
          <w:smallCaps w:val="0"/>
          <w:sz w:val="16"/>
        </w:rPr>
        <w:t>TABLE V</w:t>
      </w:r>
    </w:p>
    <w:p>
      <w:pPr>
        <w:keepNext/>
        <w:spacing w:before="0" w:after="60" w:line="240" w:lineRule="auto"/>
        <w:jc w:val="center"/>
      </w:pPr>
      <w:r>
        <w:rPr>
          <w:rFonts w:ascii="Times New Roman" w:hAnsi="Times New Roman"/>
          <w:b w:val="0"/>
          <w:i w:val="0"/>
          <w:smallCaps/>
          <w:sz w:val="16"/>
        </w:rPr>
        <w:t>Computational cost (224 × 224 input, batch 1)</w:t>
      </w:r>
    </w:p>
    <w:tbl>
      <w:tblPr>
        <w:tblW w:type="auto" w:w="0"/>
        <w:jc w:val="center"/>
        <w:tblLayout w:type="fixed"/>
        <w:tblBorders>
          <w:top w:val="single" w:sz="4" w:color="000000"/>
          <w:bottom w:val="single" w:sz="4" w:color="000000"/>
          <w:insideH w:val="single" w:sz="4" w:color="000000"/>
        </w:tblBorders>
        <w:tblCellMar>
          <w:left w:w="50" w:type="dxa"/>
          <w:right w:w="50" w:type="dxa"/>
        </w:tblCellMar>
        <w:tblLook w:firstColumn="1" w:firstRow="1" w:lastColumn="0" w:lastRow="0" w:noHBand="0" w:noVBand="1" w:val="04A0"/>
      </w:tblPr>
      <w:tblGrid>
        <w:gridCol w:w="1740"/>
        <w:gridCol w:w="1740"/>
        <w:gridCol w:w="1740"/>
        <w:gridCol w:w="1740"/>
        <w:gridCol w:w="1740"/>
        <w:gridCol w:w="1740"/>
      </w:tblGrid>
      <w:tr>
        <w:trPr>
          <w:cantSplit/>
        </w:trPr>
        <w:tc>
          <w:tcPr>
            <w:tcW w:type="dxa" w:w="694"/>
          </w:tcPr>
          <w:p>
            <w:pPr>
              <w:keepNext w:val="0"/>
              <w:spacing w:before="0" w:after="0" w:line="240" w:lineRule="auto"/>
              <w:jc w:val="center"/>
            </w:pPr>
            <w:r>
              <w:rPr>
                <w:rFonts w:ascii="Times New Roman" w:hAnsi="Times New Roman"/>
                <w:b/>
                <w:i w:val="0"/>
                <w:smallCaps w:val="0"/>
                <w:sz w:val="15"/>
              </w:rPr>
              <w:t>Model</w:t>
            </w:r>
          </w:p>
        </w:tc>
        <w:tc>
          <w:tcPr>
            <w:tcW w:type="dxa" w:w="829"/>
          </w:tcPr>
          <w:p>
            <w:pPr>
              <w:keepNext w:val="0"/>
              <w:spacing w:before="0" w:after="0" w:line="240" w:lineRule="auto"/>
              <w:jc w:val="center"/>
            </w:pPr>
            <w:r>
              <w:rPr>
                <w:rFonts w:ascii="Times New Roman" w:hAnsi="Times New Roman"/>
                <w:b/>
                <w:i w:val="0"/>
                <w:smallCaps w:val="0"/>
                <w:sz w:val="15"/>
              </w:rPr>
              <w:t>Params (M)</w:t>
            </w:r>
          </w:p>
        </w:tc>
        <w:tc>
          <w:tcPr>
            <w:tcW w:type="dxa" w:w="720"/>
          </w:tcPr>
          <w:p>
            <w:pPr>
              <w:keepNext w:val="0"/>
              <w:spacing w:before="0" w:after="0" w:line="240" w:lineRule="auto"/>
              <w:jc w:val="center"/>
            </w:pPr>
            <w:r>
              <w:rPr>
                <w:rFonts w:ascii="Times New Roman" w:hAnsi="Times New Roman"/>
                <w:b/>
                <w:i w:val="0"/>
                <w:smallCaps w:val="0"/>
                <w:sz w:val="15"/>
              </w:rPr>
              <w:t>GMACs</w:t>
            </w:r>
          </w:p>
        </w:tc>
        <w:tc>
          <w:tcPr>
            <w:tcW w:type="dxa" w:w="694"/>
          </w:tcPr>
          <w:p>
            <w:pPr>
              <w:keepNext w:val="0"/>
              <w:spacing w:before="0" w:after="0" w:line="240" w:lineRule="auto"/>
              <w:jc w:val="center"/>
            </w:pPr>
            <w:r>
              <w:rPr>
                <w:rFonts w:ascii="Times New Roman" w:hAnsi="Times New Roman"/>
                <w:b/>
                <w:i w:val="0"/>
                <w:smallCaps w:val="0"/>
                <w:sz w:val="15"/>
              </w:rPr>
              <w:t>GPU (ms)</w:t>
            </w:r>
          </w:p>
        </w:tc>
        <w:tc>
          <w:tcPr>
            <w:tcW w:type="dxa" w:w="1208"/>
          </w:tcPr>
          <w:p>
            <w:pPr>
              <w:keepNext w:val="0"/>
              <w:spacing w:before="0" w:after="0" w:line="240" w:lineRule="auto"/>
              <w:jc w:val="center"/>
            </w:pPr>
            <w:r>
              <w:rPr>
                <w:rFonts w:ascii="Times New Roman" w:hAnsi="Times New Roman"/>
                <w:b/>
                <w:i w:val="0"/>
                <w:smallCaps w:val="0"/>
                <w:sz w:val="15"/>
              </w:rPr>
              <w:t>CPU, 4 thr. (ms)</w:t>
            </w:r>
          </w:p>
        </w:tc>
        <w:tc>
          <w:tcPr>
            <w:tcW w:type="dxa" w:w="895"/>
          </w:tcPr>
          <w:p>
            <w:pPr>
              <w:keepNext w:val="0"/>
              <w:spacing w:before="0" w:after="0" w:line="240" w:lineRule="auto"/>
              <w:jc w:val="center"/>
            </w:pPr>
            <w:r>
              <w:rPr>
                <w:rFonts w:ascii="Times New Roman" w:hAnsi="Times New Roman"/>
                <w:b/>
                <w:i w:val="0"/>
                <w:smallCaps w:val="0"/>
                <w:sz w:val="15"/>
              </w:rPr>
              <w:t>Train (min)</w:t>
            </w:r>
          </w:p>
        </w:tc>
      </w:tr>
      <w:tr>
        <w:trPr>
          <w:cantSplit/>
        </w:trPr>
        <w:tc>
          <w:tcPr>
            <w:tcW w:type="dxa" w:w="694"/>
          </w:tcPr>
          <w:p>
            <w:pPr>
              <w:keepNext w:val="0"/>
              <w:spacing w:before="0" w:after="0" w:line="240" w:lineRule="auto"/>
              <w:jc w:val="left"/>
            </w:pPr>
            <w:r>
              <w:rPr>
                <w:rFonts w:ascii="Times New Roman" w:hAnsi="Times New Roman"/>
                <w:b w:val="0"/>
                <w:i w:val="0"/>
                <w:smallCaps w:val="0"/>
                <w:sz w:val="15"/>
              </w:rPr>
              <w:t>Baseline</w:t>
            </w:r>
          </w:p>
        </w:tc>
        <w:tc>
          <w:tcPr>
            <w:tcW w:type="dxa" w:w="829"/>
          </w:tcPr>
          <w:p>
            <w:pPr>
              <w:keepNext w:val="0"/>
              <w:spacing w:before="0" w:after="0" w:line="240" w:lineRule="auto"/>
              <w:jc w:val="center"/>
            </w:pPr>
            <w:r>
              <w:rPr>
                <w:rFonts w:ascii="Times New Roman" w:hAnsi="Times New Roman"/>
                <w:b w:val="0"/>
                <w:i w:val="0"/>
                <w:smallCaps w:val="0"/>
                <w:sz w:val="15"/>
              </w:rPr>
              <w:t>20.23</w:t>
            </w:r>
          </w:p>
        </w:tc>
        <w:tc>
          <w:tcPr>
            <w:tcW w:type="dxa" w:w="720"/>
          </w:tcPr>
          <w:p>
            <w:pPr>
              <w:keepNext w:val="0"/>
              <w:spacing w:before="0" w:after="0" w:line="240" w:lineRule="auto"/>
              <w:jc w:val="center"/>
            </w:pPr>
            <w:r>
              <w:rPr>
                <w:rFonts w:ascii="Times New Roman" w:hAnsi="Times New Roman"/>
                <w:b w:val="0"/>
                <w:i w:val="0"/>
                <w:smallCaps w:val="0"/>
                <w:sz w:val="15"/>
              </w:rPr>
              <w:t>2.85</w:t>
            </w:r>
          </w:p>
        </w:tc>
        <w:tc>
          <w:tcPr>
            <w:tcW w:type="dxa" w:w="694"/>
          </w:tcPr>
          <w:p>
            <w:pPr>
              <w:keepNext w:val="0"/>
              <w:spacing w:before="0" w:after="0" w:line="240" w:lineRule="auto"/>
              <w:jc w:val="center"/>
            </w:pPr>
            <w:r>
              <w:rPr>
                <w:rFonts w:ascii="Times New Roman" w:hAnsi="Times New Roman"/>
                <w:b w:val="0"/>
                <w:i w:val="0"/>
                <w:smallCaps w:val="0"/>
                <w:sz w:val="15"/>
              </w:rPr>
              <w:t>14.63</w:t>
            </w:r>
          </w:p>
        </w:tc>
        <w:tc>
          <w:tcPr>
            <w:tcW w:type="dxa" w:w="1208"/>
          </w:tcPr>
          <w:p>
            <w:pPr>
              <w:keepNext w:val="0"/>
              <w:spacing w:before="0" w:after="0" w:line="240" w:lineRule="auto"/>
              <w:jc w:val="center"/>
            </w:pPr>
            <w:r>
              <w:rPr>
                <w:rFonts w:ascii="Times New Roman" w:hAnsi="Times New Roman"/>
                <w:b w:val="0"/>
                <w:i w:val="0"/>
                <w:smallCaps w:val="0"/>
                <w:sz w:val="15"/>
              </w:rPr>
              <w:t>56.0</w:t>
            </w:r>
          </w:p>
        </w:tc>
        <w:tc>
          <w:tcPr>
            <w:tcW w:type="dxa" w:w="895"/>
          </w:tcPr>
          <w:p>
            <w:pPr>
              <w:keepNext w:val="0"/>
              <w:spacing w:before="0" w:after="0" w:line="240" w:lineRule="auto"/>
              <w:jc w:val="center"/>
            </w:pPr>
            <w:r>
              <w:rPr>
                <w:rFonts w:ascii="Times New Roman" w:hAnsi="Times New Roman"/>
                <w:b w:val="0"/>
                <w:i w:val="0"/>
                <w:smallCaps w:val="0"/>
                <w:sz w:val="15"/>
              </w:rPr>
              <w:t>37.8</w:t>
            </w:r>
          </w:p>
        </w:tc>
      </w:tr>
      <w:tr>
        <w:trPr>
          <w:cantSplit/>
        </w:trPr>
        <w:tc>
          <w:tcPr>
            <w:tcW w:type="dxa" w:w="694"/>
          </w:tcPr>
          <w:p>
            <w:pPr>
              <w:keepNext w:val="0"/>
              <w:spacing w:before="0" w:after="0" w:line="240" w:lineRule="auto"/>
              <w:jc w:val="left"/>
            </w:pPr>
            <w:r>
              <w:rPr>
                <w:rFonts w:ascii="Times New Roman" w:hAnsi="Times New Roman"/>
                <w:b w:val="0"/>
                <w:i w:val="0"/>
                <w:smallCaps w:val="0"/>
                <w:sz w:val="15"/>
              </w:rPr>
              <w:t>+ CBAM</w:t>
            </w:r>
          </w:p>
        </w:tc>
        <w:tc>
          <w:tcPr>
            <w:tcW w:type="dxa" w:w="829"/>
          </w:tcPr>
          <w:p>
            <w:pPr>
              <w:keepNext w:val="0"/>
              <w:spacing w:before="0" w:after="0" w:line="240" w:lineRule="auto"/>
              <w:jc w:val="center"/>
            </w:pPr>
            <w:r>
              <w:rPr>
                <w:rFonts w:ascii="Times New Roman" w:hAnsi="Times New Roman"/>
                <w:b w:val="0"/>
                <w:i w:val="0"/>
                <w:smallCaps w:val="0"/>
                <w:sz w:val="15"/>
              </w:rPr>
              <w:t>20.43</w:t>
            </w:r>
          </w:p>
        </w:tc>
        <w:tc>
          <w:tcPr>
            <w:tcW w:type="dxa" w:w="720"/>
          </w:tcPr>
          <w:p>
            <w:pPr>
              <w:keepNext w:val="0"/>
              <w:spacing w:before="0" w:after="0" w:line="240" w:lineRule="auto"/>
              <w:jc w:val="center"/>
            </w:pPr>
            <w:r>
              <w:rPr>
                <w:rFonts w:ascii="Times New Roman" w:hAnsi="Times New Roman"/>
                <w:b w:val="0"/>
                <w:i w:val="0"/>
                <w:smallCaps w:val="0"/>
                <w:sz w:val="15"/>
              </w:rPr>
              <w:t>2.85</w:t>
            </w:r>
          </w:p>
        </w:tc>
        <w:tc>
          <w:tcPr>
            <w:tcW w:type="dxa" w:w="694"/>
          </w:tcPr>
          <w:p>
            <w:pPr>
              <w:keepNext w:val="0"/>
              <w:spacing w:before="0" w:after="0" w:line="240" w:lineRule="auto"/>
              <w:jc w:val="center"/>
            </w:pPr>
            <w:r>
              <w:rPr>
                <w:rFonts w:ascii="Times New Roman" w:hAnsi="Times New Roman"/>
                <w:b w:val="0"/>
                <w:i w:val="0"/>
                <w:smallCaps w:val="0"/>
                <w:sz w:val="15"/>
              </w:rPr>
              <w:t>15.02</w:t>
            </w:r>
          </w:p>
        </w:tc>
        <w:tc>
          <w:tcPr>
            <w:tcW w:type="dxa" w:w="1208"/>
          </w:tcPr>
          <w:p>
            <w:pPr>
              <w:keepNext w:val="0"/>
              <w:spacing w:before="0" w:after="0" w:line="240" w:lineRule="auto"/>
              <w:jc w:val="center"/>
            </w:pPr>
            <w:r>
              <w:rPr>
                <w:rFonts w:ascii="Times New Roman" w:hAnsi="Times New Roman"/>
                <w:b w:val="0"/>
                <w:i w:val="0"/>
                <w:smallCaps w:val="0"/>
                <w:sz w:val="15"/>
              </w:rPr>
              <w:t>58.0</w:t>
            </w:r>
          </w:p>
        </w:tc>
        <w:tc>
          <w:tcPr>
            <w:tcW w:type="dxa" w:w="895"/>
          </w:tcPr>
          <w:p>
            <w:pPr>
              <w:keepNext w:val="0"/>
              <w:spacing w:before="0" w:after="0" w:line="240" w:lineRule="auto"/>
              <w:jc w:val="center"/>
            </w:pPr>
            <w:r>
              <w:rPr>
                <w:rFonts w:ascii="Times New Roman" w:hAnsi="Times New Roman"/>
                <w:b w:val="0"/>
                <w:i w:val="0"/>
                <w:smallCaps w:val="0"/>
                <w:sz w:val="15"/>
              </w:rPr>
              <w:t>35.8</w:t>
            </w:r>
          </w:p>
        </w:tc>
      </w:tr>
      <w:tr>
        <w:trPr>
          <w:cantSplit/>
        </w:trPr>
        <w:tc>
          <w:tcPr>
            <w:tcW w:type="dxa" w:w="694"/>
          </w:tcPr>
          <w:p>
            <w:pPr>
              <w:keepNext w:val="0"/>
              <w:spacing w:before="0" w:after="0" w:line="240" w:lineRule="auto"/>
              <w:jc w:val="left"/>
            </w:pPr>
            <w:r>
              <w:rPr>
                <w:rFonts w:ascii="Times New Roman" w:hAnsi="Times New Roman"/>
                <w:b w:val="0"/>
                <w:i w:val="0"/>
                <w:smallCaps w:val="0"/>
                <w:sz w:val="15"/>
              </w:rPr>
              <w:t>MSAF</w:t>
            </w:r>
          </w:p>
        </w:tc>
        <w:tc>
          <w:tcPr>
            <w:tcW w:type="dxa" w:w="829"/>
          </w:tcPr>
          <w:p>
            <w:pPr>
              <w:keepNext w:val="0"/>
              <w:spacing w:before="0" w:after="0" w:line="240" w:lineRule="auto"/>
              <w:jc w:val="center"/>
            </w:pPr>
            <w:r>
              <w:rPr>
                <w:rFonts w:ascii="Times New Roman" w:hAnsi="Times New Roman"/>
                <w:b w:val="0"/>
                <w:i w:val="0"/>
                <w:smallCaps w:val="0"/>
                <w:sz w:val="15"/>
              </w:rPr>
              <w:t>20.45</w:t>
            </w:r>
          </w:p>
        </w:tc>
        <w:tc>
          <w:tcPr>
            <w:tcW w:type="dxa" w:w="720"/>
          </w:tcPr>
          <w:p>
            <w:pPr>
              <w:keepNext w:val="0"/>
              <w:spacing w:before="0" w:after="0" w:line="240" w:lineRule="auto"/>
              <w:jc w:val="center"/>
            </w:pPr>
            <w:r>
              <w:rPr>
                <w:rFonts w:ascii="Times New Roman" w:hAnsi="Times New Roman"/>
                <w:b w:val="0"/>
                <w:i w:val="0"/>
                <w:smallCaps w:val="0"/>
                <w:sz w:val="15"/>
              </w:rPr>
              <w:t>2.85</w:t>
            </w:r>
          </w:p>
        </w:tc>
        <w:tc>
          <w:tcPr>
            <w:tcW w:type="dxa" w:w="694"/>
          </w:tcPr>
          <w:p>
            <w:pPr>
              <w:keepNext w:val="0"/>
              <w:spacing w:before="0" w:after="0" w:line="240" w:lineRule="auto"/>
              <w:jc w:val="center"/>
            </w:pPr>
            <w:r>
              <w:rPr>
                <w:rFonts w:ascii="Times New Roman" w:hAnsi="Times New Roman"/>
                <w:b w:val="0"/>
                <w:i w:val="0"/>
                <w:smallCaps w:val="0"/>
                <w:sz w:val="15"/>
              </w:rPr>
              <w:t>18.68</w:t>
            </w:r>
          </w:p>
        </w:tc>
        <w:tc>
          <w:tcPr>
            <w:tcW w:type="dxa" w:w="1208"/>
          </w:tcPr>
          <w:p>
            <w:pPr>
              <w:keepNext w:val="0"/>
              <w:spacing w:before="0" w:after="0" w:line="240" w:lineRule="auto"/>
              <w:jc w:val="center"/>
            </w:pPr>
            <w:r>
              <w:rPr>
                <w:rFonts w:ascii="Times New Roman" w:hAnsi="Times New Roman"/>
                <w:b w:val="0"/>
                <w:i w:val="0"/>
                <w:smallCaps w:val="0"/>
                <w:sz w:val="15"/>
              </w:rPr>
              <w:t>65.8</w:t>
            </w:r>
          </w:p>
        </w:tc>
        <w:tc>
          <w:tcPr>
            <w:tcW w:type="dxa" w:w="895"/>
          </w:tcPr>
          <w:p>
            <w:pPr>
              <w:keepNext w:val="0"/>
              <w:spacing w:before="0" w:after="0" w:line="240" w:lineRule="auto"/>
              <w:jc w:val="center"/>
            </w:pPr>
            <w:r>
              <w:rPr>
                <w:rFonts w:ascii="Times New Roman" w:hAnsi="Times New Roman"/>
                <w:b w:val="0"/>
                <w:i w:val="0"/>
                <w:smallCaps w:val="0"/>
                <w:sz w:val="15"/>
              </w:rPr>
              <w:t>48.7</w:t>
            </w:r>
          </w:p>
        </w:tc>
      </w:tr>
    </w:tbl>
    <w:p>
      <w:pPr>
        <w:keepNext w:val="0"/>
        <w:spacing w:before="0" w:after="40" w:line="240" w:lineRule="auto"/>
        <w:jc w:val="both"/>
      </w:pPr>
    </w:p>
    <w:p>
      <w:pPr>
        <w:keepNext w:val="0"/>
        <w:spacing w:before="0" w:after="0" w:line="240" w:lineRule="auto"/>
        <w:ind w:firstLine="288"/>
        <w:jc w:val="both"/>
      </w:pPr>
      <w:r>
        <w:rPr>
          <w:rFonts w:ascii="Times New Roman" w:hAnsi="Times New Roman"/>
          <w:b w:val="0"/>
          <w:i/>
          <w:smallCaps w:val="0"/>
          <w:sz w:val="20"/>
        </w:rPr>
        <w:t xml:space="preserve">Errors and gatekeeper. </w:t>
      </w:r>
      <w:r>
        <w:rPr>
          <w:rFonts w:ascii="Times New Roman" w:hAnsi="Times New Roman"/>
          <w:b w:val="0"/>
          <w:i w:val="0"/>
          <w:smallCaps w:val="0"/>
          <w:sz w:val="20"/>
        </w:rPr>
        <w:t>The most frequent clean error is corn gray leaf spot predicted as northern leaf blight (9–15 images), the baseline's two lowest per-class F1 scores (97.07%, 97.64%). The gatekeeper rejected five of six non-leaf images; without it, a text document was labelled healthy corn at 81.2%. The one that passed, random noise, received 18.3% confidence and triggered the warning.</w:t>
      </w:r>
    </w:p>
    <w:p>
      <w:pPr>
        <w:keepNext/>
        <w:spacing w:before="80" w:after="40" w:line="240" w:lineRule="auto"/>
        <w:jc w:val="left"/>
      </w:pPr>
      <w:r>
        <w:rPr>
          <w:rFonts w:ascii="Times New Roman" w:hAnsi="Times New Roman"/>
          <w:b w:val="0"/>
          <w:i/>
          <w:smallCaps w:val="0"/>
          <w:sz w:val="20"/>
        </w:rPr>
        <w:t>C. Graphical Results</w:t>
      </w:r>
    </w:p>
    <w:p>
      <w:pPr>
        <w:keepNext w:val="0"/>
        <w:spacing w:before="0" w:after="0" w:line="240" w:lineRule="auto"/>
        <w:ind w:firstLine="288"/>
        <w:jc w:val="both"/>
      </w:pPr>
      <w:r>
        <w:rPr>
          <w:rFonts w:ascii="Times New Roman" w:hAnsi="Times New Roman"/>
          <w:b w:val="0"/>
          <w:i w:val="0"/>
          <w:smallCaps w:val="0"/>
          <w:sz w:val="20"/>
        </w:rPr>
        <w:t>Fig. 4 shows Grad-CAM explanations from the deployed model on test leaves and field photographs.</w:t>
      </w:r>
    </w:p>
    <w:p>
      <w:pPr>
        <w:keepNext/>
        <w:spacing w:before="120" w:after="0" w:line="240" w:lineRule="auto"/>
        <w:jc w:val="center"/>
      </w:pPr>
      <w:r>
        <w:drawing>
          <wp:inline xmlns:a="http://schemas.openxmlformats.org/drawingml/2006/main" xmlns:pic="http://schemas.openxmlformats.org/drawingml/2006/picture">
            <wp:extent cx="3200400" cy="1429801"/>
            <wp:docPr id="4" name="Picture 4"/>
            <wp:cNvGraphicFramePr>
              <a:graphicFrameLocks noChangeAspect="1"/>
            </wp:cNvGraphicFramePr>
            <a:graphic>
              <a:graphicData uri="http://schemas.openxmlformats.org/drawingml/2006/picture">
                <pic:pic>
                  <pic:nvPicPr>
                    <pic:cNvPr id="0" name="fig7_gradcam.png"/>
                    <pic:cNvPicPr/>
                  </pic:nvPicPr>
                  <pic:blipFill>
                    <a:blip r:embed="rId12"/>
                    <a:stretch>
                      <a:fillRect/>
                    </a:stretch>
                  </pic:blipFill>
                  <pic:spPr>
                    <a:xfrm>
                      <a:off x="0" y="0"/>
                      <a:ext cx="3200400" cy="1429801"/>
                    </a:xfrm>
                    <a:prstGeom prst="rect"/>
                  </pic:spPr>
                </pic:pic>
              </a:graphicData>
            </a:graphic>
          </wp:inline>
        </w:drawing>
      </w:r>
    </w:p>
    <w:p>
      <w:pPr>
        <w:keepNext w:val="0"/>
        <w:spacing w:before="0" w:after="12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Grad-CAM explanations from the deployed EfficientNetV2-S model (top: input; bottom: heatmap; below: prediction, calibrated confidence and severity). Columns marked * are field photographs. Heat concentrates on lesions in the test leaves. The corn gray leaf spot field photo is misclassified as northern leaf blight at 46% confidence, the same confusion that dominates the test-set errors, and its low confidence would trigger the app's warning.</w:t>
      </w:r>
    </w:p>
    <w:p>
      <w:pPr>
        <w:keepNext/>
        <w:spacing w:before="80" w:after="40" w:line="240" w:lineRule="auto"/>
        <w:jc w:val="left"/>
      </w:pPr>
      <w:r>
        <w:rPr>
          <w:rFonts w:ascii="Times New Roman" w:hAnsi="Times New Roman"/>
          <w:b w:val="0"/>
          <w:i/>
          <w:smallCaps w:val="0"/>
          <w:sz w:val="20"/>
        </w:rPr>
        <w:t>D. Comparison With Existing Research</w:t>
      </w:r>
    </w:p>
    <w:p>
      <w:pPr>
        <w:keepNext w:val="0"/>
        <w:spacing w:before="0" w:after="0" w:line="240" w:lineRule="auto"/>
        <w:ind w:firstLine="288"/>
        <w:jc w:val="both"/>
      </w:pPr>
      <w:r>
        <w:rPr>
          <w:rFonts w:ascii="Times New Roman" w:hAnsi="Times New Roman"/>
          <w:b w:val="0"/>
          <w:i w:val="0"/>
          <w:smallCaps w:val="0"/>
          <w:sz w:val="20"/>
        </w:rPr>
        <w:t>Table VI is indicative only: published models were not re-run, use random splits that may leak augmented copies, and report no robustness or calibration on PlantVillage.</w:t>
      </w:r>
    </w:p>
    <w:p>
      <w:pPr>
        <w:sectPr>
          <w:type w:val="continuous"/>
          <w:pgSz w:w="12240" w:h="15840"/>
          <w:pgMar w:top="1080" w:right="900" w:bottom="1440" w:left="900" w:header="720" w:footer="720" w:gutter="0"/>
          <w:cols w:space="360" w:num="2"/>
          <w:docGrid w:linePitch="360"/>
        </w:sectPr>
      </w:pPr>
    </w:p>
    <w:p>
      <w:pPr>
        <w:keepNext/>
        <w:spacing w:before="120" w:after="0" w:line="240" w:lineRule="auto"/>
        <w:jc w:val="center"/>
      </w:pPr>
      <w:r>
        <w:rPr>
          <w:rFonts w:ascii="Times New Roman" w:hAnsi="Times New Roman"/>
          <w:b w:val="0"/>
          <w:i w:val="0"/>
          <w:smallCaps w:val="0"/>
          <w:sz w:val="16"/>
        </w:rPr>
        <w:t>TABLE VI</w:t>
      </w:r>
    </w:p>
    <w:p>
      <w:pPr>
        <w:keepNext/>
        <w:spacing w:before="0" w:after="60" w:line="240" w:lineRule="auto"/>
        <w:jc w:val="center"/>
      </w:pPr>
      <w:r>
        <w:rPr>
          <w:rFonts w:ascii="Times New Roman" w:hAnsi="Times New Roman"/>
          <w:b w:val="0"/>
          <w:i w:val="0"/>
          <w:smallCaps/>
          <w:sz w:val="16"/>
        </w:rPr>
        <w:t>Comparison with published results (as reported by each study)</w:t>
      </w:r>
    </w:p>
    <w:tbl>
      <w:tblPr>
        <w:tblW w:type="auto" w:w="0"/>
        <w:jc w:val="center"/>
        <w:tblLayout w:type="fixed"/>
        <w:tblBorders>
          <w:top w:val="single" w:sz="4" w:color="000000"/>
          <w:bottom w:val="single" w:sz="4" w:color="000000"/>
          <w:insideH w:val="single" w:sz="4" w:color="000000"/>
        </w:tblBorders>
        <w:tblCellMar>
          <w:left w:w="50" w:type="dxa"/>
          <w:right w:w="50" w:type="dxa"/>
        </w:tblCellMar>
        <w:tblLook w:firstColumn="1" w:firstRow="1" w:lastColumn="0" w:lastRow="0" w:noHBand="0" w:noVBand="1" w:val="04A0"/>
      </w:tblPr>
      <w:tblGrid>
        <w:gridCol w:w="1740"/>
        <w:gridCol w:w="1740"/>
        <w:gridCol w:w="1740"/>
        <w:gridCol w:w="1740"/>
        <w:gridCol w:w="1740"/>
        <w:gridCol w:w="1740"/>
      </w:tblGrid>
      <w:tr>
        <w:trPr>
          <w:cantSplit/>
        </w:trPr>
        <w:tc>
          <w:tcPr>
            <w:tcW w:type="dxa" w:w="1313"/>
          </w:tcPr>
          <w:p>
            <w:pPr>
              <w:keepNext w:val="0"/>
              <w:spacing w:before="0" w:after="0" w:line="240" w:lineRule="auto"/>
              <w:jc w:val="center"/>
            </w:pPr>
            <w:r>
              <w:rPr>
                <w:rFonts w:ascii="Times New Roman" w:hAnsi="Times New Roman"/>
                <w:b/>
                <w:i w:val="0"/>
                <w:smallCaps w:val="0"/>
                <w:sz w:val="14"/>
              </w:rPr>
              <w:t>Study</w:t>
            </w:r>
          </w:p>
        </w:tc>
        <w:tc>
          <w:tcPr>
            <w:tcW w:type="dxa" w:w="1912"/>
          </w:tcPr>
          <w:p>
            <w:pPr>
              <w:keepNext w:val="0"/>
              <w:spacing w:before="0" w:after="0" w:line="240" w:lineRule="auto"/>
              <w:jc w:val="center"/>
            </w:pPr>
            <w:r>
              <w:rPr>
                <w:rFonts w:ascii="Times New Roman" w:hAnsi="Times New Roman"/>
                <w:b/>
                <w:i w:val="0"/>
                <w:smallCaps w:val="0"/>
                <w:sz w:val="14"/>
              </w:rPr>
              <w:t>Model</w:t>
            </w:r>
          </w:p>
        </w:tc>
        <w:tc>
          <w:tcPr>
            <w:tcW w:type="dxa" w:w="2148"/>
          </w:tcPr>
          <w:p>
            <w:pPr>
              <w:keepNext w:val="0"/>
              <w:spacing w:before="0" w:after="0" w:line="240" w:lineRule="auto"/>
              <w:jc w:val="center"/>
            </w:pPr>
            <w:r>
              <w:rPr>
                <w:rFonts w:ascii="Times New Roman" w:hAnsi="Times New Roman"/>
                <w:b/>
                <w:i w:val="0"/>
                <w:smallCaps w:val="0"/>
                <w:sz w:val="14"/>
              </w:rPr>
              <w:t>Test data and split</w:t>
            </w:r>
          </w:p>
        </w:tc>
        <w:tc>
          <w:tcPr>
            <w:tcW w:type="dxa" w:w="1153"/>
          </w:tcPr>
          <w:p>
            <w:pPr>
              <w:keepNext w:val="0"/>
              <w:spacing w:before="0" w:after="0" w:line="240" w:lineRule="auto"/>
              <w:jc w:val="center"/>
            </w:pPr>
            <w:r>
              <w:rPr>
                <w:rFonts w:ascii="Times New Roman" w:hAnsi="Times New Roman"/>
                <w:b/>
                <w:i w:val="0"/>
                <w:smallCaps w:val="0"/>
                <w:sz w:val="14"/>
              </w:rPr>
              <w:t>Clean accuracy</w:t>
            </w:r>
          </w:p>
        </w:tc>
        <w:tc>
          <w:tcPr>
            <w:tcW w:type="dxa" w:w="2601"/>
          </w:tcPr>
          <w:p>
            <w:pPr>
              <w:keepNext w:val="0"/>
              <w:spacing w:before="0" w:after="0" w:line="240" w:lineRule="auto"/>
              <w:jc w:val="center"/>
            </w:pPr>
            <w:r>
              <w:rPr>
                <w:rFonts w:ascii="Times New Roman" w:hAnsi="Times New Roman"/>
                <w:b/>
                <w:i w:val="0"/>
                <w:smallCaps w:val="0"/>
                <w:sz w:val="14"/>
              </w:rPr>
              <w:t>Harder or field data</w:t>
            </w:r>
          </w:p>
        </w:tc>
        <w:tc>
          <w:tcPr>
            <w:tcW w:type="dxa" w:w="1313"/>
          </w:tcPr>
          <w:p>
            <w:pPr>
              <w:keepNext w:val="0"/>
              <w:spacing w:before="0" w:after="0" w:line="240" w:lineRule="auto"/>
              <w:jc w:val="center"/>
            </w:pPr>
            <w:r>
              <w:rPr>
                <w:rFonts w:ascii="Times New Roman" w:hAnsi="Times New Roman"/>
                <w:b/>
                <w:i w:val="0"/>
                <w:smallCaps w:val="0"/>
                <w:sz w:val="14"/>
              </w:rPr>
              <w:t>Calibration reported</w:t>
            </w:r>
          </w:p>
        </w:tc>
      </w:tr>
      <w:tr>
        <w:trPr>
          <w:cantSplit/>
        </w:trPr>
        <w:tc>
          <w:tcPr>
            <w:tcW w:type="dxa" w:w="1313"/>
          </w:tcPr>
          <w:p>
            <w:pPr>
              <w:keepNext w:val="0"/>
              <w:spacing w:before="0" w:after="0" w:line="240" w:lineRule="auto"/>
              <w:jc w:val="left"/>
            </w:pPr>
            <w:r>
              <w:rPr>
                <w:rFonts w:ascii="Times New Roman" w:hAnsi="Times New Roman"/>
                <w:b w:val="0"/>
                <w:i w:val="0"/>
                <w:smallCaps w:val="0"/>
                <w:sz w:val="14"/>
              </w:rPr>
              <w:t>Mohanty et al. [3]</w:t>
            </w:r>
          </w:p>
        </w:tc>
        <w:tc>
          <w:tcPr>
            <w:tcW w:type="dxa" w:w="1912"/>
          </w:tcPr>
          <w:p>
            <w:pPr>
              <w:keepNext w:val="0"/>
              <w:spacing w:before="0" w:after="0" w:line="240" w:lineRule="auto"/>
              <w:jc w:val="center"/>
            </w:pPr>
            <w:r>
              <w:rPr>
                <w:rFonts w:ascii="Times New Roman" w:hAnsi="Times New Roman"/>
                <w:b w:val="0"/>
                <w:i w:val="0"/>
                <w:smallCaps w:val="0"/>
                <w:sz w:val="14"/>
              </w:rPr>
              <w:t>GoogLeNet</w:t>
            </w:r>
          </w:p>
        </w:tc>
        <w:tc>
          <w:tcPr>
            <w:tcW w:type="dxa" w:w="2148"/>
          </w:tcPr>
          <w:p>
            <w:pPr>
              <w:keepNext w:val="0"/>
              <w:spacing w:before="0" w:after="0" w:line="240" w:lineRule="auto"/>
              <w:jc w:val="left"/>
            </w:pPr>
            <w:r>
              <w:rPr>
                <w:rFonts w:ascii="Times New Roman" w:hAnsi="Times New Roman"/>
                <w:b w:val="0"/>
                <w:i w:val="0"/>
                <w:smallCaps w:val="0"/>
                <w:sz w:val="14"/>
              </w:rPr>
              <w:t>PlantVillage, random split</w:t>
            </w:r>
          </w:p>
        </w:tc>
        <w:tc>
          <w:tcPr>
            <w:tcW w:type="dxa" w:w="1153"/>
          </w:tcPr>
          <w:p>
            <w:pPr>
              <w:keepNext w:val="0"/>
              <w:spacing w:before="0" w:after="0" w:line="240" w:lineRule="auto"/>
              <w:jc w:val="center"/>
            </w:pPr>
            <w:r>
              <w:rPr>
                <w:rFonts w:ascii="Times New Roman" w:hAnsi="Times New Roman"/>
                <w:b w:val="0"/>
                <w:i w:val="0"/>
                <w:smallCaps w:val="0"/>
                <w:sz w:val="14"/>
              </w:rPr>
              <w:t>99.35%</w:t>
            </w:r>
          </w:p>
        </w:tc>
        <w:tc>
          <w:tcPr>
            <w:tcW w:type="dxa" w:w="2601"/>
          </w:tcPr>
          <w:p>
            <w:pPr>
              <w:keepNext w:val="0"/>
              <w:spacing w:before="0" w:after="0" w:line="240" w:lineRule="auto"/>
              <w:jc w:val="left"/>
            </w:pPr>
            <w:r>
              <w:rPr>
                <w:rFonts w:ascii="Times New Roman" w:hAnsi="Times New Roman"/>
                <w:b w:val="0"/>
                <w:i w:val="0"/>
                <w:smallCaps w:val="0"/>
                <w:sz w:val="14"/>
              </w:rPr>
              <w:t>31.4% on images from other sources</w:t>
            </w:r>
          </w:p>
        </w:tc>
        <w:tc>
          <w:tcPr>
            <w:tcW w:type="dxa" w:w="1313"/>
          </w:tcPr>
          <w:p>
            <w:pPr>
              <w:keepNext w:val="0"/>
              <w:spacing w:before="0" w:after="0" w:line="240" w:lineRule="auto"/>
              <w:jc w:val="center"/>
            </w:pPr>
            <w:r>
              <w:rPr>
                <w:rFonts w:ascii="Times New Roman" w:hAnsi="Times New Roman"/>
                <w:b w:val="0"/>
                <w:i w:val="0"/>
                <w:smallCaps w:val="0"/>
                <w:sz w:val="14"/>
              </w:rPr>
              <w:t>No</w:t>
            </w:r>
          </w:p>
        </w:tc>
      </w:tr>
      <w:tr>
        <w:trPr>
          <w:cantSplit/>
        </w:trPr>
        <w:tc>
          <w:tcPr>
            <w:tcW w:type="dxa" w:w="1313"/>
          </w:tcPr>
          <w:p>
            <w:pPr>
              <w:keepNext w:val="0"/>
              <w:spacing w:before="0" w:after="0" w:line="240" w:lineRule="auto"/>
              <w:jc w:val="left"/>
            </w:pPr>
            <w:r>
              <w:rPr>
                <w:rFonts w:ascii="Times New Roman" w:hAnsi="Times New Roman"/>
                <w:b w:val="0"/>
                <w:i w:val="0"/>
                <w:smallCaps w:val="0"/>
                <w:sz w:val="14"/>
              </w:rPr>
              <w:t>Andrew et al. [16]</w:t>
            </w:r>
          </w:p>
        </w:tc>
        <w:tc>
          <w:tcPr>
            <w:tcW w:type="dxa" w:w="1912"/>
          </w:tcPr>
          <w:p>
            <w:pPr>
              <w:keepNext w:val="0"/>
              <w:spacing w:before="0" w:after="0" w:line="240" w:lineRule="auto"/>
              <w:jc w:val="left"/>
            </w:pPr>
            <w:r>
              <w:rPr>
                <w:rFonts w:ascii="Times New Roman" w:hAnsi="Times New Roman"/>
                <w:b w:val="0"/>
                <w:i w:val="0"/>
                <w:smallCaps w:val="0"/>
                <w:sz w:val="14"/>
              </w:rPr>
              <w:t>DenseNet-121</w:t>
            </w:r>
          </w:p>
        </w:tc>
        <w:tc>
          <w:tcPr>
            <w:tcW w:type="dxa" w:w="2148"/>
          </w:tcPr>
          <w:p>
            <w:pPr>
              <w:keepNext w:val="0"/>
              <w:spacing w:before="0" w:after="0" w:line="240" w:lineRule="auto"/>
              <w:jc w:val="left"/>
            </w:pPr>
            <w:r>
              <w:rPr>
                <w:rFonts w:ascii="Times New Roman" w:hAnsi="Times New Roman"/>
                <w:b w:val="0"/>
                <w:i w:val="0"/>
                <w:smallCaps w:val="0"/>
                <w:sz w:val="14"/>
              </w:rPr>
              <w:t>PlantVillage, 38 classes</w:t>
            </w:r>
          </w:p>
        </w:tc>
        <w:tc>
          <w:tcPr>
            <w:tcW w:type="dxa" w:w="1153"/>
          </w:tcPr>
          <w:p>
            <w:pPr>
              <w:keepNext w:val="0"/>
              <w:spacing w:before="0" w:after="0" w:line="240" w:lineRule="auto"/>
              <w:jc w:val="center"/>
            </w:pPr>
            <w:r>
              <w:rPr>
                <w:rFonts w:ascii="Times New Roman" w:hAnsi="Times New Roman"/>
                <w:b w:val="0"/>
                <w:i w:val="0"/>
                <w:smallCaps w:val="0"/>
                <w:sz w:val="14"/>
              </w:rPr>
              <w:t>99.81%</w:t>
            </w:r>
          </w:p>
        </w:tc>
        <w:tc>
          <w:tcPr>
            <w:tcW w:type="dxa" w:w="2601"/>
          </w:tcPr>
          <w:p>
            <w:pPr>
              <w:keepNext w:val="0"/>
              <w:spacing w:before="0" w:after="0" w:line="240" w:lineRule="auto"/>
              <w:jc w:val="center"/>
            </w:pPr>
            <w:r>
              <w:rPr>
                <w:rFonts w:ascii="Times New Roman" w:hAnsi="Times New Roman"/>
                <w:b w:val="0"/>
                <w:i w:val="0"/>
                <w:smallCaps w:val="0"/>
                <w:sz w:val="14"/>
              </w:rPr>
              <w:t>Not tested</w:t>
            </w:r>
          </w:p>
        </w:tc>
        <w:tc>
          <w:tcPr>
            <w:tcW w:type="dxa" w:w="1313"/>
          </w:tcPr>
          <w:p>
            <w:pPr>
              <w:keepNext w:val="0"/>
              <w:spacing w:before="0" w:after="0" w:line="240" w:lineRule="auto"/>
              <w:jc w:val="center"/>
            </w:pPr>
            <w:r>
              <w:rPr>
                <w:rFonts w:ascii="Times New Roman" w:hAnsi="Times New Roman"/>
                <w:b w:val="0"/>
                <w:i w:val="0"/>
                <w:smallCaps w:val="0"/>
                <w:sz w:val="14"/>
              </w:rPr>
              <w:t>No</w:t>
            </w:r>
          </w:p>
        </w:tc>
      </w:tr>
      <w:tr>
        <w:trPr>
          <w:cantSplit/>
        </w:trPr>
        <w:tc>
          <w:tcPr>
            <w:tcW w:type="dxa" w:w="1313"/>
          </w:tcPr>
          <w:p>
            <w:pPr>
              <w:keepNext w:val="0"/>
              <w:spacing w:before="0" w:after="0" w:line="240" w:lineRule="auto"/>
              <w:jc w:val="left"/>
            </w:pPr>
            <w:r>
              <w:rPr>
                <w:rFonts w:ascii="Times New Roman" w:hAnsi="Times New Roman"/>
                <w:b w:val="0"/>
                <w:i w:val="0"/>
                <w:smallCaps w:val="0"/>
                <w:sz w:val="14"/>
              </w:rPr>
              <w:t>Albattah et al. [22]</w:t>
            </w:r>
          </w:p>
        </w:tc>
        <w:tc>
          <w:tcPr>
            <w:tcW w:type="dxa" w:w="1912"/>
          </w:tcPr>
          <w:p>
            <w:pPr>
              <w:keepNext w:val="0"/>
              <w:spacing w:before="0" w:after="0" w:line="240" w:lineRule="auto"/>
              <w:jc w:val="left"/>
            </w:pPr>
            <w:r>
              <w:rPr>
                <w:rFonts w:ascii="Times New Roman" w:hAnsi="Times New Roman"/>
                <w:b w:val="0"/>
                <w:i w:val="0"/>
                <w:smallCaps w:val="0"/>
                <w:sz w:val="14"/>
              </w:rPr>
              <w:t>EfficientNetV2-B4 + dense</w:t>
            </w:r>
          </w:p>
        </w:tc>
        <w:tc>
          <w:tcPr>
            <w:tcW w:type="dxa" w:w="2148"/>
          </w:tcPr>
          <w:p>
            <w:pPr>
              <w:keepNext w:val="0"/>
              <w:spacing w:before="0" w:after="0" w:line="240" w:lineRule="auto"/>
              <w:jc w:val="left"/>
            </w:pPr>
            <w:r>
              <w:rPr>
                <w:rFonts w:ascii="Times New Roman" w:hAnsi="Times New Roman"/>
                <w:b w:val="0"/>
                <w:i w:val="0"/>
                <w:smallCaps w:val="0"/>
                <w:sz w:val="14"/>
              </w:rPr>
              <w:t>PlantVillage (Kaggle) + drone</w:t>
            </w:r>
          </w:p>
        </w:tc>
        <w:tc>
          <w:tcPr>
            <w:tcW w:type="dxa" w:w="1153"/>
          </w:tcPr>
          <w:p>
            <w:pPr>
              <w:keepNext w:val="0"/>
              <w:spacing w:before="0" w:after="0" w:line="240" w:lineRule="auto"/>
              <w:jc w:val="center"/>
            </w:pPr>
            <w:r>
              <w:rPr>
                <w:rFonts w:ascii="Times New Roman" w:hAnsi="Times New Roman"/>
                <w:b w:val="0"/>
                <w:i w:val="0"/>
                <w:smallCaps w:val="0"/>
                <w:sz w:val="14"/>
              </w:rPr>
              <w:t>99.99%</w:t>
            </w:r>
          </w:p>
        </w:tc>
        <w:tc>
          <w:tcPr>
            <w:tcW w:type="dxa" w:w="2601"/>
          </w:tcPr>
          <w:p>
            <w:pPr>
              <w:keepNext w:val="0"/>
              <w:spacing w:before="0" w:after="0" w:line="240" w:lineRule="auto"/>
              <w:jc w:val="left"/>
            </w:pPr>
            <w:r>
              <w:rPr>
                <w:rFonts w:ascii="Times New Roman" w:hAnsi="Times New Roman"/>
                <w:b w:val="0"/>
                <w:i w:val="0"/>
                <w:smallCaps w:val="0"/>
                <w:sz w:val="14"/>
              </w:rPr>
              <w:t>Drone images included in test</w:t>
            </w:r>
          </w:p>
        </w:tc>
        <w:tc>
          <w:tcPr>
            <w:tcW w:type="dxa" w:w="1313"/>
          </w:tcPr>
          <w:p>
            <w:pPr>
              <w:keepNext w:val="0"/>
              <w:spacing w:before="0" w:after="0" w:line="240" w:lineRule="auto"/>
              <w:jc w:val="center"/>
            </w:pPr>
            <w:r>
              <w:rPr>
                <w:rFonts w:ascii="Times New Roman" w:hAnsi="Times New Roman"/>
                <w:b w:val="0"/>
                <w:i w:val="0"/>
                <w:smallCaps w:val="0"/>
                <w:sz w:val="14"/>
              </w:rPr>
              <w:t>No</w:t>
            </w:r>
          </w:p>
        </w:tc>
      </w:tr>
      <w:tr>
        <w:trPr>
          <w:cantSplit/>
        </w:trPr>
        <w:tc>
          <w:tcPr>
            <w:tcW w:type="dxa" w:w="1313"/>
          </w:tcPr>
          <w:p>
            <w:pPr>
              <w:keepNext w:val="0"/>
              <w:spacing w:before="0" w:after="0" w:line="240" w:lineRule="auto"/>
              <w:jc w:val="left"/>
            </w:pPr>
            <w:r>
              <w:rPr>
                <w:rFonts w:ascii="Times New Roman" w:hAnsi="Times New Roman"/>
                <w:b w:val="0"/>
                <w:i w:val="0"/>
                <w:smallCaps w:val="0"/>
                <w:sz w:val="14"/>
              </w:rPr>
              <w:t>Guan et al. [12]</w:t>
            </w:r>
          </w:p>
        </w:tc>
        <w:tc>
          <w:tcPr>
            <w:tcW w:type="dxa" w:w="1912"/>
          </w:tcPr>
          <w:p>
            <w:pPr>
              <w:keepNext w:val="0"/>
              <w:spacing w:before="0" w:after="0" w:line="240" w:lineRule="auto"/>
              <w:jc w:val="left"/>
            </w:pPr>
            <w:r>
              <w:rPr>
                <w:rFonts w:ascii="Times New Roman" w:hAnsi="Times New Roman"/>
                <w:b w:val="0"/>
                <w:i w:val="0"/>
                <w:smallCaps w:val="0"/>
                <w:sz w:val="14"/>
              </w:rPr>
              <w:t>Dise-Efficient (EfficientNetV2)</w:t>
            </w:r>
          </w:p>
        </w:tc>
        <w:tc>
          <w:tcPr>
            <w:tcW w:type="dxa" w:w="2148"/>
          </w:tcPr>
          <w:p>
            <w:pPr>
              <w:keepNext w:val="0"/>
              <w:spacing w:before="0" w:after="0" w:line="240" w:lineRule="auto"/>
              <w:jc w:val="left"/>
            </w:pPr>
            <w:r>
              <w:rPr>
                <w:rFonts w:ascii="Times New Roman" w:hAnsi="Times New Roman"/>
                <w:b w:val="0"/>
                <w:i w:val="0"/>
                <w:smallCaps w:val="0"/>
                <w:sz w:val="14"/>
              </w:rPr>
              <w:t>PlantVillage; IP102</w:t>
            </w:r>
          </w:p>
        </w:tc>
        <w:tc>
          <w:tcPr>
            <w:tcW w:type="dxa" w:w="1153"/>
          </w:tcPr>
          <w:p>
            <w:pPr>
              <w:keepNext w:val="0"/>
              <w:spacing w:before="0" w:after="0" w:line="240" w:lineRule="auto"/>
              <w:jc w:val="center"/>
            </w:pPr>
            <w:r>
              <w:rPr>
                <w:rFonts w:ascii="Times New Roman" w:hAnsi="Times New Roman"/>
                <w:b w:val="0"/>
                <w:i w:val="0"/>
                <w:smallCaps w:val="0"/>
                <w:sz w:val="14"/>
              </w:rPr>
              <w:t>99.80%</w:t>
            </w:r>
          </w:p>
        </w:tc>
        <w:tc>
          <w:tcPr>
            <w:tcW w:type="dxa" w:w="2601"/>
          </w:tcPr>
          <w:p>
            <w:pPr>
              <w:keepNext w:val="0"/>
              <w:spacing w:before="0" w:after="0" w:line="240" w:lineRule="auto"/>
              <w:jc w:val="left"/>
            </w:pPr>
            <w:r>
              <w:rPr>
                <w:rFonts w:ascii="Times New Roman" w:hAnsi="Times New Roman"/>
                <w:b w:val="0"/>
                <w:i w:val="0"/>
                <w:smallCaps w:val="0"/>
                <w:sz w:val="14"/>
              </w:rPr>
              <w:t>64.40% on IP102</w:t>
            </w:r>
          </w:p>
        </w:tc>
        <w:tc>
          <w:tcPr>
            <w:tcW w:type="dxa" w:w="1313"/>
          </w:tcPr>
          <w:p>
            <w:pPr>
              <w:keepNext w:val="0"/>
              <w:spacing w:before="0" w:after="0" w:line="240" w:lineRule="auto"/>
              <w:jc w:val="center"/>
            </w:pPr>
            <w:r>
              <w:rPr>
                <w:rFonts w:ascii="Times New Roman" w:hAnsi="Times New Roman"/>
                <w:b w:val="0"/>
                <w:i w:val="0"/>
                <w:smallCaps w:val="0"/>
                <w:sz w:val="14"/>
              </w:rPr>
              <w:t>No</w:t>
            </w:r>
          </w:p>
        </w:tc>
      </w:tr>
      <w:tr>
        <w:trPr>
          <w:cantSplit/>
        </w:trPr>
        <w:tc>
          <w:tcPr>
            <w:tcW w:type="dxa" w:w="1313"/>
          </w:tcPr>
          <w:p>
            <w:pPr>
              <w:keepNext w:val="0"/>
              <w:spacing w:before="0" w:after="0" w:line="240" w:lineRule="auto"/>
              <w:jc w:val="left"/>
            </w:pPr>
            <w:r>
              <w:rPr>
                <w:rFonts w:ascii="Times New Roman" w:hAnsi="Times New Roman"/>
                <w:b w:val="0"/>
                <w:i w:val="0"/>
                <w:smallCaps w:val="0"/>
                <w:sz w:val="14"/>
              </w:rPr>
              <w:t>Meng et al. [14]</w:t>
            </w:r>
          </w:p>
        </w:tc>
        <w:tc>
          <w:tcPr>
            <w:tcW w:type="dxa" w:w="1912"/>
          </w:tcPr>
          <w:p>
            <w:pPr>
              <w:keepNext w:val="0"/>
              <w:spacing w:before="0" w:after="0" w:line="240" w:lineRule="auto"/>
              <w:jc w:val="left"/>
            </w:pPr>
            <w:r>
              <w:rPr>
                <w:rFonts w:ascii="Times New Roman" w:hAnsi="Times New Roman"/>
                <w:b w:val="0"/>
                <w:i w:val="0"/>
                <w:smallCaps w:val="0"/>
                <w:sz w:val="14"/>
              </w:rPr>
              <w:t>CNN–ViT dual branch, 4.9 M</w:t>
            </w:r>
          </w:p>
        </w:tc>
        <w:tc>
          <w:tcPr>
            <w:tcW w:type="dxa" w:w="2148"/>
          </w:tcPr>
          <w:p>
            <w:pPr>
              <w:keepNext w:val="0"/>
              <w:spacing w:before="0" w:after="0" w:line="240" w:lineRule="auto"/>
              <w:jc w:val="left"/>
            </w:pPr>
            <w:r>
              <w:rPr>
                <w:rFonts w:ascii="Times New Roman" w:hAnsi="Times New Roman"/>
                <w:b w:val="0"/>
                <w:i w:val="0"/>
                <w:smallCaps w:val="0"/>
                <w:sz w:val="14"/>
              </w:rPr>
              <w:t>PlantVillage</w:t>
            </w:r>
          </w:p>
        </w:tc>
        <w:tc>
          <w:tcPr>
            <w:tcW w:type="dxa" w:w="1153"/>
          </w:tcPr>
          <w:p>
            <w:pPr>
              <w:keepNext w:val="0"/>
              <w:spacing w:before="0" w:after="0" w:line="240" w:lineRule="auto"/>
              <w:jc w:val="center"/>
            </w:pPr>
            <w:r>
              <w:rPr>
                <w:rFonts w:ascii="Times New Roman" w:hAnsi="Times New Roman"/>
                <w:b w:val="0"/>
                <w:i w:val="0"/>
                <w:smallCaps w:val="0"/>
                <w:sz w:val="14"/>
              </w:rPr>
              <w:t>99.71%</w:t>
            </w:r>
          </w:p>
        </w:tc>
        <w:tc>
          <w:tcPr>
            <w:tcW w:type="dxa" w:w="2601"/>
          </w:tcPr>
          <w:p>
            <w:pPr>
              <w:keepNext w:val="0"/>
              <w:spacing w:before="0" w:after="0" w:line="240" w:lineRule="auto"/>
              <w:jc w:val="center"/>
            </w:pPr>
            <w:r>
              <w:rPr>
                <w:rFonts w:ascii="Times New Roman" w:hAnsi="Times New Roman"/>
                <w:b w:val="0"/>
                <w:i w:val="0"/>
                <w:smallCaps w:val="0"/>
                <w:sz w:val="14"/>
              </w:rPr>
              <w:t>Not tested</w:t>
            </w:r>
          </w:p>
        </w:tc>
        <w:tc>
          <w:tcPr>
            <w:tcW w:type="dxa" w:w="1313"/>
          </w:tcPr>
          <w:p>
            <w:pPr>
              <w:keepNext w:val="0"/>
              <w:spacing w:before="0" w:after="0" w:line="240" w:lineRule="auto"/>
              <w:jc w:val="center"/>
            </w:pPr>
            <w:r>
              <w:rPr>
                <w:rFonts w:ascii="Times New Roman" w:hAnsi="Times New Roman"/>
                <w:b w:val="0"/>
                <w:i w:val="0"/>
                <w:smallCaps w:val="0"/>
                <w:sz w:val="14"/>
              </w:rPr>
              <w:t>No</w:t>
            </w:r>
          </w:p>
        </w:tc>
      </w:tr>
      <w:tr>
        <w:trPr>
          <w:cantSplit/>
        </w:trPr>
        <w:tc>
          <w:tcPr>
            <w:tcW w:type="dxa" w:w="1313"/>
          </w:tcPr>
          <w:p>
            <w:pPr>
              <w:keepNext w:val="0"/>
              <w:spacing w:before="0" w:after="0" w:line="240" w:lineRule="auto"/>
              <w:jc w:val="left"/>
            </w:pPr>
            <w:r>
              <w:rPr>
                <w:rFonts w:ascii="Times New Roman" w:hAnsi="Times New Roman"/>
                <w:b w:val="0"/>
                <w:i w:val="0"/>
                <w:smallCaps w:val="0"/>
                <w:sz w:val="14"/>
              </w:rPr>
              <w:t>Salman et al. [4]</w:t>
            </w:r>
          </w:p>
        </w:tc>
        <w:tc>
          <w:tcPr>
            <w:tcW w:type="dxa" w:w="1912"/>
          </w:tcPr>
          <w:p>
            <w:pPr>
              <w:keepNext w:val="0"/>
              <w:spacing w:before="0" w:after="0" w:line="240" w:lineRule="auto"/>
              <w:jc w:val="left"/>
            </w:pPr>
            <w:r>
              <w:rPr>
                <w:rFonts w:ascii="Times New Roman" w:hAnsi="Times New Roman"/>
                <w:b w:val="0"/>
                <w:i w:val="0"/>
                <w:smallCaps w:val="0"/>
                <w:sz w:val="14"/>
              </w:rPr>
              <w:t>ViT + mixture of experts</w:t>
            </w:r>
          </w:p>
        </w:tc>
        <w:tc>
          <w:tcPr>
            <w:tcW w:type="dxa" w:w="2148"/>
          </w:tcPr>
          <w:p>
            <w:pPr>
              <w:keepNext w:val="0"/>
              <w:spacing w:before="0" w:after="0" w:line="240" w:lineRule="auto"/>
              <w:jc w:val="left"/>
            </w:pPr>
            <w:r>
              <w:rPr>
                <w:rFonts w:ascii="Times New Roman" w:hAnsi="Times New Roman"/>
                <w:b w:val="0"/>
                <w:i w:val="0"/>
                <w:smallCaps w:val="0"/>
                <w:sz w:val="14"/>
              </w:rPr>
              <w:t>PlantVillage to PlantDoc</w:t>
            </w:r>
          </w:p>
        </w:tc>
        <w:tc>
          <w:tcPr>
            <w:tcW w:type="dxa" w:w="1153"/>
          </w:tcPr>
          <w:p>
            <w:pPr>
              <w:keepNext w:val="0"/>
              <w:spacing w:before="0" w:after="0" w:line="240" w:lineRule="auto"/>
              <w:jc w:val="left"/>
            </w:pPr>
            <w:r>
              <w:rPr>
                <w:rFonts w:ascii="Times New Roman" w:hAnsi="Times New Roman"/>
                <w:b w:val="0"/>
                <w:i w:val="0"/>
                <w:smallCaps w:val="0"/>
                <w:sz w:val="14"/>
              </w:rPr>
              <w:t>Not compared here</w:t>
            </w:r>
          </w:p>
        </w:tc>
        <w:tc>
          <w:tcPr>
            <w:tcW w:type="dxa" w:w="2601"/>
          </w:tcPr>
          <w:p>
            <w:pPr>
              <w:keepNext w:val="0"/>
              <w:spacing w:before="0" w:after="0" w:line="240" w:lineRule="auto"/>
              <w:jc w:val="left"/>
            </w:pPr>
            <w:r>
              <w:rPr>
                <w:rFonts w:ascii="Times New Roman" w:hAnsi="Times New Roman"/>
                <w:b w:val="0"/>
                <w:i w:val="0"/>
                <w:smallCaps w:val="0"/>
                <w:sz w:val="14"/>
              </w:rPr>
              <w:t>68% cross-domain</w:t>
            </w:r>
          </w:p>
        </w:tc>
        <w:tc>
          <w:tcPr>
            <w:tcW w:type="dxa" w:w="1313"/>
          </w:tcPr>
          <w:p>
            <w:pPr>
              <w:keepNext w:val="0"/>
              <w:spacing w:before="0" w:after="0" w:line="240" w:lineRule="auto"/>
              <w:jc w:val="center"/>
            </w:pPr>
            <w:r>
              <w:rPr>
                <w:rFonts w:ascii="Times New Roman" w:hAnsi="Times New Roman"/>
                <w:b w:val="0"/>
                <w:i w:val="0"/>
                <w:smallCaps w:val="0"/>
                <w:sz w:val="14"/>
              </w:rPr>
              <w:t>No</w:t>
            </w:r>
          </w:p>
        </w:tc>
      </w:tr>
      <w:tr>
        <w:trPr>
          <w:cantSplit/>
        </w:trPr>
        <w:tc>
          <w:tcPr>
            <w:tcW w:type="dxa" w:w="1313"/>
          </w:tcPr>
          <w:p>
            <w:pPr>
              <w:keepNext w:val="0"/>
              <w:spacing w:before="0" w:after="0" w:line="240" w:lineRule="auto"/>
              <w:jc w:val="left"/>
            </w:pPr>
            <w:r>
              <w:rPr>
                <w:rFonts w:ascii="Times New Roman" w:hAnsi="Times New Roman"/>
                <w:b w:val="0"/>
                <w:i w:val="0"/>
                <w:smallCaps w:val="0"/>
                <w:sz w:val="14"/>
              </w:rPr>
              <w:t>This work</w:t>
            </w:r>
          </w:p>
        </w:tc>
        <w:tc>
          <w:tcPr>
            <w:tcW w:type="dxa" w:w="1912"/>
          </w:tcPr>
          <w:p>
            <w:pPr>
              <w:keepNext w:val="0"/>
              <w:spacing w:before="0" w:after="0" w:line="240" w:lineRule="auto"/>
              <w:jc w:val="left"/>
            </w:pPr>
            <w:r>
              <w:rPr>
                <w:rFonts w:ascii="Times New Roman" w:hAnsi="Times New Roman"/>
                <w:b w:val="0"/>
                <w:i w:val="0"/>
                <w:smallCaps w:val="0"/>
                <w:sz w:val="14"/>
              </w:rPr>
              <w:t>EfficientNetV2-MSAF + field aug.</w:t>
            </w:r>
          </w:p>
        </w:tc>
        <w:tc>
          <w:tcPr>
            <w:tcW w:type="dxa" w:w="2148"/>
          </w:tcPr>
          <w:p>
            <w:pPr>
              <w:keepNext w:val="0"/>
              <w:spacing w:before="0" w:after="0" w:line="240" w:lineRule="auto"/>
              <w:jc w:val="left"/>
            </w:pPr>
            <w:r>
              <w:rPr>
                <w:rFonts w:ascii="Times New Roman" w:hAnsi="Times New Roman"/>
                <w:b w:val="0"/>
                <w:i w:val="0"/>
                <w:smallCaps w:val="0"/>
                <w:sz w:val="14"/>
              </w:rPr>
              <w:t>Augmented PlantVillage, leaf-disjoint</w:t>
            </w:r>
          </w:p>
        </w:tc>
        <w:tc>
          <w:tcPr>
            <w:tcW w:type="dxa" w:w="1153"/>
          </w:tcPr>
          <w:p>
            <w:pPr>
              <w:keepNext w:val="0"/>
              <w:spacing w:before="0" w:after="0" w:line="240" w:lineRule="auto"/>
              <w:jc w:val="center"/>
            </w:pPr>
            <w:r>
              <w:rPr>
                <w:rFonts w:ascii="Times New Roman" w:hAnsi="Times New Roman"/>
                <w:b w:val="0"/>
                <w:i w:val="0"/>
                <w:smallCaps w:val="0"/>
                <w:sz w:val="14"/>
              </w:rPr>
              <w:t>99.56%</w:t>
            </w:r>
          </w:p>
        </w:tc>
        <w:tc>
          <w:tcPr>
            <w:tcW w:type="dxa" w:w="2601"/>
          </w:tcPr>
          <w:p>
            <w:pPr>
              <w:keepNext w:val="0"/>
              <w:spacing w:before="0" w:after="0" w:line="240" w:lineRule="auto"/>
              <w:jc w:val="left"/>
            </w:pPr>
            <w:r>
              <w:rPr>
                <w:rFonts w:ascii="Times New Roman" w:hAnsi="Times New Roman"/>
                <w:b w:val="0"/>
                <w:i w:val="0"/>
                <w:smallCaps w:val="0"/>
                <w:sz w:val="14"/>
              </w:rPr>
              <w:t>mCA 94.84% over 6 corruptions; 8/8 field photos</w:t>
            </w:r>
          </w:p>
        </w:tc>
        <w:tc>
          <w:tcPr>
            <w:tcW w:type="dxa" w:w="1313"/>
          </w:tcPr>
          <w:p>
            <w:pPr>
              <w:keepNext w:val="0"/>
              <w:spacing w:before="0" w:after="0" w:line="240" w:lineRule="auto"/>
              <w:jc w:val="left"/>
            </w:pPr>
            <w:r>
              <w:rPr>
                <w:rFonts w:ascii="Times New Roman" w:hAnsi="Times New Roman"/>
                <w:b w:val="0"/>
                <w:i w:val="0"/>
                <w:smallCaps w:val="0"/>
                <w:sz w:val="14"/>
              </w:rPr>
              <w:t>Yes: ECE 5.44% raw</w:t>
            </w:r>
          </w:p>
        </w:tc>
      </w:tr>
    </w:tbl>
    <w:p>
      <w:pPr>
        <w:keepNext w:val="0"/>
        <w:spacing w:before="0" w:after="40" w:line="240" w:lineRule="auto"/>
        <w:jc w:val="both"/>
      </w:pPr>
    </w:p>
    <w:p>
      <w:pPr>
        <w:sectPr>
          <w:type w:val="continuous"/>
          <w:pgSz w:w="12240" w:h="15840"/>
          <w:pgMar w:top="1080" w:right="900" w:bottom="1440" w:left="900" w:header="720" w:footer="720" w:gutter="0"/>
          <w:cols w:space="360" w:num="1"/>
          <w:docGrid w:linePitch="360"/>
        </w:sectPr>
      </w:pPr>
    </w:p>
    <w:p>
      <w:pPr>
        <w:keepNext w:val="0"/>
        <w:spacing w:before="0" w:after="0" w:line="240" w:lineRule="auto"/>
        <w:ind w:firstLine="288"/>
        <w:jc w:val="both"/>
      </w:pPr>
      <w:r>
        <w:rPr>
          <w:rFonts w:ascii="Times New Roman" w:hAnsi="Times New Roman"/>
          <w:b w:val="0"/>
          <w:i w:val="0"/>
          <w:smallCaps w:val="0"/>
          <w:sz w:val="20"/>
        </w:rPr>
        <w:t>On clean images the system is on par with published models on a stricter test set; its distinguishing results are measured robustness, calibrated confidence and non-leaf rejection. The 8/8 field result is not comparable with the 31.4% or 68% figures, which come from hundreds of images.</w:t>
      </w:r>
    </w:p>
    <w:p>
      <w:pPr>
        <w:keepNext/>
        <w:spacing w:before="80" w:after="40" w:line="240" w:lineRule="auto"/>
        <w:jc w:val="left"/>
      </w:pPr>
      <w:r>
        <w:rPr>
          <w:rFonts w:ascii="Times New Roman" w:hAnsi="Times New Roman"/>
          <w:b w:val="0"/>
          <w:i/>
          <w:smallCaps w:val="0"/>
          <w:sz w:val="20"/>
        </w:rPr>
        <w:t>E. Critical Result Analysis</w:t>
      </w:r>
    </w:p>
    <w:p>
      <w:pPr>
        <w:keepNext w:val="0"/>
        <w:spacing w:before="0" w:after="0" w:line="240" w:lineRule="auto"/>
        <w:ind w:firstLine="288"/>
        <w:jc w:val="both"/>
      </w:pPr>
      <w:r>
        <w:rPr>
          <w:rFonts w:ascii="Times New Roman" w:hAnsi="Times New Roman"/>
          <w:b w:val="0"/>
          <w:i w:val="0"/>
          <w:smallCaps w:val="0"/>
          <w:sz w:val="20"/>
        </w:rPr>
        <w:t>The baseline concentrates confidence near 0.90 even on clean images (mean 89.08% at 99.62% accuracy), a sign of label-smoothing saturation; fusing layer-normalised descriptors from three depths spreads the logits and lowers NLL (0.069 vs. 0.123). Fine 28 × 28 features help when noise and darkness corrupt texture uniformly, but motion blur smears exactly those details. As in [6], robustness depends more on training data than on architecture.</w:t>
      </w:r>
    </w:p>
    <w:p>
      <w:pPr>
        <w:keepNext w:val="0"/>
        <w:spacing w:before="0" w:after="0" w:line="240" w:lineRule="auto"/>
        <w:ind w:firstLine="288"/>
        <w:jc w:val="both"/>
      </w:pPr>
      <w:r>
        <w:rPr>
          <w:rFonts w:ascii="Times New Roman" w:hAnsi="Times New Roman"/>
          <w:b w:val="0"/>
          <w:i w:val="0"/>
          <w:smallCaps w:val="0"/>
          <w:sz w:val="20"/>
        </w:rPr>
        <w:t>Each model was trained once with one seed, so differences under about one point should not be over-read even when McNemar tests are significant. In practice, a deployed tool should be trained with capture-style augmentation and report calibrated confidence, and the MSAF head is worth its cost when trustworthy confidence matters more than motion-blur robustness.</w:t>
      </w:r>
    </w:p>
    <w:p>
      <w:pPr>
        <w:keepNext/>
        <w:spacing w:before="120" w:after="60" w:line="240" w:lineRule="auto"/>
        <w:jc w:val="center"/>
      </w:pPr>
      <w:r>
        <w:rPr>
          <w:rFonts w:ascii="Times New Roman" w:hAnsi="Times New Roman"/>
          <w:b w:val="0"/>
          <w:i w:val="0"/>
          <w:smallCaps/>
          <w:sz w:val="20"/>
        </w:rPr>
        <w:t>V. Conclusion and Future Work</w:t>
      </w:r>
    </w:p>
    <w:p>
      <w:pPr>
        <w:keepNext w:val="0"/>
        <w:spacing w:before="0" w:after="0" w:line="240" w:lineRule="auto"/>
        <w:ind w:firstLine="288"/>
        <w:jc w:val="both"/>
      </w:pPr>
      <w:r>
        <w:rPr>
          <w:rFonts w:ascii="Times New Roman" w:hAnsi="Times New Roman"/>
          <w:b w:val="0"/>
          <w:i w:val="0"/>
          <w:smallCaps w:val="0"/>
          <w:sz w:val="20"/>
        </w:rPr>
        <w:t>This study addressed the gap between near-perfect laboratory accuracy and unreliable field performance in crop disease diagnosis. A leaf-disjoint split of 87,867 PlantVillage images removed augmented-copy leakage that affected 67.5% of a random split's test images, and EfficientNetV2-MSAF fused attention-refined features from three backbone depths for 1.09% more parameters. All five models reached 99.51–99.62% clean accuracy with no significant difference, while the multi-scale head halved raw calibration error (10.57% to 5.14%) and reduced selective risk under unseen corruptions by 20%. Field augmentation supplied most robustness, and the deployed system, with a leaf gatekeeper, Grad-CAM and treatment guidance, raised mean corrupted accuracy from 82.20% to 94.84% and classified all eight field photographs correctly. Its main limitations are single-seed training, synthetic corruptions at one severity and only eight field images. Future work will evaluate on PlantDoc, repeat training over several seeds, add motion-blur and multi-severity augmentation, and validate severity against expert scoring.</w:t>
      </w:r>
    </w:p>
    <w:p>
      <w:pPr>
        <w:keepNext/>
        <w:spacing w:before="120" w:after="60" w:line="240" w:lineRule="auto"/>
        <w:jc w:val="center"/>
      </w:pPr>
      <w:r>
        <w:rPr>
          <w:rFonts w:ascii="Times New Roman" w:hAnsi="Times New Roman"/>
          <w:b w:val="0"/>
          <w:i w:val="0"/>
          <w:smallCaps/>
          <w:sz w:val="20"/>
        </w:rPr>
        <w:t>REFERENCES</w:t>
      </w:r>
    </w:p>
    <w:p>
      <w:pPr>
        <w:keepNext w:val="0"/>
        <w:tabs>
          <w:tab w:pos="432" w:val="left"/>
        </w:tabs>
        <w:spacing w:before="0" w:after="0" w:line="180" w:lineRule="exact"/>
        <w:ind w:left="432" w:hanging="432"/>
        <w:jc w:val="both"/>
      </w:pPr>
      <w:r>
        <w:rPr>
          <w:rFonts w:ascii="Times New Roman" w:hAnsi="Times New Roman"/>
          <w:b w:val="0"/>
          <w:i w:val="0"/>
          <w:smallCaps w:val="0"/>
          <w:sz w:val="16"/>
        </w:rPr>
        <w:t>[1]</w:t>
        <w:tab/>
        <w:t xml:space="preserve">S. Savary, L. Willocquet, S. J. Pethybridge, P. Esker, N. McRoberts, and A. Nelson, “The global burden of pathogens and pests on major food crops,” </w:t>
      </w:r>
      <w:r>
        <w:rPr>
          <w:rFonts w:ascii="Times New Roman" w:hAnsi="Times New Roman"/>
          <w:b w:val="0"/>
          <w:i/>
          <w:smallCaps w:val="0"/>
          <w:sz w:val="16"/>
        </w:rPr>
        <w:t>Nature Ecology &amp; Evolution</w:t>
      </w:r>
      <w:r>
        <w:rPr>
          <w:rFonts w:ascii="Times New Roman" w:hAnsi="Times New Roman"/>
          <w:b w:val="0"/>
          <w:i w:val="0"/>
          <w:smallCaps w:val="0"/>
          <w:sz w:val="16"/>
        </w:rPr>
        <w:t>, vol. 3, no. 3, pp. 430–439, 2019, doi: 10.1038/s41559-018-0793-y.</w:t>
      </w:r>
    </w:p>
    <w:p>
      <w:pPr>
        <w:keepNext w:val="0"/>
        <w:tabs>
          <w:tab w:pos="432" w:val="left"/>
        </w:tabs>
        <w:spacing w:before="0" w:after="0" w:line="180" w:lineRule="exact"/>
        <w:ind w:left="432" w:hanging="432"/>
        <w:jc w:val="both"/>
      </w:pPr>
      <w:r>
        <w:rPr>
          <w:rFonts w:ascii="Times New Roman" w:hAnsi="Times New Roman"/>
          <w:b w:val="0"/>
          <w:i w:val="0"/>
          <w:smallCaps w:val="0"/>
          <w:sz w:val="16"/>
        </w:rPr>
        <w:t>[2]</w:t>
        <w:tab/>
        <w:t>D. P. Hughes and M. Salathé, “An open access repository of images on plant health to enable the development of mobile disease diagnostics,” arXiv:1511.08060, 2015.</w:t>
      </w:r>
    </w:p>
    <w:p>
      <w:pPr>
        <w:keepNext w:val="0"/>
        <w:tabs>
          <w:tab w:pos="432" w:val="left"/>
        </w:tabs>
        <w:spacing w:before="0" w:after="0" w:line="180" w:lineRule="exact"/>
        <w:ind w:left="432" w:hanging="432"/>
        <w:jc w:val="both"/>
      </w:pPr>
      <w:r>
        <w:rPr>
          <w:rFonts w:ascii="Times New Roman" w:hAnsi="Times New Roman"/>
          <w:b w:val="0"/>
          <w:i w:val="0"/>
          <w:smallCaps w:val="0"/>
          <w:sz w:val="16"/>
        </w:rPr>
        <w:t>[3]</w:t>
        <w:tab/>
        <w:t xml:space="preserve">S. P. Mohanty, D. P. Hughes, and M. Salathé, “Using deep learning for image-based plant disease detection,” </w:t>
      </w:r>
      <w:r>
        <w:rPr>
          <w:rFonts w:ascii="Times New Roman" w:hAnsi="Times New Roman"/>
          <w:b w:val="0"/>
          <w:i/>
          <w:smallCaps w:val="0"/>
          <w:sz w:val="16"/>
        </w:rPr>
        <w:t>Frontiers in Plant Science</w:t>
      </w:r>
      <w:r>
        <w:rPr>
          <w:rFonts w:ascii="Times New Roman" w:hAnsi="Times New Roman"/>
          <w:b w:val="0"/>
          <w:i w:val="0"/>
          <w:smallCaps w:val="0"/>
          <w:sz w:val="16"/>
        </w:rPr>
        <w:t>, vol. 7, Art. no. 1419, 2016, doi: 10.3389/fpls.2016.01419.</w:t>
      </w:r>
    </w:p>
    <w:p>
      <w:pPr>
        <w:keepNext w:val="0"/>
        <w:tabs>
          <w:tab w:pos="432" w:val="left"/>
        </w:tabs>
        <w:spacing w:before="0" w:after="0" w:line="180" w:lineRule="exact"/>
        <w:ind w:left="432" w:hanging="432"/>
        <w:jc w:val="both"/>
      </w:pPr>
      <w:r>
        <w:rPr>
          <w:rFonts w:ascii="Times New Roman" w:hAnsi="Times New Roman"/>
          <w:b w:val="0"/>
          <w:i w:val="0"/>
          <w:smallCaps w:val="0"/>
          <w:sz w:val="16"/>
        </w:rPr>
        <w:t>[4]</w:t>
        <w:tab/>
        <w:t xml:space="preserve">Z. Salman, A. Muhammad, and D. Han, “Plant disease classification in the wild using vision transformers and mixture of experts,” </w:t>
      </w:r>
      <w:r>
        <w:rPr>
          <w:rFonts w:ascii="Times New Roman" w:hAnsi="Times New Roman"/>
          <w:b w:val="0"/>
          <w:i/>
          <w:smallCaps w:val="0"/>
          <w:sz w:val="16"/>
        </w:rPr>
        <w:t>Frontiers in Plant Science</w:t>
      </w:r>
      <w:r>
        <w:rPr>
          <w:rFonts w:ascii="Times New Roman" w:hAnsi="Times New Roman"/>
          <w:b w:val="0"/>
          <w:i w:val="0"/>
          <w:smallCaps w:val="0"/>
          <w:sz w:val="16"/>
        </w:rPr>
        <w:t>, vol. 16, Art. no. 1522985, 2025, doi: 10.3389/fpls.2025.1522985.</w:t>
      </w:r>
    </w:p>
    <w:p>
      <w:pPr>
        <w:keepNext w:val="0"/>
        <w:tabs>
          <w:tab w:pos="432" w:val="left"/>
        </w:tabs>
        <w:spacing w:before="0" w:after="0" w:line="180" w:lineRule="exact"/>
        <w:ind w:left="432" w:hanging="432"/>
        <w:jc w:val="both"/>
      </w:pPr>
      <w:r>
        <w:rPr>
          <w:rFonts w:ascii="Times New Roman" w:hAnsi="Times New Roman"/>
          <w:b w:val="0"/>
          <w:i w:val="0"/>
          <w:smallCaps w:val="0"/>
          <w:sz w:val="16"/>
        </w:rPr>
        <w:t>[5]</w:t>
        <w:tab/>
        <w:t xml:space="preserve">D. Singh, N. Jain, P. Jain, P. Kayal, S. Kumawat, and N. Batra, “PlantDoc: A dataset for visual plant disease detection,” in </w:t>
      </w:r>
      <w:r>
        <w:rPr>
          <w:rFonts w:ascii="Times New Roman" w:hAnsi="Times New Roman"/>
          <w:b w:val="0"/>
          <w:i/>
          <w:smallCaps w:val="0"/>
          <w:sz w:val="16"/>
        </w:rPr>
        <w:t>Proc. 7th ACM IKDD CoDS and 25th COMAD</w:t>
      </w:r>
      <w:r>
        <w:rPr>
          <w:rFonts w:ascii="Times New Roman" w:hAnsi="Times New Roman"/>
          <w:b w:val="0"/>
          <w:i w:val="0"/>
          <w:smallCaps w:val="0"/>
          <w:sz w:val="16"/>
        </w:rPr>
        <w:t>, 2020, pp. 249–253.</w:t>
      </w:r>
    </w:p>
    <w:p>
      <w:pPr>
        <w:keepNext w:val="0"/>
        <w:tabs>
          <w:tab w:pos="432" w:val="left"/>
        </w:tabs>
        <w:spacing w:before="0" w:after="0" w:line="180" w:lineRule="exact"/>
        <w:ind w:left="432" w:hanging="432"/>
        <w:jc w:val="both"/>
      </w:pPr>
      <w:r>
        <w:rPr>
          <w:rFonts w:ascii="Times New Roman" w:hAnsi="Times New Roman"/>
          <w:b w:val="0"/>
          <w:i w:val="0"/>
          <w:smallCaps w:val="0"/>
          <w:sz w:val="16"/>
        </w:rPr>
        <w:t>[6]</w:t>
        <w:tab/>
        <w:t xml:space="preserve">J. Das, Y. Panjwani, and E. Uchoi, “Beyond accuracy: Robustness and calibration evaluation of deep learning models for plant disease detection,” in </w:t>
      </w:r>
      <w:r>
        <w:rPr>
          <w:rFonts w:ascii="Times New Roman" w:hAnsi="Times New Roman"/>
          <w:b w:val="0"/>
          <w:i/>
          <w:smallCaps w:val="0"/>
          <w:sz w:val="16"/>
        </w:rPr>
        <w:t>Proc. IEEE 7th Int. Conf. Cybernetics, Cognition and Machine Learning Applications (ICCCMLA)</w:t>
      </w:r>
      <w:r>
        <w:rPr>
          <w:rFonts w:ascii="Times New Roman" w:hAnsi="Times New Roman"/>
          <w:b w:val="0"/>
          <w:i w:val="0"/>
          <w:smallCaps w:val="0"/>
          <w:sz w:val="16"/>
        </w:rPr>
        <w:t>, 2025, pp. 1–6, doi: 10.1109/ICCCMLA66092.2025.11581126.</w:t>
      </w:r>
    </w:p>
    <w:p>
      <w:pPr>
        <w:keepNext w:val="0"/>
        <w:tabs>
          <w:tab w:pos="432" w:val="left"/>
        </w:tabs>
        <w:spacing w:before="0" w:after="0" w:line="180" w:lineRule="exact"/>
        <w:ind w:left="432" w:hanging="432"/>
        <w:jc w:val="both"/>
      </w:pPr>
      <w:r>
        <w:rPr>
          <w:rFonts w:ascii="Times New Roman" w:hAnsi="Times New Roman"/>
          <w:b w:val="0"/>
          <w:i w:val="0"/>
          <w:smallCaps w:val="0"/>
          <w:sz w:val="16"/>
        </w:rPr>
        <w:t>[7]</w:t>
        <w:tab/>
        <w:t xml:space="preserve">M. Tan and Q. V. Le, “EfficientNetV2: Smaller models and faster training,” in </w:t>
      </w:r>
      <w:r>
        <w:rPr>
          <w:rFonts w:ascii="Times New Roman" w:hAnsi="Times New Roman"/>
          <w:b w:val="0"/>
          <w:i/>
          <w:smallCaps w:val="0"/>
          <w:sz w:val="16"/>
        </w:rPr>
        <w:t>Proc. 38th Int. Conf. Machine Learning (ICML)</w:t>
      </w:r>
      <w:r>
        <w:rPr>
          <w:rFonts w:ascii="Times New Roman" w:hAnsi="Times New Roman"/>
          <w:b w:val="0"/>
          <w:i w:val="0"/>
          <w:smallCaps w:val="0"/>
          <w:sz w:val="16"/>
        </w:rPr>
        <w:t>, 2021, pp. 10096–10106.</w:t>
      </w:r>
    </w:p>
    <w:p>
      <w:pPr>
        <w:keepNext w:val="0"/>
        <w:tabs>
          <w:tab w:pos="432" w:val="left"/>
        </w:tabs>
        <w:spacing w:before="0" w:after="0" w:line="180" w:lineRule="exact"/>
        <w:ind w:left="432" w:hanging="432"/>
        <w:jc w:val="both"/>
      </w:pPr>
      <w:r>
        <w:rPr>
          <w:rFonts w:ascii="Times New Roman" w:hAnsi="Times New Roman"/>
          <w:b w:val="0"/>
          <w:i w:val="0"/>
          <w:smallCaps w:val="0"/>
          <w:sz w:val="16"/>
        </w:rPr>
        <w:t>[8]</w:t>
        <w:tab/>
        <w:t xml:space="preserve">S. Woo, J. Park, J.-Y. Lee, and I. S. Kweon, “CBAM: Convolutional block attention module,” in </w:t>
      </w:r>
      <w:r>
        <w:rPr>
          <w:rFonts w:ascii="Times New Roman" w:hAnsi="Times New Roman"/>
          <w:b w:val="0"/>
          <w:i/>
          <w:smallCaps w:val="0"/>
          <w:sz w:val="16"/>
        </w:rPr>
        <w:t>Proc. European Conf. Computer Vision (ECCV)</w:t>
      </w:r>
      <w:r>
        <w:rPr>
          <w:rFonts w:ascii="Times New Roman" w:hAnsi="Times New Roman"/>
          <w:b w:val="0"/>
          <w:i w:val="0"/>
          <w:smallCaps w:val="0"/>
          <w:sz w:val="16"/>
        </w:rPr>
        <w:t>, 2018, pp. 3–19.</w:t>
      </w:r>
    </w:p>
    <w:p>
      <w:pPr>
        <w:keepNext w:val="0"/>
        <w:tabs>
          <w:tab w:pos="432" w:val="left"/>
        </w:tabs>
        <w:spacing w:before="0" w:after="0" w:line="180" w:lineRule="exact"/>
        <w:ind w:left="432" w:hanging="432"/>
        <w:jc w:val="both"/>
      </w:pPr>
      <w:r>
        <w:rPr>
          <w:rFonts w:ascii="Times New Roman" w:hAnsi="Times New Roman"/>
          <w:b w:val="0"/>
          <w:i w:val="0"/>
          <w:smallCaps w:val="0"/>
          <w:sz w:val="16"/>
        </w:rPr>
        <w:t>[9]</w:t>
        <w:tab/>
        <w:t xml:space="preserve">C. Guo, G. Pleiss, Y. Sun, and K. Q. Weinberger, “On calibration of modern neural networks,” in </w:t>
      </w:r>
      <w:r>
        <w:rPr>
          <w:rFonts w:ascii="Times New Roman" w:hAnsi="Times New Roman"/>
          <w:b w:val="0"/>
          <w:i/>
          <w:smallCaps w:val="0"/>
          <w:sz w:val="16"/>
        </w:rPr>
        <w:t>Proc. 34th Int. Conf. Machine Learning (ICML)</w:t>
      </w:r>
      <w:r>
        <w:rPr>
          <w:rFonts w:ascii="Times New Roman" w:hAnsi="Times New Roman"/>
          <w:b w:val="0"/>
          <w:i w:val="0"/>
          <w:smallCaps w:val="0"/>
          <w:sz w:val="16"/>
        </w:rPr>
        <w:t>, 2017, pp. 1321–1330.</w:t>
      </w:r>
    </w:p>
    <w:p>
      <w:pPr>
        <w:keepNext w:val="0"/>
        <w:tabs>
          <w:tab w:pos="432" w:val="left"/>
        </w:tabs>
        <w:spacing w:before="0" w:after="0" w:line="180" w:lineRule="exact"/>
        <w:ind w:left="432" w:hanging="432"/>
        <w:jc w:val="both"/>
      </w:pPr>
      <w:r>
        <w:rPr>
          <w:rFonts w:ascii="Times New Roman" w:hAnsi="Times New Roman"/>
          <w:b w:val="0"/>
          <w:i w:val="0"/>
          <w:smallCaps w:val="0"/>
          <w:sz w:val="16"/>
        </w:rPr>
        <w:t>[10]</w:t>
        <w:tab/>
        <w:t xml:space="preserve">D. Hendrycks and T. Dietterich, “Benchmarking neural network robustness to common corruptions and perturbations,” in </w:t>
      </w:r>
      <w:r>
        <w:rPr>
          <w:rFonts w:ascii="Times New Roman" w:hAnsi="Times New Roman"/>
          <w:b w:val="0"/>
          <w:i/>
          <w:smallCaps w:val="0"/>
          <w:sz w:val="16"/>
        </w:rPr>
        <w:t>Proc. Int. Conf. Learning Representations (ICLR)</w:t>
      </w:r>
      <w:r>
        <w:rPr>
          <w:rFonts w:ascii="Times New Roman" w:hAnsi="Times New Roman"/>
          <w:b w:val="0"/>
          <w:i w:val="0"/>
          <w:smallCaps w:val="0"/>
          <w:sz w:val="16"/>
        </w:rPr>
        <w:t>, 2019.</w:t>
      </w:r>
    </w:p>
    <w:p>
      <w:pPr>
        <w:keepNext w:val="0"/>
        <w:tabs>
          <w:tab w:pos="432" w:val="left"/>
        </w:tabs>
        <w:spacing w:before="0" w:after="0" w:line="180" w:lineRule="exact"/>
        <w:ind w:left="432" w:hanging="432"/>
        <w:jc w:val="both"/>
      </w:pPr>
      <w:r>
        <w:rPr>
          <w:rFonts w:ascii="Times New Roman" w:hAnsi="Times New Roman"/>
          <w:b w:val="0"/>
          <w:i w:val="0"/>
          <w:smallCaps w:val="0"/>
          <w:sz w:val="16"/>
        </w:rPr>
        <w:t>[11]</w:t>
        <w:tab/>
        <w:t xml:space="preserve">D. Zhu, J. Tan, C. Wu, K. Yung, and A. W. H. Ip, “Crop disease identification by fusing multiscale convolution and vision transformer,” </w:t>
      </w:r>
      <w:r>
        <w:rPr>
          <w:rFonts w:ascii="Times New Roman" w:hAnsi="Times New Roman"/>
          <w:b w:val="0"/>
          <w:i/>
          <w:smallCaps w:val="0"/>
          <w:sz w:val="16"/>
        </w:rPr>
        <w:t>Sensors</w:t>
      </w:r>
      <w:r>
        <w:rPr>
          <w:rFonts w:ascii="Times New Roman" w:hAnsi="Times New Roman"/>
          <w:b w:val="0"/>
          <w:i w:val="0"/>
          <w:smallCaps w:val="0"/>
          <w:sz w:val="16"/>
        </w:rPr>
        <w:t>, vol. 23, no. 13, Art. no. 6015, 2023, doi: 10.3390/s23136015.</w:t>
      </w:r>
    </w:p>
    <w:p>
      <w:pPr>
        <w:keepNext w:val="0"/>
        <w:tabs>
          <w:tab w:pos="432" w:val="left"/>
        </w:tabs>
        <w:spacing w:before="0" w:after="0" w:line="180" w:lineRule="exact"/>
        <w:ind w:left="432" w:hanging="432"/>
        <w:jc w:val="both"/>
      </w:pPr>
      <w:r>
        <w:rPr>
          <w:rFonts w:ascii="Times New Roman" w:hAnsi="Times New Roman"/>
          <w:b w:val="0"/>
          <w:i w:val="0"/>
          <w:smallCaps w:val="0"/>
          <w:sz w:val="16"/>
        </w:rPr>
        <w:t>[12]</w:t>
        <w:tab/>
        <w:t xml:space="preserve">H. Guan, C. Fu, G. Zhang, K. Li, P. Wang, and Z. Zhu, “A lightweight model for efficient identification of plant diseases and pests based on deep learning,” </w:t>
      </w:r>
      <w:r>
        <w:rPr>
          <w:rFonts w:ascii="Times New Roman" w:hAnsi="Times New Roman"/>
          <w:b w:val="0"/>
          <w:i/>
          <w:smallCaps w:val="0"/>
          <w:sz w:val="16"/>
        </w:rPr>
        <w:t>Frontiers in Plant Science</w:t>
      </w:r>
      <w:r>
        <w:rPr>
          <w:rFonts w:ascii="Times New Roman" w:hAnsi="Times New Roman"/>
          <w:b w:val="0"/>
          <w:i w:val="0"/>
          <w:smallCaps w:val="0"/>
          <w:sz w:val="16"/>
        </w:rPr>
        <w:t>, vol. 14, Art. no. 1227011, 2023, doi: 10.3389/fpls.2023.1227011.</w:t>
      </w:r>
    </w:p>
    <w:p>
      <w:pPr>
        <w:keepNext w:val="0"/>
        <w:tabs>
          <w:tab w:pos="432" w:val="left"/>
        </w:tabs>
        <w:spacing w:before="0" w:after="0" w:line="180" w:lineRule="exact"/>
        <w:ind w:left="432" w:hanging="432"/>
        <w:jc w:val="both"/>
      </w:pPr>
      <w:r>
        <w:rPr>
          <w:rFonts w:ascii="Times New Roman" w:hAnsi="Times New Roman"/>
          <w:b w:val="0"/>
          <w:i w:val="0"/>
          <w:smallCaps w:val="0"/>
          <w:sz w:val="16"/>
        </w:rPr>
        <w:t>[13]</w:t>
        <w:tab/>
        <w:t xml:space="preserve">P. Gole, P. Bedi, S. Marwaha, M. A. Haque, and C. K. Deb, “TrIncNet: A lightweight vision transformer network for identification of plant diseases,” </w:t>
      </w:r>
      <w:r>
        <w:rPr>
          <w:rFonts w:ascii="Times New Roman" w:hAnsi="Times New Roman"/>
          <w:b w:val="0"/>
          <w:i/>
          <w:smallCaps w:val="0"/>
          <w:sz w:val="16"/>
        </w:rPr>
        <w:t>Frontiers in Plant Science</w:t>
      </w:r>
      <w:r>
        <w:rPr>
          <w:rFonts w:ascii="Times New Roman" w:hAnsi="Times New Roman"/>
          <w:b w:val="0"/>
          <w:i w:val="0"/>
          <w:smallCaps w:val="0"/>
          <w:sz w:val="16"/>
        </w:rPr>
        <w:t>, vol. 14, Art. no. 1221557, 2023, doi: 10.3389/fpls.2023.1221557.</w:t>
      </w:r>
    </w:p>
    <w:p>
      <w:pPr>
        <w:keepNext w:val="0"/>
        <w:tabs>
          <w:tab w:pos="432" w:val="left"/>
        </w:tabs>
        <w:spacing w:before="0" w:after="0" w:line="180" w:lineRule="exact"/>
        <w:ind w:left="432" w:hanging="432"/>
        <w:jc w:val="both"/>
      </w:pPr>
      <w:r>
        <w:rPr>
          <w:rFonts w:ascii="Times New Roman" w:hAnsi="Times New Roman"/>
          <w:b w:val="0"/>
          <w:i w:val="0"/>
          <w:smallCaps w:val="0"/>
          <w:sz w:val="16"/>
        </w:rPr>
        <w:t>[14]</w:t>
        <w:tab/>
        <w:t xml:space="preserve">Q. Meng, J. Guo, H. Zhang, Y. Zhou, and X. Zhang, “A dual-branch model combining convolution and vision transformer for crop disease classification,” </w:t>
      </w:r>
      <w:r>
        <w:rPr>
          <w:rFonts w:ascii="Times New Roman" w:hAnsi="Times New Roman"/>
          <w:b w:val="0"/>
          <w:i/>
          <w:smallCaps w:val="0"/>
          <w:sz w:val="16"/>
        </w:rPr>
        <w:t>PLOS ONE</w:t>
      </w:r>
      <w:r>
        <w:rPr>
          <w:rFonts w:ascii="Times New Roman" w:hAnsi="Times New Roman"/>
          <w:b w:val="0"/>
          <w:i w:val="0"/>
          <w:smallCaps w:val="0"/>
          <w:sz w:val="16"/>
        </w:rPr>
        <w:t>, vol. 20, no. 4, Art. no. e0321753, 2025, doi: 10.1371/journal.pone.0321753.</w:t>
      </w:r>
    </w:p>
    <w:p>
      <w:pPr>
        <w:keepNext w:val="0"/>
        <w:tabs>
          <w:tab w:pos="432" w:val="left"/>
        </w:tabs>
        <w:spacing w:before="0" w:after="0" w:line="180" w:lineRule="exact"/>
        <w:ind w:left="432" w:hanging="432"/>
        <w:jc w:val="both"/>
      </w:pPr>
      <w:r>
        <w:rPr>
          <w:rFonts w:ascii="Times New Roman" w:hAnsi="Times New Roman"/>
          <w:b w:val="0"/>
          <w:i w:val="0"/>
          <w:smallCaps w:val="0"/>
          <w:sz w:val="16"/>
        </w:rPr>
        <w:t>[15]</w:t>
        <w:tab/>
        <w:t xml:space="preserve">S. Zhang and R. Liu, “Multi-scale feature fusion-based vision Mamba for robust plant disease image classification on field-acquired PlantDoc data,” </w:t>
      </w:r>
      <w:r>
        <w:rPr>
          <w:rFonts w:ascii="Times New Roman" w:hAnsi="Times New Roman"/>
          <w:b w:val="0"/>
          <w:i/>
          <w:smallCaps w:val="0"/>
          <w:sz w:val="16"/>
        </w:rPr>
        <w:t>Frontiers in Plant Science</w:t>
      </w:r>
      <w:r>
        <w:rPr>
          <w:rFonts w:ascii="Times New Roman" w:hAnsi="Times New Roman"/>
          <w:b w:val="0"/>
          <w:i w:val="0"/>
          <w:smallCaps w:val="0"/>
          <w:sz w:val="16"/>
        </w:rPr>
        <w:t>, vol. 17, Art. no. 1842426, 2026, doi: 10.3389/fpls.2026.1842426.</w:t>
      </w:r>
    </w:p>
    <w:p>
      <w:pPr>
        <w:keepNext w:val="0"/>
        <w:tabs>
          <w:tab w:pos="432" w:val="left"/>
        </w:tabs>
        <w:spacing w:before="0" w:after="0" w:line="180" w:lineRule="exact"/>
        <w:ind w:left="432" w:hanging="432"/>
        <w:jc w:val="both"/>
      </w:pPr>
      <w:r>
        <w:rPr>
          <w:rFonts w:ascii="Times New Roman" w:hAnsi="Times New Roman"/>
          <w:b w:val="0"/>
          <w:i w:val="0"/>
          <w:smallCaps w:val="0"/>
          <w:sz w:val="16"/>
        </w:rPr>
        <w:t>[16]</w:t>
        <w:tab/>
        <w:t xml:space="preserve">J. Andrew, J. Eunice, D. E. Popescu, M. K. Chowdary, and J. Hemanth, “Deep learning-based leaf disease detection in crops using images for agricultural applications,” </w:t>
      </w:r>
      <w:r>
        <w:rPr>
          <w:rFonts w:ascii="Times New Roman" w:hAnsi="Times New Roman"/>
          <w:b w:val="0"/>
          <w:i/>
          <w:smallCaps w:val="0"/>
          <w:sz w:val="16"/>
        </w:rPr>
        <w:t>Agronomy</w:t>
      </w:r>
      <w:r>
        <w:rPr>
          <w:rFonts w:ascii="Times New Roman" w:hAnsi="Times New Roman"/>
          <w:b w:val="0"/>
          <w:i w:val="0"/>
          <w:smallCaps w:val="0"/>
          <w:sz w:val="16"/>
        </w:rPr>
        <w:t>, vol. 12, no. 10, Art. no. 2395, 2022, doi: 10.3390/agronomy12102395.</w:t>
      </w:r>
    </w:p>
    <w:p>
      <w:pPr>
        <w:keepNext w:val="0"/>
        <w:tabs>
          <w:tab w:pos="432" w:val="left"/>
        </w:tabs>
        <w:spacing w:before="0" w:after="0" w:line="180" w:lineRule="exact"/>
        <w:ind w:left="432" w:hanging="432"/>
        <w:jc w:val="both"/>
      </w:pPr>
      <w:r>
        <w:rPr>
          <w:rFonts w:ascii="Times New Roman" w:hAnsi="Times New Roman"/>
          <w:b w:val="0"/>
          <w:i w:val="0"/>
          <w:smallCaps w:val="0"/>
          <w:sz w:val="16"/>
        </w:rPr>
        <w:t>[17]</w:t>
        <w:tab/>
        <w:t xml:space="preserve">S. M. Hassan and A. K. Maji, “Plant disease identification using a novel convolutional neural network,” </w:t>
      </w:r>
      <w:r>
        <w:rPr>
          <w:rFonts w:ascii="Times New Roman" w:hAnsi="Times New Roman"/>
          <w:b w:val="0"/>
          <w:i/>
          <w:smallCaps w:val="0"/>
          <w:sz w:val="16"/>
        </w:rPr>
        <w:t>IEEE Access</w:t>
      </w:r>
      <w:r>
        <w:rPr>
          <w:rFonts w:ascii="Times New Roman" w:hAnsi="Times New Roman"/>
          <w:b w:val="0"/>
          <w:i w:val="0"/>
          <w:smallCaps w:val="0"/>
          <w:sz w:val="16"/>
        </w:rPr>
        <w:t>, vol. 10, pp. 5390–5401, 2022, doi: 10.1109/ACCESS.2022.3141371.</w:t>
      </w:r>
    </w:p>
    <w:p>
      <w:pPr>
        <w:keepNext w:val="0"/>
        <w:tabs>
          <w:tab w:pos="432" w:val="left"/>
        </w:tabs>
        <w:spacing w:before="0" w:after="0" w:line="180" w:lineRule="exact"/>
        <w:ind w:left="432" w:hanging="432"/>
        <w:jc w:val="both"/>
      </w:pPr>
      <w:r>
        <w:rPr>
          <w:rFonts w:ascii="Times New Roman" w:hAnsi="Times New Roman"/>
          <w:b w:val="0"/>
          <w:i w:val="0"/>
          <w:smallCaps w:val="0"/>
          <w:sz w:val="16"/>
        </w:rPr>
        <w:t>[18]</w:t>
        <w:tab/>
        <w:t xml:space="preserve">Y. Borhani, J. Khoramdel, and E. Najafi, “A deep learning based approach for automated plant disease classification using vision transformer,” </w:t>
      </w:r>
      <w:r>
        <w:rPr>
          <w:rFonts w:ascii="Times New Roman" w:hAnsi="Times New Roman"/>
          <w:b w:val="0"/>
          <w:i/>
          <w:smallCaps w:val="0"/>
          <w:sz w:val="16"/>
        </w:rPr>
        <w:t>Scientific Reports</w:t>
      </w:r>
      <w:r>
        <w:rPr>
          <w:rFonts w:ascii="Times New Roman" w:hAnsi="Times New Roman"/>
          <w:b w:val="0"/>
          <w:i w:val="0"/>
          <w:smallCaps w:val="0"/>
          <w:sz w:val="16"/>
        </w:rPr>
        <w:t>, vol. 12, Art. no. 11554, 2022, doi: 10.1038/s41598-022-15163-0.</w:t>
      </w:r>
    </w:p>
    <w:p>
      <w:pPr>
        <w:keepNext w:val="0"/>
        <w:tabs>
          <w:tab w:pos="432" w:val="left"/>
        </w:tabs>
        <w:spacing w:before="0" w:after="0" w:line="180" w:lineRule="exact"/>
        <w:ind w:left="432" w:hanging="432"/>
        <w:jc w:val="both"/>
      </w:pPr>
      <w:r>
        <w:rPr>
          <w:rFonts w:ascii="Times New Roman" w:hAnsi="Times New Roman"/>
          <w:b w:val="0"/>
          <w:i w:val="0"/>
          <w:smallCaps w:val="0"/>
          <w:sz w:val="16"/>
        </w:rPr>
        <w:t>[19]</w:t>
        <w:tab/>
        <w:t xml:space="preserve">X. Li and S. Li, “Transformer help CNN see better: A lightweight hybrid apple disease identification model based on transformers,” </w:t>
      </w:r>
      <w:r>
        <w:rPr>
          <w:rFonts w:ascii="Times New Roman" w:hAnsi="Times New Roman"/>
          <w:b w:val="0"/>
          <w:i/>
          <w:smallCaps w:val="0"/>
          <w:sz w:val="16"/>
        </w:rPr>
        <w:t>Agriculture</w:t>
      </w:r>
      <w:r>
        <w:rPr>
          <w:rFonts w:ascii="Times New Roman" w:hAnsi="Times New Roman"/>
          <w:b w:val="0"/>
          <w:i w:val="0"/>
          <w:smallCaps w:val="0"/>
          <w:sz w:val="16"/>
        </w:rPr>
        <w:t>, vol. 12, no. 6, Art. no. 884, 2022, doi: 10.3390/agriculture12060884.</w:t>
      </w:r>
    </w:p>
    <w:p>
      <w:pPr>
        <w:keepNext w:val="0"/>
        <w:tabs>
          <w:tab w:pos="432" w:val="left"/>
        </w:tabs>
        <w:spacing w:before="0" w:after="0" w:line="180" w:lineRule="exact"/>
        <w:ind w:left="432" w:hanging="432"/>
        <w:jc w:val="both"/>
      </w:pPr>
      <w:r>
        <w:rPr>
          <w:rFonts w:ascii="Times New Roman" w:hAnsi="Times New Roman"/>
          <w:b w:val="0"/>
          <w:i w:val="0"/>
          <w:smallCaps w:val="0"/>
          <w:sz w:val="16"/>
        </w:rPr>
        <w:t>[20]</w:t>
        <w:tab/>
        <w:t xml:space="preserve">H. Lin, R. Tse, S.-K. Tang, Z.-P. Qiang, and G. Pau, “Few-shot learning approach with multi-scale feature fusion and attention for plant disease recognition,” </w:t>
      </w:r>
      <w:r>
        <w:rPr>
          <w:rFonts w:ascii="Times New Roman" w:hAnsi="Times New Roman"/>
          <w:b w:val="0"/>
          <w:i/>
          <w:smallCaps w:val="0"/>
          <w:sz w:val="16"/>
        </w:rPr>
        <w:t>Frontiers in Plant Science</w:t>
      </w:r>
      <w:r>
        <w:rPr>
          <w:rFonts w:ascii="Times New Roman" w:hAnsi="Times New Roman"/>
          <w:b w:val="0"/>
          <w:i w:val="0"/>
          <w:smallCaps w:val="0"/>
          <w:sz w:val="16"/>
        </w:rPr>
        <w:t>, vol. 13, Art. no. 907916, 2022, doi: 10.3389/fpls.2022.907916.</w:t>
      </w:r>
    </w:p>
    <w:p>
      <w:pPr>
        <w:keepNext w:val="0"/>
        <w:tabs>
          <w:tab w:pos="432" w:val="left"/>
        </w:tabs>
        <w:spacing w:before="0" w:after="0" w:line="180" w:lineRule="exact"/>
        <w:ind w:left="432" w:hanging="432"/>
        <w:jc w:val="both"/>
      </w:pPr>
      <w:r>
        <w:rPr>
          <w:rFonts w:ascii="Times New Roman" w:hAnsi="Times New Roman"/>
          <w:b w:val="0"/>
          <w:i w:val="0"/>
          <w:smallCaps w:val="0"/>
          <w:sz w:val="16"/>
        </w:rPr>
        <w:t>[21]</w:t>
        <w:tab/>
        <w:t xml:space="preserve">M. De Silva and D. Brown, “Multispectral plant disease detection with vision transformer–convolutional neural network hybrid approaches,” </w:t>
      </w:r>
      <w:r>
        <w:rPr>
          <w:rFonts w:ascii="Times New Roman" w:hAnsi="Times New Roman"/>
          <w:b w:val="0"/>
          <w:i/>
          <w:smallCaps w:val="0"/>
          <w:sz w:val="16"/>
        </w:rPr>
        <w:t>Sensors</w:t>
      </w:r>
      <w:r>
        <w:rPr>
          <w:rFonts w:ascii="Times New Roman" w:hAnsi="Times New Roman"/>
          <w:b w:val="0"/>
          <w:i w:val="0"/>
          <w:smallCaps w:val="0"/>
          <w:sz w:val="16"/>
        </w:rPr>
        <w:t>, vol. 23, no. 20, Art. no. 8531, 2023, doi: 10.3390/s23208531.</w:t>
      </w:r>
    </w:p>
    <w:p>
      <w:pPr>
        <w:keepNext w:val="0"/>
        <w:tabs>
          <w:tab w:pos="432" w:val="left"/>
        </w:tabs>
        <w:spacing w:before="0" w:after="0" w:line="180" w:lineRule="exact"/>
        <w:ind w:left="432" w:hanging="432"/>
        <w:jc w:val="both"/>
      </w:pPr>
      <w:r>
        <w:rPr>
          <w:rFonts w:ascii="Times New Roman" w:hAnsi="Times New Roman"/>
          <w:b w:val="0"/>
          <w:i w:val="0"/>
          <w:smallCaps w:val="0"/>
          <w:sz w:val="16"/>
        </w:rPr>
        <w:t>[22]</w:t>
        <w:tab/>
        <w:t xml:space="preserve">W. Albattah, A. Javed, M. Nawaz, M. Masood, and S. Albahli, “Artificial intelligence-based drone system for multiclass plant disease detection using an improved efficient convolutional neural network,” </w:t>
      </w:r>
      <w:r>
        <w:rPr>
          <w:rFonts w:ascii="Times New Roman" w:hAnsi="Times New Roman"/>
          <w:b w:val="0"/>
          <w:i/>
          <w:smallCaps w:val="0"/>
          <w:sz w:val="16"/>
        </w:rPr>
        <w:t>Frontiers in Plant Science</w:t>
      </w:r>
      <w:r>
        <w:rPr>
          <w:rFonts w:ascii="Times New Roman" w:hAnsi="Times New Roman"/>
          <w:b w:val="0"/>
          <w:i w:val="0"/>
          <w:smallCaps w:val="0"/>
          <w:sz w:val="16"/>
        </w:rPr>
        <w:t>, vol. 13, Art. no. 808380, 2022, doi: 10.3389/fpls.2022.808380.</w:t>
      </w:r>
    </w:p>
    <w:p>
      <w:pPr>
        <w:keepNext w:val="0"/>
        <w:tabs>
          <w:tab w:pos="432" w:val="left"/>
        </w:tabs>
        <w:spacing w:before="0" w:after="0" w:line="180" w:lineRule="exact"/>
        <w:ind w:left="432" w:hanging="432"/>
        <w:jc w:val="both"/>
      </w:pPr>
      <w:r>
        <w:rPr>
          <w:rFonts w:ascii="Times New Roman" w:hAnsi="Times New Roman"/>
          <w:b w:val="0"/>
          <w:i w:val="0"/>
          <w:smallCaps w:val="0"/>
          <w:sz w:val="16"/>
        </w:rPr>
        <w:t>[23]</w:t>
        <w:tab/>
        <w:t xml:space="preserve">Y. Zhao, C. Sun, X. Xu, and J. Chen, “RIC-Net: A plant disease classification model based on the fusion of Inception and residual structure and embedded attention mechanism,” </w:t>
      </w:r>
      <w:r>
        <w:rPr>
          <w:rFonts w:ascii="Times New Roman" w:hAnsi="Times New Roman"/>
          <w:b w:val="0"/>
          <w:i/>
          <w:smallCaps w:val="0"/>
          <w:sz w:val="16"/>
        </w:rPr>
        <w:t>Computers and Electronics in Agriculture</w:t>
      </w:r>
      <w:r>
        <w:rPr>
          <w:rFonts w:ascii="Times New Roman" w:hAnsi="Times New Roman"/>
          <w:b w:val="0"/>
          <w:i w:val="0"/>
          <w:smallCaps w:val="0"/>
          <w:sz w:val="16"/>
        </w:rPr>
        <w:t>, vol. 193, Art. no. 106644, 2022, doi: 10.1016/j.compag.2021.106644.</w:t>
      </w:r>
    </w:p>
    <w:p>
      <w:pPr>
        <w:keepNext w:val="0"/>
        <w:tabs>
          <w:tab w:pos="432" w:val="left"/>
        </w:tabs>
        <w:spacing w:before="0" w:after="0" w:line="180" w:lineRule="exact"/>
        <w:ind w:left="432" w:hanging="432"/>
        <w:jc w:val="both"/>
      </w:pPr>
      <w:r>
        <w:rPr>
          <w:rFonts w:ascii="Times New Roman" w:hAnsi="Times New Roman"/>
          <w:b w:val="0"/>
          <w:i w:val="0"/>
          <w:smallCaps w:val="0"/>
          <w:sz w:val="16"/>
        </w:rPr>
        <w:t>[24]</w:t>
        <w:tab/>
        <w:t xml:space="preserve">Y. Wang, P. Zhang, and S. Tian, “Tomato leaf disease detection based on attention mechanism and multi-scale feature fusion,” </w:t>
      </w:r>
      <w:r>
        <w:rPr>
          <w:rFonts w:ascii="Times New Roman" w:hAnsi="Times New Roman"/>
          <w:b w:val="0"/>
          <w:i/>
          <w:smallCaps w:val="0"/>
          <w:sz w:val="16"/>
        </w:rPr>
        <w:t>Frontiers in Plant Science</w:t>
      </w:r>
      <w:r>
        <w:rPr>
          <w:rFonts w:ascii="Times New Roman" w:hAnsi="Times New Roman"/>
          <w:b w:val="0"/>
          <w:i w:val="0"/>
          <w:smallCaps w:val="0"/>
          <w:sz w:val="16"/>
        </w:rPr>
        <w:t>, vol. 15, Art. no. 1382802, 2024, doi: 10.3389/fpls.2024.1382802.</w:t>
      </w:r>
    </w:p>
    <w:p>
      <w:pPr>
        <w:keepNext w:val="0"/>
        <w:tabs>
          <w:tab w:pos="432" w:val="left"/>
        </w:tabs>
        <w:spacing w:before="0" w:after="0" w:line="180" w:lineRule="exact"/>
        <w:ind w:left="432" w:hanging="432"/>
        <w:jc w:val="both"/>
      </w:pPr>
      <w:r>
        <w:rPr>
          <w:rFonts w:ascii="Times New Roman" w:hAnsi="Times New Roman"/>
          <w:b w:val="0"/>
          <w:i w:val="0"/>
          <w:smallCaps w:val="0"/>
          <w:sz w:val="16"/>
        </w:rPr>
        <w:t>[25]</w:t>
        <w:tab/>
        <w:t>“New Plant Diseases Dataset (Augmented),” Kaggle, 2018. [Online]. Available: https://www.kaggle.com/datasets/vipoooool/new-plant-diseases-dataset</w:t>
      </w:r>
    </w:p>
    <w:p>
      <w:pPr>
        <w:keepNext w:val="0"/>
        <w:tabs>
          <w:tab w:pos="432" w:val="left"/>
        </w:tabs>
        <w:spacing w:before="0" w:after="0" w:line="180" w:lineRule="exact"/>
        <w:ind w:left="432" w:hanging="432"/>
        <w:jc w:val="both"/>
      </w:pPr>
      <w:r>
        <w:rPr>
          <w:rFonts w:ascii="Times New Roman" w:hAnsi="Times New Roman"/>
          <w:b w:val="0"/>
          <w:i w:val="0"/>
          <w:smallCaps w:val="0"/>
          <w:sz w:val="16"/>
        </w:rPr>
        <w:t>[26]</w:t>
        <w:tab/>
        <w:t xml:space="preserve">F. Radenović, G. Tolias, and O. Chum, “Fine-tuning CNN image retrieval with no human annotation,” </w:t>
      </w:r>
      <w:r>
        <w:rPr>
          <w:rFonts w:ascii="Times New Roman" w:hAnsi="Times New Roman"/>
          <w:b w:val="0"/>
          <w:i/>
          <w:smallCaps w:val="0"/>
          <w:sz w:val="16"/>
        </w:rPr>
        <w:t>IEEE Trans. Pattern Analysis and Machine Intelligence</w:t>
      </w:r>
      <w:r>
        <w:rPr>
          <w:rFonts w:ascii="Times New Roman" w:hAnsi="Times New Roman"/>
          <w:b w:val="0"/>
          <w:i w:val="0"/>
          <w:smallCaps w:val="0"/>
          <w:sz w:val="16"/>
        </w:rPr>
        <w:t>, vol. 41, no. 7, pp. 1655–1668, 2019.</w:t>
      </w:r>
    </w:p>
    <w:p>
      <w:pPr>
        <w:keepNext w:val="0"/>
        <w:tabs>
          <w:tab w:pos="432" w:val="left"/>
        </w:tabs>
        <w:spacing w:before="0" w:after="0" w:line="180" w:lineRule="exact"/>
        <w:ind w:left="432" w:hanging="432"/>
        <w:jc w:val="both"/>
      </w:pPr>
      <w:r>
        <w:rPr>
          <w:rFonts w:ascii="Times New Roman" w:hAnsi="Times New Roman"/>
          <w:b w:val="0"/>
          <w:i w:val="0"/>
          <w:smallCaps w:val="0"/>
          <w:sz w:val="16"/>
        </w:rPr>
        <w:t>[27]</w:t>
        <w:tab/>
        <w:t xml:space="preserve">I. Loshchilov and F. Hutter, “Decoupled weight decay regularization,” in </w:t>
      </w:r>
      <w:r>
        <w:rPr>
          <w:rFonts w:ascii="Times New Roman" w:hAnsi="Times New Roman"/>
          <w:b w:val="0"/>
          <w:i/>
          <w:smallCaps w:val="0"/>
          <w:sz w:val="16"/>
        </w:rPr>
        <w:t>Proc. Int. Conf. Learning Representations (ICLR)</w:t>
      </w:r>
      <w:r>
        <w:rPr>
          <w:rFonts w:ascii="Times New Roman" w:hAnsi="Times New Roman"/>
          <w:b w:val="0"/>
          <w:i w:val="0"/>
          <w:smallCaps w:val="0"/>
          <w:sz w:val="16"/>
        </w:rPr>
        <w:t>, 2019.</w:t>
      </w:r>
    </w:p>
    <w:p>
      <w:pPr>
        <w:keepNext w:val="0"/>
        <w:tabs>
          <w:tab w:pos="432" w:val="left"/>
        </w:tabs>
        <w:spacing w:before="0" w:after="0" w:line="180" w:lineRule="exact"/>
        <w:ind w:left="432" w:hanging="432"/>
        <w:jc w:val="both"/>
      </w:pPr>
      <w:r>
        <w:rPr>
          <w:rFonts w:ascii="Times New Roman" w:hAnsi="Times New Roman"/>
          <w:b w:val="0"/>
          <w:i w:val="0"/>
          <w:smallCaps w:val="0"/>
          <w:sz w:val="16"/>
        </w:rPr>
        <w:t>[28]</w:t>
        <w:tab/>
        <w:t xml:space="preserve">L. N. Smith and N. Topin, “Super-convergence: Very fast training of neural networks using large learning rates,” in </w:t>
      </w:r>
      <w:r>
        <w:rPr>
          <w:rFonts w:ascii="Times New Roman" w:hAnsi="Times New Roman"/>
          <w:b w:val="0"/>
          <w:i/>
          <w:smallCaps w:val="0"/>
          <w:sz w:val="16"/>
        </w:rPr>
        <w:t>Proc. SPIE Artificial Intelligence and Machine Learning for Multi-Domain Operations Applications</w:t>
      </w:r>
      <w:r>
        <w:rPr>
          <w:rFonts w:ascii="Times New Roman" w:hAnsi="Times New Roman"/>
          <w:b w:val="0"/>
          <w:i w:val="0"/>
          <w:smallCaps w:val="0"/>
          <w:sz w:val="16"/>
        </w:rPr>
        <w:t>, vol. 11006, 2019, Art. no. 1100612.</w:t>
      </w:r>
    </w:p>
    <w:p>
      <w:pPr>
        <w:keepNext w:val="0"/>
        <w:tabs>
          <w:tab w:pos="432" w:val="left"/>
        </w:tabs>
        <w:spacing w:before="0" w:after="0" w:line="180" w:lineRule="exact"/>
        <w:ind w:left="432" w:hanging="432"/>
        <w:jc w:val="both"/>
      </w:pPr>
      <w:r>
        <w:rPr>
          <w:rFonts w:ascii="Times New Roman" w:hAnsi="Times New Roman"/>
          <w:b w:val="0"/>
          <w:i w:val="0"/>
          <w:smallCaps w:val="0"/>
          <w:sz w:val="16"/>
        </w:rPr>
        <w:t>[29]</w:t>
        <w:tab/>
        <w:t xml:space="preserve">C. Szegedy, V. Vanhoucke, S. Ioffe, J. Shlens, and Z. Wojna, “Rethinking the Inception architecture for computer vision,” in </w:t>
      </w:r>
      <w:r>
        <w:rPr>
          <w:rFonts w:ascii="Times New Roman" w:hAnsi="Times New Roman"/>
          <w:b w:val="0"/>
          <w:i/>
          <w:smallCaps w:val="0"/>
          <w:sz w:val="16"/>
        </w:rPr>
        <w:t>Proc. IEEE Conf. Computer Vision and Pattern Recognition (CVPR)</w:t>
      </w:r>
      <w:r>
        <w:rPr>
          <w:rFonts w:ascii="Times New Roman" w:hAnsi="Times New Roman"/>
          <w:b w:val="0"/>
          <w:i w:val="0"/>
          <w:smallCaps w:val="0"/>
          <w:sz w:val="16"/>
        </w:rPr>
        <w:t>, 2016, pp. 2818–2826.</w:t>
      </w:r>
    </w:p>
    <w:p>
      <w:pPr>
        <w:keepNext w:val="0"/>
        <w:tabs>
          <w:tab w:pos="432" w:val="left"/>
        </w:tabs>
        <w:spacing w:before="0" w:after="0" w:line="180" w:lineRule="exact"/>
        <w:ind w:left="432" w:hanging="432"/>
        <w:jc w:val="both"/>
      </w:pPr>
      <w:r>
        <w:rPr>
          <w:rFonts w:ascii="Times New Roman" w:hAnsi="Times New Roman"/>
          <w:b w:val="0"/>
          <w:i w:val="0"/>
          <w:smallCaps w:val="0"/>
          <w:sz w:val="16"/>
        </w:rPr>
        <w:t>[30]</w:t>
        <w:tab/>
        <w:t xml:space="preserve">R. R. Selvaraju, M. Cogswell, A. Das, R. Vedantam, D. Parikh, and D. Batra, “Grad-CAM: Visual explanations from deep networks via gradient-based localization,” in </w:t>
      </w:r>
      <w:r>
        <w:rPr>
          <w:rFonts w:ascii="Times New Roman" w:hAnsi="Times New Roman"/>
          <w:b w:val="0"/>
          <w:i/>
          <w:smallCaps w:val="0"/>
          <w:sz w:val="16"/>
        </w:rPr>
        <w:t>Proc. IEEE Int. Conf. Computer Vision (ICCV)</w:t>
      </w:r>
      <w:r>
        <w:rPr>
          <w:rFonts w:ascii="Times New Roman" w:hAnsi="Times New Roman"/>
          <w:b w:val="0"/>
          <w:i w:val="0"/>
          <w:smallCaps w:val="0"/>
          <w:sz w:val="16"/>
        </w:rPr>
        <w:t>, 2017, pp. 618–626.</w:t>
      </w:r>
    </w:p>
    <w:p>
      <w:pPr>
        <w:keepNext w:val="0"/>
        <w:tabs>
          <w:tab w:pos="432" w:val="left"/>
        </w:tabs>
        <w:spacing w:before="0" w:after="0" w:line="180" w:lineRule="exact"/>
        <w:ind w:left="432" w:hanging="432"/>
        <w:jc w:val="both"/>
      </w:pPr>
      <w:r>
        <w:rPr>
          <w:rFonts w:ascii="Times New Roman" w:hAnsi="Times New Roman"/>
          <w:b w:val="0"/>
          <w:i w:val="0"/>
          <w:smallCaps w:val="0"/>
          <w:sz w:val="16"/>
        </w:rPr>
        <w:t>[31]</w:t>
        <w:tab/>
        <w:t xml:space="preserve">Y. Geifman and R. El-Yaniv, “Selective classification for deep neural networks,” in </w:t>
      </w:r>
      <w:r>
        <w:rPr>
          <w:rFonts w:ascii="Times New Roman" w:hAnsi="Times New Roman"/>
          <w:b w:val="0"/>
          <w:i/>
          <w:smallCaps w:val="0"/>
          <w:sz w:val="16"/>
        </w:rPr>
        <w:t>Advances in Neural Information Processing Systems (NeurIPS)</w:t>
      </w:r>
      <w:r>
        <w:rPr>
          <w:rFonts w:ascii="Times New Roman" w:hAnsi="Times New Roman"/>
          <w:b w:val="0"/>
          <w:i w:val="0"/>
          <w:smallCaps w:val="0"/>
          <w:sz w:val="16"/>
        </w:rPr>
        <w:t>, vol. 30, 2017, pp. 4878–4887.</w:t>
      </w:r>
    </w:p>
    <w:p>
      <w:pPr>
        <w:keepNext w:val="0"/>
        <w:tabs>
          <w:tab w:pos="432" w:val="left"/>
        </w:tabs>
        <w:spacing w:before="0" w:after="0" w:line="180" w:lineRule="exact"/>
        <w:ind w:left="432" w:hanging="432"/>
        <w:jc w:val="both"/>
      </w:pPr>
      <w:r>
        <w:rPr>
          <w:rFonts w:ascii="Times New Roman" w:hAnsi="Times New Roman"/>
          <w:b w:val="0"/>
          <w:i w:val="0"/>
          <w:smallCaps w:val="0"/>
          <w:sz w:val="16"/>
        </w:rPr>
        <w:t>[32]</w:t>
        <w:tab/>
        <w:t xml:space="preserve">T. G. Dietterich, “Approximate statistical tests for comparing supervised classification learning algorithms,” </w:t>
      </w:r>
      <w:r>
        <w:rPr>
          <w:rFonts w:ascii="Times New Roman" w:hAnsi="Times New Roman"/>
          <w:b w:val="0"/>
          <w:i/>
          <w:smallCaps w:val="0"/>
          <w:sz w:val="16"/>
        </w:rPr>
        <w:t>Neural Computation</w:t>
      </w:r>
      <w:r>
        <w:rPr>
          <w:rFonts w:ascii="Times New Roman" w:hAnsi="Times New Roman"/>
          <w:b w:val="0"/>
          <w:i w:val="0"/>
          <w:smallCaps w:val="0"/>
          <w:sz w:val="16"/>
        </w:rPr>
        <w:t>, vol. 10, no. 7, pp. 1895–1923, 1998.</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