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lgate Ready" w:cs="Colgate Ready" w:eastAsia="Colgate Ready" w:hAnsi="Colgate Ready"/>
          <w:u w:val="none"/>
        </w:rPr>
      </w:pPr>
      <w:r w:rsidDel="00000000" w:rsidR="00000000" w:rsidRPr="00000000">
        <w:rPr>
          <w:rFonts w:ascii="Colgate Ready" w:cs="Colgate Ready" w:eastAsia="Colgate Ready" w:hAnsi="Colgate Ready"/>
          <w:rtl w:val="0"/>
        </w:rPr>
        <w:t xml:space="preserve">Make changes to the personal-database project: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Colgate Ready" w:cs="Colgate Ready" w:eastAsia="Colgate Ready" w:hAnsi="Colgate Ready"/>
        </w:rPr>
      </w:pPr>
      <w:r w:rsidDel="00000000" w:rsidR="00000000" w:rsidRPr="00000000">
        <w:rPr>
          <w:rFonts w:ascii="Colgate Ready" w:cs="Colgate Ready" w:eastAsia="Colgate Ready" w:hAnsi="Colgate Ready"/>
          <w:rtl w:val="0"/>
        </w:rPr>
        <w:t xml:space="preserve">get a list of movies and tvseries from all tables using join in a single output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Colgate Ready" w:cs="Colgate Ready" w:eastAsia="Colgate Ready" w:hAnsi="Colgate Ready"/>
        </w:rPr>
      </w:pPr>
      <w:r w:rsidDel="00000000" w:rsidR="00000000" w:rsidRPr="00000000">
        <w:rPr>
          <w:rFonts w:ascii="Colgate Ready" w:cs="Colgate Ready" w:eastAsia="Colgate Ready" w:hAnsi="Colgate Ready"/>
          <w:rtl w:val="0"/>
        </w:rPr>
        <w:t xml:space="preserve">create an enum for genre and accept an array of multiple values. Do this for both TV Series and movies </w:t>
        <w:br w:type="textWrapping"/>
        <w:t xml:space="preserve">Example: genre = [‘Action’, ‘Drama’]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olgate Ready" w:cs="Colgate Ready" w:eastAsia="Colgate Ready" w:hAnsi="Colgate Ready"/>
          <w:u w:val="none"/>
        </w:rPr>
      </w:pPr>
      <w:r w:rsidDel="00000000" w:rsidR="00000000" w:rsidRPr="00000000">
        <w:rPr>
          <w:rFonts w:ascii="Colgate Ready" w:cs="Colgate Ready" w:eastAsia="Colgate Ready" w:hAnsi="Colgate Ready"/>
          <w:rtl w:val="0"/>
        </w:rPr>
        <w:t xml:space="preserve">For users table, take email-id as input, validate using regex if it  is a correct email, if not return error. Then fetch everything using email ids and not using username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Colgate Ready" w:cs="Colgate Ready" w:eastAsia="Colgate Ready" w:hAnsi="Colgate Ready"/>
          <w:u w:val="none"/>
        </w:rPr>
      </w:pPr>
      <w:r w:rsidDel="00000000" w:rsidR="00000000" w:rsidRPr="00000000">
        <w:rPr>
          <w:rFonts w:ascii="Colgate Ready" w:cs="Colgate Ready" w:eastAsia="Colgate Ready" w:hAnsi="Colgate Ready"/>
          <w:rtl w:val="0"/>
        </w:rPr>
        <w:t xml:space="preserve">Add current timestamp as well while entering data</w:t>
      </w:r>
    </w:p>
    <w:p w:rsidR="00000000" w:rsidDel="00000000" w:rsidP="00000000" w:rsidRDefault="00000000" w:rsidRPr="00000000" w14:paraId="00000006">
      <w:pPr>
        <w:rPr>
          <w:rFonts w:ascii="Colgate Ready" w:cs="Colgate Ready" w:eastAsia="Colgate Ready" w:hAnsi="Colgate Read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lgate Ready" w:cs="Colgate Ready" w:eastAsia="Colgate Ready" w:hAnsi="Colgate Ready"/>
          <w:u w:val="none"/>
        </w:rPr>
      </w:pPr>
      <w:r w:rsidDel="00000000" w:rsidR="00000000" w:rsidRPr="00000000">
        <w:rPr>
          <w:rFonts w:ascii="Colgate Ready" w:cs="Colgate Ready" w:eastAsia="Colgate Ready" w:hAnsi="Colgate Ready"/>
          <w:rtl w:val="0"/>
        </w:rPr>
        <w:t xml:space="preserve">Read about: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olgate Ready" w:cs="Colgate Ready" w:eastAsia="Colgate Ready" w:hAnsi="Colgate Ready"/>
        </w:rPr>
      </w:pPr>
      <w:r w:rsidDel="00000000" w:rsidR="00000000" w:rsidRPr="00000000">
        <w:rPr>
          <w:rFonts w:ascii="Colgate Ready" w:cs="Colgate Ready" w:eastAsia="Colgate Ready" w:hAnsi="Colgate Ready"/>
          <w:rtl w:val="0"/>
        </w:rPr>
        <w:t xml:space="preserve"># MST branching strategy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olgate Ready" w:cs="Colgate Ready" w:eastAsia="Colgate Ready" w:hAnsi="Colgate Ready"/>
        </w:rPr>
      </w:pPr>
      <w:r w:rsidDel="00000000" w:rsidR="00000000" w:rsidRPr="00000000">
        <w:rPr>
          <w:rFonts w:ascii="Colgate Ready" w:cs="Colgate Ready" w:eastAsia="Colgate Ready" w:hAnsi="Colgate Ready"/>
          <w:rtl w:val="0"/>
        </w:rPr>
        <w:t xml:space="preserve"># dev, test, production strategy in github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lgate Read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lgateReady-regular.ttf"/><Relationship Id="rId2" Type="http://schemas.openxmlformats.org/officeDocument/2006/relationships/font" Target="fonts/ColgateReady-bold.ttf"/><Relationship Id="rId3" Type="http://schemas.openxmlformats.org/officeDocument/2006/relationships/font" Target="fonts/ColgateReady-italic.ttf"/><Relationship Id="rId4" Type="http://schemas.openxmlformats.org/officeDocument/2006/relationships/font" Target="fonts/ColgateRead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