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A5E8D" w14:textId="295FDED1" w:rsidR="00C55863" w:rsidRDefault="00F54EA0" w:rsidP="00A67913">
      <w:pPr>
        <w:outlineLvl w:val="2"/>
        <w:rPr>
          <w:b/>
          <w:bCs/>
        </w:rPr>
      </w:pPr>
      <w:r w:rsidRPr="00F54EA0">
        <w:rPr>
          <w:b/>
          <w:bCs/>
        </w:rPr>
        <w:t>Assessing the Impact of Maternal Substance Use on Preterm Birth</w:t>
      </w:r>
      <w:r w:rsidR="00E47760">
        <w:rPr>
          <w:b/>
          <w:bCs/>
        </w:rPr>
        <w:t xml:space="preserve"> using</w:t>
      </w:r>
      <w:r w:rsidRPr="00F54EA0">
        <w:rPr>
          <w:b/>
          <w:bCs/>
        </w:rPr>
        <w:t xml:space="preserve"> the National Survey of Family Growth, 2017-2019</w:t>
      </w:r>
    </w:p>
    <w:p w14:paraId="093C019E" w14:textId="77777777" w:rsidR="00F54EA0" w:rsidRDefault="00F54EA0" w:rsidP="00A67913">
      <w:pPr>
        <w:outlineLvl w:val="2"/>
        <w:rPr>
          <w:b/>
          <w:bCs/>
        </w:rPr>
      </w:pPr>
    </w:p>
    <w:p w14:paraId="1FACCC98" w14:textId="0C445AC1" w:rsidR="00A67913" w:rsidRDefault="00A67913" w:rsidP="00A67913">
      <w:pPr>
        <w:outlineLvl w:val="2"/>
        <w:rPr>
          <w:b/>
          <w:bCs/>
        </w:rPr>
      </w:pPr>
      <w:r w:rsidRPr="00A67913">
        <w:rPr>
          <w:b/>
          <w:bCs/>
        </w:rPr>
        <w:t>Introduction</w:t>
      </w:r>
    </w:p>
    <w:p w14:paraId="47A541E7" w14:textId="2EB2E305" w:rsidR="00A67913" w:rsidRPr="00A67913" w:rsidRDefault="00A67913" w:rsidP="00125181">
      <w:pPr>
        <w:outlineLvl w:val="2"/>
      </w:pPr>
      <w:r w:rsidRPr="00A67913">
        <w:t xml:space="preserve">Preterm birth, defined as birth before 37 weeks of gestation, is a significant public health concern </w:t>
      </w:r>
      <w:r w:rsidR="00195032">
        <w:t>as it is</w:t>
      </w:r>
      <w:r w:rsidRPr="00A67913">
        <w:t xml:space="preserve"> associated to both neonatal and long-term child health. </w:t>
      </w:r>
      <w:r w:rsidR="008F436B">
        <w:t xml:space="preserve">It is widely known that </w:t>
      </w:r>
      <w:r w:rsidR="008F436B" w:rsidRPr="008F436B">
        <w:t xml:space="preserve">maternal substance use during pregnancy is a critical risk factor to preterm birth outcomes. </w:t>
      </w:r>
      <w:r w:rsidR="009C7CAC">
        <w:t>T</w:t>
      </w:r>
      <w:r w:rsidRPr="00A67913">
        <w:t>o identify specific risk factors</w:t>
      </w:r>
      <w:r w:rsidR="0046304F">
        <w:t>,</w:t>
      </w:r>
      <w:r w:rsidRPr="00A67913">
        <w:t xml:space="preserve"> </w:t>
      </w:r>
      <w:r w:rsidR="005B264E">
        <w:t>t</w:t>
      </w:r>
      <w:r w:rsidRPr="00A67913">
        <w:t>he primary research question</w:t>
      </w:r>
      <w:r w:rsidR="00E23D6C">
        <w:t xml:space="preserve"> of this study</w:t>
      </w:r>
      <w:r w:rsidRPr="00A67913">
        <w:t xml:space="preserve"> is: </w:t>
      </w:r>
      <w:r w:rsidR="00125181" w:rsidRPr="00125181">
        <w:t>How does maternal substance use impact the risk of preterm birth, controlling for age, education,</w:t>
      </w:r>
      <w:r w:rsidR="00125181">
        <w:t xml:space="preserve"> </w:t>
      </w:r>
      <w:r w:rsidR="00125181" w:rsidRPr="00125181">
        <w:t>race/ethnicity, income level?</w:t>
      </w:r>
      <w:r w:rsidR="00125181">
        <w:t xml:space="preserve"> </w:t>
      </w:r>
    </w:p>
    <w:p w14:paraId="00603B6B" w14:textId="6723AE1B" w:rsidR="00F217F0" w:rsidRPr="00A67913" w:rsidRDefault="00A67913" w:rsidP="00A67913">
      <w:pPr>
        <w:spacing w:before="100" w:beforeAutospacing="1"/>
        <w:outlineLvl w:val="2"/>
        <w:rPr>
          <w:b/>
          <w:bCs/>
        </w:rPr>
      </w:pPr>
      <w:r w:rsidRPr="00A67913">
        <w:rPr>
          <w:b/>
          <w:bCs/>
        </w:rPr>
        <w:t>Methods</w:t>
      </w:r>
    </w:p>
    <w:p w14:paraId="540653DF" w14:textId="7BBA7019" w:rsidR="00A67913" w:rsidRPr="00A67913" w:rsidRDefault="00A67913" w:rsidP="00A67913">
      <w:pPr>
        <w:rPr>
          <w:b/>
          <w:bCs/>
        </w:rPr>
      </w:pPr>
      <w:r w:rsidRPr="00A67913">
        <w:rPr>
          <w:b/>
          <w:bCs/>
        </w:rPr>
        <w:t xml:space="preserve">Data </w:t>
      </w:r>
    </w:p>
    <w:p w14:paraId="11CC816F" w14:textId="2D1B85CB" w:rsidR="00A67913" w:rsidRPr="007B6F54" w:rsidRDefault="00A67913" w:rsidP="00D143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color w:val="000000"/>
        </w:rPr>
        <w:t xml:space="preserve">We used the 2017-2019 National Survey of Family Growth (NSFG), Female Respondent File and Female Pregnancy File. </w:t>
      </w:r>
      <w:r w:rsidR="00C02CA4">
        <w:t xml:space="preserve">These two </w:t>
      </w:r>
      <w:r w:rsidRPr="00A67913">
        <w:t xml:space="preserve">datasets </w:t>
      </w:r>
      <w:r w:rsidR="00C02CA4">
        <w:t xml:space="preserve">were merged </w:t>
      </w:r>
      <w:r w:rsidRPr="00A67913">
        <w:t xml:space="preserve">based on </w:t>
      </w:r>
      <w:r w:rsidR="00064289">
        <w:t xml:space="preserve">case </w:t>
      </w:r>
      <w:r w:rsidRPr="00A67913">
        <w:t xml:space="preserve">identifiers and </w:t>
      </w:r>
      <w:r w:rsidR="000719BB">
        <w:t xml:space="preserve">sociodemographic </w:t>
      </w:r>
      <w:r w:rsidRPr="00A67913">
        <w:t xml:space="preserve">variables. The final analytic </w:t>
      </w:r>
      <w:r w:rsidR="000A054A">
        <w:t>sample</w:t>
      </w:r>
      <w:r w:rsidRPr="00A67913">
        <w:t xml:space="preserve"> </w:t>
      </w:r>
      <w:r w:rsidR="00775497">
        <w:t>included</w:t>
      </w:r>
      <w:r w:rsidRPr="00A67913">
        <w:t xml:space="preserve"> </w:t>
      </w:r>
      <w:r w:rsidR="00775497" w:rsidRPr="00D1435B">
        <w:t xml:space="preserve">only completed pregnancy records, excluding data from respondents </w:t>
      </w:r>
      <w:r w:rsidR="006B74A6">
        <w:t xml:space="preserve">who are </w:t>
      </w:r>
      <w:r w:rsidR="00775497" w:rsidRPr="00D1435B">
        <w:t>currently pregnant</w:t>
      </w:r>
      <w:r w:rsidR="00775497">
        <w:t xml:space="preserve"> </w:t>
      </w:r>
      <w:r w:rsidR="00775497" w:rsidRPr="00D1435B">
        <w:t>since this study will assess if maternal substance use impact the risk of preterm birth</w:t>
      </w:r>
      <w:r w:rsidR="00094D90">
        <w:t xml:space="preserve">, </w:t>
      </w:r>
      <w:r w:rsidRPr="00A67913">
        <w:t>resulting in a final sample size of</w:t>
      </w:r>
      <w:r w:rsidR="00E430F6">
        <w:t xml:space="preserve"> </w:t>
      </w:r>
      <w:r w:rsidR="003B62DA">
        <w:t>N=9894</w:t>
      </w:r>
      <w:r w:rsidR="00AF11A2">
        <w:t>.</w:t>
      </w:r>
      <w:r w:rsidR="00D1435B" w:rsidRPr="00D1435B">
        <w:t xml:space="preserve"> </w:t>
      </w:r>
      <w:r w:rsidR="00F4182A">
        <w:t>An additional check</w:t>
      </w:r>
      <w:r w:rsidR="00D635EF">
        <w:t xml:space="preserve"> was conducted</w:t>
      </w:r>
      <w:r w:rsidR="007B6F54" w:rsidRPr="007B6F54">
        <w:t xml:space="preserve"> </w:t>
      </w:r>
      <w:r w:rsidR="005A242F">
        <w:t>if the</w:t>
      </w:r>
      <w:r w:rsidR="007B6F54" w:rsidRPr="007B6F54">
        <w:t xml:space="preserve"> reported maternal age at pregnancy </w:t>
      </w:r>
      <w:r w:rsidR="003C3693">
        <w:t xml:space="preserve">was greater than </w:t>
      </w:r>
      <w:r w:rsidR="007B6F54" w:rsidRPr="007B6F54">
        <w:t xml:space="preserve">the respondent's age at the time of the interview, </w:t>
      </w:r>
      <w:r w:rsidR="003C3693">
        <w:t>but no cases were found</w:t>
      </w:r>
      <w:r w:rsidR="007B6F54" w:rsidRPr="007B6F54">
        <w:t>.</w:t>
      </w:r>
    </w:p>
    <w:p w14:paraId="479F90E0" w14:textId="77777777" w:rsidR="00173623" w:rsidRPr="007B6F54" w:rsidRDefault="00173623" w:rsidP="00A679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6D8E369E" w14:textId="77777777" w:rsidR="00A67913" w:rsidRPr="00A67913" w:rsidRDefault="00A67913" w:rsidP="00A67913">
      <w:pPr>
        <w:rPr>
          <w:b/>
          <w:bCs/>
        </w:rPr>
      </w:pPr>
      <w:r w:rsidRPr="00A67913">
        <w:rPr>
          <w:b/>
          <w:bCs/>
        </w:rPr>
        <w:t>Variables</w:t>
      </w:r>
    </w:p>
    <w:p w14:paraId="03D24D8E" w14:textId="0F0FBE4F" w:rsidR="00A67913" w:rsidRPr="00072D80" w:rsidRDefault="00A67913" w:rsidP="00F578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kern w:val="2"/>
        </w:rPr>
      </w:pPr>
      <w:r w:rsidRPr="00072D80">
        <w:t xml:space="preserve">The outcome variable, preterm birth, was defined as </w:t>
      </w:r>
      <w:r w:rsidR="00FD5B88" w:rsidRPr="00072D80">
        <w:t xml:space="preserve">birth </w:t>
      </w:r>
      <w:r w:rsidR="00307F2E" w:rsidRPr="00072D80">
        <w:t>occurred</w:t>
      </w:r>
      <w:r w:rsidR="00FD5B88" w:rsidRPr="00072D80">
        <w:t xml:space="preserve"> in</w:t>
      </w:r>
      <w:r w:rsidRPr="00072D80">
        <w:t xml:space="preserve"> less than 37 weeks at delivery</w:t>
      </w:r>
      <w:r w:rsidR="00613308" w:rsidRPr="00072D80">
        <w:t xml:space="preserve"> for live births </w:t>
      </w:r>
      <w:r w:rsidR="00626156" w:rsidRPr="00072D80">
        <w:t xml:space="preserve">and </w:t>
      </w:r>
      <w:r w:rsidR="00FD084E" w:rsidRPr="00072D80">
        <w:t xml:space="preserve">included </w:t>
      </w:r>
      <w:r w:rsidR="00626156" w:rsidRPr="00072D80">
        <w:t>all non-live births</w:t>
      </w:r>
      <w:r w:rsidRPr="00072D80">
        <w:t xml:space="preserve">. </w:t>
      </w:r>
      <w:r w:rsidR="00613308" w:rsidRPr="00072D80">
        <w:rPr>
          <w:color w:val="000000"/>
        </w:rPr>
        <w:t>For</w:t>
      </w:r>
      <w:r w:rsidR="00851D79" w:rsidRPr="00072D80">
        <w:rPr>
          <w:color w:val="000000"/>
        </w:rPr>
        <w:t xml:space="preserve"> substance use</w:t>
      </w:r>
      <w:r w:rsidR="00665F47" w:rsidRPr="00072D80">
        <w:rPr>
          <w:color w:val="000000"/>
        </w:rPr>
        <w:t>,</w:t>
      </w:r>
      <w:r w:rsidR="00851D79" w:rsidRPr="00072D80">
        <w:rPr>
          <w:color w:val="000000"/>
        </w:rPr>
        <w:t xml:space="preserve"> </w:t>
      </w:r>
      <w:r w:rsidR="00852410" w:rsidRPr="00072D80">
        <w:rPr>
          <w:color w:val="000000"/>
        </w:rPr>
        <w:t xml:space="preserve">we </w:t>
      </w:r>
      <w:r w:rsidR="00EC067D" w:rsidRPr="00072D80">
        <w:rPr>
          <w:color w:val="000000"/>
        </w:rPr>
        <w:t>coded as 1 for any use of marijuana, cocaine, crack, crystal meth, or injection drugs within the 12 months prior to the survey, and 0 for no reported use of these substances</w:t>
      </w:r>
      <w:r w:rsidR="00851D79" w:rsidRPr="00072D80">
        <w:rPr>
          <w:color w:val="000000"/>
        </w:rPr>
        <w:t xml:space="preserve">. It </w:t>
      </w:r>
      <w:r w:rsidR="00665F47" w:rsidRPr="00072D80">
        <w:rPr>
          <w:color w:val="000000"/>
        </w:rPr>
        <w:t>was</w:t>
      </w:r>
      <w:r w:rsidR="00851D79" w:rsidRPr="00072D80">
        <w:rPr>
          <w:color w:val="000000"/>
        </w:rPr>
        <w:t xml:space="preserve"> assumed that reported</w:t>
      </w:r>
      <w:r w:rsidR="002B1A37" w:rsidRPr="00072D80">
        <w:rPr>
          <w:color w:val="000000"/>
        </w:rPr>
        <w:t xml:space="preserve"> s</w:t>
      </w:r>
      <w:r w:rsidR="00851D79" w:rsidRPr="00072D80">
        <w:rPr>
          <w:color w:val="000000"/>
        </w:rPr>
        <w:t>ubstance use during the last 12 months prior to the survey reflects the individual’s general</w:t>
      </w:r>
      <w:r w:rsidR="0085462F" w:rsidRPr="00072D80">
        <w:rPr>
          <w:color w:val="000000"/>
        </w:rPr>
        <w:t xml:space="preserve"> </w:t>
      </w:r>
      <w:r w:rsidR="00851D79" w:rsidRPr="00072D80">
        <w:rPr>
          <w:color w:val="000000"/>
        </w:rPr>
        <w:t>substance use pattern (consistent behavior).</w:t>
      </w:r>
      <w:r w:rsidR="004C52DA" w:rsidRPr="00072D80">
        <w:rPr>
          <w:color w:val="000000"/>
        </w:rPr>
        <w:t xml:space="preserve"> </w:t>
      </w:r>
      <w:r w:rsidRPr="00072D80">
        <w:t>Additional covariates included in the analysis were maternal age at pregnancy, education</w:t>
      </w:r>
      <w:r w:rsidR="00640753" w:rsidRPr="00072D80">
        <w:t xml:space="preserve"> (</w:t>
      </w:r>
      <w:r w:rsidR="00F578E6" w:rsidRPr="00072D80">
        <w:t>Less</w:t>
      </w:r>
      <w:r w:rsidR="00F578E6" w:rsidRPr="00072D80">
        <w:rPr>
          <w:rFonts w:hint="eastAsia"/>
        </w:rPr>
        <w:t xml:space="preserve"> </w:t>
      </w:r>
      <w:r w:rsidR="00F578E6" w:rsidRPr="00072D80">
        <w:t>than high school, High school or GED, Some college, College +</w:t>
      </w:r>
      <w:r w:rsidR="00640753" w:rsidRPr="00072D80">
        <w:t xml:space="preserve">), </w:t>
      </w:r>
      <w:r w:rsidRPr="00072D80">
        <w:t>race/ethnicity (</w:t>
      </w:r>
      <w:r w:rsidR="00F578E6" w:rsidRPr="00072D80">
        <w:t>Hispanic, Non-Hispanic White, Non-Hispanic Black, Non-Hispanic Other</w:t>
      </w:r>
      <w:r w:rsidRPr="00072D80">
        <w:t xml:space="preserve">), and </w:t>
      </w:r>
      <w:r w:rsidR="00880AD3" w:rsidRPr="00072D80">
        <w:t>f</w:t>
      </w:r>
      <w:r w:rsidRPr="00072D80">
        <w:t xml:space="preserve">ederal </w:t>
      </w:r>
      <w:r w:rsidR="00880AD3" w:rsidRPr="00072D80">
        <w:t>p</w:t>
      </w:r>
      <w:r w:rsidRPr="00072D80">
        <w:t xml:space="preserve">overty </w:t>
      </w:r>
      <w:r w:rsidR="00880AD3" w:rsidRPr="00072D80">
        <w:t>l</w:t>
      </w:r>
      <w:r w:rsidRPr="00072D80">
        <w:t>evel (</w:t>
      </w:r>
      <w:r w:rsidR="00F578E6" w:rsidRPr="00072D80">
        <w:t>&lt;100%,</w:t>
      </w:r>
      <w:r w:rsidR="00DE1841" w:rsidRPr="00072D80">
        <w:t xml:space="preserve"> </w:t>
      </w:r>
      <w:r w:rsidR="00F578E6" w:rsidRPr="00072D80">
        <w:t>100%-199%,</w:t>
      </w:r>
      <w:r w:rsidR="00576FCF" w:rsidRPr="00072D80">
        <w:t xml:space="preserve"> </w:t>
      </w:r>
      <w:r w:rsidR="00F578E6" w:rsidRPr="00072D80">
        <w:t>200%-299%,</w:t>
      </w:r>
      <w:r w:rsidR="005E0DCA" w:rsidRPr="00072D80">
        <w:t xml:space="preserve"> </w:t>
      </w:r>
      <w:r w:rsidR="00F578E6" w:rsidRPr="00072D80">
        <w:t>300%-399%,</w:t>
      </w:r>
      <w:r w:rsidR="005E0DCA" w:rsidRPr="00072D80">
        <w:t xml:space="preserve"> </w:t>
      </w:r>
      <w:r w:rsidR="00F578E6" w:rsidRPr="00072D80">
        <w:t>&gt;=400%</w:t>
      </w:r>
      <w:r w:rsidRPr="00072D80">
        <w:t>).</w:t>
      </w:r>
      <w:r w:rsidR="004A1537" w:rsidRPr="00072D80">
        <w:t xml:space="preserve"> </w:t>
      </w:r>
    </w:p>
    <w:p w14:paraId="29B8B8C9" w14:textId="77777777" w:rsidR="00D443C4" w:rsidRDefault="00D443C4" w:rsidP="00E462E0"/>
    <w:p w14:paraId="74B8D275" w14:textId="78CB48E7" w:rsidR="00E462E0" w:rsidRDefault="00A67913" w:rsidP="00E462E0">
      <w:pPr>
        <w:rPr>
          <w:b/>
          <w:bCs/>
        </w:rPr>
      </w:pPr>
      <w:r w:rsidRPr="00A67913">
        <w:rPr>
          <w:b/>
          <w:bCs/>
        </w:rPr>
        <w:t>Statistical Analysis</w:t>
      </w:r>
    </w:p>
    <w:p w14:paraId="15845666" w14:textId="5D6495F1" w:rsidR="005F2629" w:rsidRPr="00A67913" w:rsidRDefault="005F2629" w:rsidP="00E462E0">
      <w:pPr>
        <w:rPr>
          <w:b/>
          <w:bCs/>
        </w:rPr>
      </w:pPr>
      <w:r w:rsidRPr="00A67913">
        <w:t xml:space="preserve">The analysis </w:t>
      </w:r>
      <w:r w:rsidR="00A17ABE">
        <w:t>accounted for</w:t>
      </w:r>
      <w:r w:rsidR="00AB48E2">
        <w:t xml:space="preserve"> the weights</w:t>
      </w:r>
      <w:r w:rsidRPr="00A67913">
        <w:t xml:space="preserve"> of the NSFG data, </w:t>
      </w:r>
      <w:r w:rsidR="00702CD7">
        <w:t>to conduct</w:t>
      </w:r>
      <w:r w:rsidRPr="00A67913">
        <w:t xml:space="preserve"> nationally representative estimates. </w:t>
      </w:r>
      <w:r w:rsidR="0044330B" w:rsidRPr="00A67913">
        <w:t>A logistic regression model was fit to estimate</w:t>
      </w:r>
      <w:r w:rsidR="00EA1BEA">
        <w:t xml:space="preserve"> using</w:t>
      </w:r>
      <w:r w:rsidR="0044330B" w:rsidRPr="00A67913">
        <w:t xml:space="preserve"> </w:t>
      </w:r>
      <w:r w:rsidRPr="00A67913">
        <w:t xml:space="preserve">the </w:t>
      </w:r>
      <w:proofErr w:type="spellStart"/>
      <w:r w:rsidRPr="00A67913">
        <w:t>svyglm</w:t>
      </w:r>
      <w:proofErr w:type="spellEnd"/>
      <w:r w:rsidRPr="00A67913">
        <w:t xml:space="preserve"> function from the </w:t>
      </w:r>
      <w:r w:rsidR="005A15E4">
        <w:t>“</w:t>
      </w:r>
      <w:r w:rsidRPr="00A67913">
        <w:t>survey</w:t>
      </w:r>
      <w:r w:rsidR="005A15E4">
        <w:t>”</w:t>
      </w:r>
      <w:r w:rsidRPr="00A67913">
        <w:t xml:space="preserve"> package in R</w:t>
      </w:r>
      <w:r w:rsidR="00BF769E">
        <w:t xml:space="preserve"> </w:t>
      </w:r>
      <w:r w:rsidR="00BF769E" w:rsidRPr="00A67913">
        <w:t xml:space="preserve">(Version </w:t>
      </w:r>
      <w:r w:rsidR="00AC49EF">
        <w:t>4.4.1</w:t>
      </w:r>
      <w:r w:rsidR="00961313">
        <w:t>)</w:t>
      </w:r>
      <w:r w:rsidR="00E462E0" w:rsidRPr="00E462E0">
        <w:t xml:space="preserve"> </w:t>
      </w:r>
      <w:r w:rsidR="00E462E0" w:rsidRPr="00A67913">
        <w:t>incorporating weights (WGT2017_2019), strata (SEST), and primary sampling units (SECU).</w:t>
      </w:r>
      <w:r w:rsidR="00A00ED3">
        <w:t xml:space="preserve"> </w:t>
      </w:r>
      <w:r w:rsidR="00A00ED3" w:rsidRPr="00A00ED3">
        <w:t xml:space="preserve">The model estimated the impact of maternal substance use on the preterm birth while controlling for </w:t>
      </w:r>
      <w:r w:rsidR="00A649E7">
        <w:t xml:space="preserve">maternal age at </w:t>
      </w:r>
      <w:r w:rsidR="002670A8">
        <w:t>pregnancy</w:t>
      </w:r>
      <w:r w:rsidR="00A649E7">
        <w:t>, education, race/ethnicity, and income</w:t>
      </w:r>
      <w:r w:rsidR="00A00ED3" w:rsidRPr="00A00ED3">
        <w:t>.</w:t>
      </w:r>
    </w:p>
    <w:p w14:paraId="271379C5" w14:textId="77777777" w:rsidR="00EA0ED9" w:rsidRDefault="00EA0ED9" w:rsidP="00A67913"/>
    <w:p w14:paraId="284C5CE7" w14:textId="5B29DF9A" w:rsidR="00C03AAC" w:rsidRPr="00C03AAC" w:rsidRDefault="00C03AAC" w:rsidP="00C03AAC">
      <w:pPr>
        <w:rPr>
          <w:b/>
          <w:bCs/>
        </w:rPr>
      </w:pPr>
      <w:r w:rsidRPr="00C03AAC">
        <w:rPr>
          <w:b/>
          <w:bCs/>
        </w:rPr>
        <w:t>Results</w:t>
      </w:r>
    </w:p>
    <w:p w14:paraId="57400016" w14:textId="5B8B40DC" w:rsidR="00C92EEC" w:rsidRPr="00C92EEC" w:rsidRDefault="008A3473" w:rsidP="00C92EEC">
      <w:pPr>
        <w:spacing w:after="160"/>
      </w:pPr>
      <w:r>
        <w:t>The</w:t>
      </w:r>
      <w:r w:rsidR="00C92EEC" w:rsidRPr="00C92EEC">
        <w:t xml:space="preserve"> </w:t>
      </w:r>
      <w:r w:rsidR="00071397">
        <w:t xml:space="preserve">weighted </w:t>
      </w:r>
      <w:r w:rsidR="00C92EEC" w:rsidRPr="00C92EEC">
        <w:t xml:space="preserve">distribution of demographic </w:t>
      </w:r>
      <w:r>
        <w:t>c</w:t>
      </w:r>
      <w:r w:rsidR="00C92EEC" w:rsidRPr="00C92EEC">
        <w:t>haracteristics among the study participants of the National Survey of Family Growth from 2017-2019</w:t>
      </w:r>
      <w:r w:rsidR="00C27D04">
        <w:t xml:space="preserve"> are shown in Table 1. </w:t>
      </w:r>
      <w:r w:rsidR="00C92EEC" w:rsidRPr="00C92EEC">
        <w:t xml:space="preserve">The total sample </w:t>
      </w:r>
      <w:r w:rsidR="00CD26E1">
        <w:t xml:space="preserve">included </w:t>
      </w:r>
      <w:r w:rsidR="00CD26E1" w:rsidRPr="00C92EEC">
        <w:t>9,894</w:t>
      </w:r>
      <w:r w:rsidR="00C92EEC" w:rsidRPr="00C92EEC">
        <w:t xml:space="preserve"> respondents. Of these, 37.8% experienced preterm births, while 62.2% did not.</w:t>
      </w:r>
      <w:r w:rsidR="00A669D6">
        <w:t xml:space="preserve"> </w:t>
      </w:r>
      <w:r w:rsidR="00C92EEC" w:rsidRPr="00C92EEC">
        <w:t xml:space="preserve">Substance use during pregnancy was reported by 18.1% of the respondents (n=1,911), </w:t>
      </w:r>
      <w:r w:rsidR="00AE47C4">
        <w:t>while</w:t>
      </w:r>
      <w:r w:rsidR="00C92EEC" w:rsidRPr="00C92EEC">
        <w:t xml:space="preserve"> 81.9%</w:t>
      </w:r>
      <w:r w:rsidR="00AE47C4">
        <w:t xml:space="preserve"> </w:t>
      </w:r>
      <w:r w:rsidR="00C92EEC" w:rsidRPr="00C92EEC">
        <w:t>(n=7,983) reported no substance use.</w:t>
      </w:r>
      <w:r w:rsidR="000A3277">
        <w:t xml:space="preserve"> </w:t>
      </w:r>
      <w:r w:rsidR="00C92EEC" w:rsidRPr="00C92EEC">
        <w:t xml:space="preserve">The average age at birth among the participants was 25.5 years </w:t>
      </w:r>
      <w:r w:rsidR="00E81F54">
        <w:t>(</w:t>
      </w:r>
      <w:r w:rsidR="0004556E">
        <w:t>SD</w:t>
      </w:r>
      <w:r w:rsidR="00E81F54">
        <w:t>=0.09).</w:t>
      </w:r>
      <w:r w:rsidR="002766CF">
        <w:t xml:space="preserve"> </w:t>
      </w:r>
      <w:r w:rsidR="0026178C">
        <w:t xml:space="preserve">Among the sample, </w:t>
      </w:r>
      <w:r w:rsidR="00C92EEC" w:rsidRPr="00C92EEC">
        <w:t xml:space="preserve">12.9% had less than a high school education </w:t>
      </w:r>
      <w:r w:rsidR="00C92EEC" w:rsidRPr="00C92EEC">
        <w:lastRenderedPageBreak/>
        <w:t>(n=1,542), 29.0% completed high school (n=3,206), 30.4% had some college education (n=2,937), and 27.6% had a college degree or higher (n=2,209).</w:t>
      </w:r>
      <w:r w:rsidR="00B20AFB">
        <w:t xml:space="preserve"> </w:t>
      </w:r>
      <w:r w:rsidR="00C92EEC" w:rsidRPr="00C92EEC">
        <w:t xml:space="preserve">Hispanics accounted for 24.2% of the sample (n=2,944), Non-Hispanic Whites </w:t>
      </w:r>
      <w:r w:rsidR="000F36A4">
        <w:t>of</w:t>
      </w:r>
      <w:r w:rsidR="00C92EEC" w:rsidRPr="00C92EEC">
        <w:t xml:space="preserve"> 50.5% (n=3,980), Non-Hispanic Blacks </w:t>
      </w:r>
      <w:r w:rsidR="009E6E86">
        <w:t xml:space="preserve">of </w:t>
      </w:r>
      <w:r w:rsidR="00C92EEC" w:rsidRPr="00C92EEC">
        <w:t xml:space="preserve">16.2% (n=2,170), and Non-Hispanic Others </w:t>
      </w:r>
      <w:r w:rsidR="00525223">
        <w:t>of</w:t>
      </w:r>
      <w:r w:rsidR="000F36A4">
        <w:t xml:space="preserve"> </w:t>
      </w:r>
      <w:r w:rsidR="00C92EEC" w:rsidRPr="00C92EEC">
        <w:t>9.2% (n=800).</w:t>
      </w:r>
      <w:r w:rsidR="00B20AFB">
        <w:t xml:space="preserve"> </w:t>
      </w:r>
      <w:r w:rsidR="00C92EEC" w:rsidRPr="00C92EEC">
        <w:t xml:space="preserve">Income distribution showed that 25.8% of the participants lived below 100% of the Federal Poverty Level (FPL) (n=3,151), 25.4% between 100% and 199% FPL (n=2,560), 16.8% between 200% and 299% FPL (n=1,653), 8.2% between 300% and 399% FPL (n=750), and 23.8% </w:t>
      </w:r>
      <w:r w:rsidR="00834229">
        <w:t>had</w:t>
      </w:r>
      <w:r w:rsidR="00C92EEC" w:rsidRPr="00C92EEC">
        <w:t xml:space="preserve"> 400% or above the FPL (n=1,780).</w:t>
      </w:r>
    </w:p>
    <w:p w14:paraId="19069A67" w14:textId="77777777" w:rsidR="003505D4" w:rsidRDefault="003505D4" w:rsidP="00A67913">
      <w:pPr>
        <w:rPr>
          <w:b/>
          <w:bCs/>
        </w:rPr>
        <w:sectPr w:rsidR="003505D4">
          <w:pgSz w:w="12240" w:h="15840"/>
          <w:pgMar w:top="1440" w:right="1440" w:bottom="1440" w:left="1440" w:header="720" w:footer="720" w:gutter="0"/>
          <w:cols w:space="720"/>
          <w:docGrid w:linePitch="360"/>
        </w:sectPr>
      </w:pPr>
    </w:p>
    <w:p w14:paraId="189D2571" w14:textId="54D05AFF" w:rsidR="00ED6AED" w:rsidRDefault="00DD5A02" w:rsidP="00A67913">
      <w:r w:rsidRPr="00B524EF">
        <w:rPr>
          <w:b/>
          <w:bCs/>
        </w:rPr>
        <w:t>Table 1.</w:t>
      </w:r>
      <w:r>
        <w:t xml:space="preserve"> </w:t>
      </w:r>
      <w:r w:rsidR="003505D4">
        <w:t xml:space="preserve">Demographic </w:t>
      </w:r>
      <w:r w:rsidR="00ED6AED" w:rsidRPr="00ED6AED">
        <w:t>Characteristics Among Study Participants, National Survey of Family Growth, 2017-2019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1890"/>
        <w:gridCol w:w="3003"/>
      </w:tblGrid>
      <w:tr w:rsidR="002C4AC6" w14:paraId="03B69DB8" w14:textId="2DDAD122" w:rsidTr="00277AA9">
        <w:tc>
          <w:tcPr>
            <w:tcW w:w="3690" w:type="dxa"/>
            <w:tcBorders>
              <w:top w:val="single" w:sz="18" w:space="0" w:color="auto"/>
              <w:bottom w:val="single" w:sz="18" w:space="0" w:color="auto"/>
            </w:tcBorders>
          </w:tcPr>
          <w:p w14:paraId="1667B99C" w14:textId="77777777" w:rsidR="002C4AC6" w:rsidRPr="00894C76" w:rsidRDefault="002C4AC6" w:rsidP="009328D2">
            <w:pPr>
              <w:rPr>
                <w:b/>
                <w:bCs/>
              </w:rPr>
            </w:pPr>
            <w:r w:rsidRPr="00894C76">
              <w:rPr>
                <w:b/>
                <w:bCs/>
              </w:rPr>
              <w:t>Variable</w:t>
            </w:r>
          </w:p>
        </w:tc>
        <w:tc>
          <w:tcPr>
            <w:tcW w:w="1890" w:type="dxa"/>
            <w:tcBorders>
              <w:top w:val="single" w:sz="18" w:space="0" w:color="auto"/>
              <w:bottom w:val="single" w:sz="18" w:space="0" w:color="auto"/>
            </w:tcBorders>
          </w:tcPr>
          <w:p w14:paraId="2448461D" w14:textId="1F4496D1" w:rsidR="002C4AC6" w:rsidRPr="00894C76" w:rsidRDefault="002C4AC6" w:rsidP="002C4AC6">
            <w:pPr>
              <w:jc w:val="center"/>
              <w:rPr>
                <w:b/>
                <w:bCs/>
              </w:rPr>
            </w:pPr>
            <w:r>
              <w:rPr>
                <w:b/>
                <w:bCs/>
              </w:rPr>
              <w:t>N</w:t>
            </w:r>
            <w:r w:rsidR="004447CA">
              <w:rPr>
                <w:b/>
                <w:bCs/>
              </w:rPr>
              <w:t xml:space="preserve"> (unweighted)</w:t>
            </w:r>
          </w:p>
        </w:tc>
        <w:tc>
          <w:tcPr>
            <w:tcW w:w="3003" w:type="dxa"/>
            <w:tcBorders>
              <w:top w:val="single" w:sz="18" w:space="0" w:color="auto"/>
              <w:bottom w:val="single" w:sz="18" w:space="0" w:color="auto"/>
            </w:tcBorders>
          </w:tcPr>
          <w:p w14:paraId="3E95E02A" w14:textId="147ECC3A" w:rsidR="002C4AC6" w:rsidRDefault="002C4AC6" w:rsidP="002C4AC6">
            <w:pPr>
              <w:jc w:val="center"/>
              <w:rPr>
                <w:b/>
                <w:bCs/>
              </w:rPr>
            </w:pPr>
            <w:r>
              <w:rPr>
                <w:b/>
                <w:bCs/>
              </w:rPr>
              <w:t>Weighted % or mean (SD)</w:t>
            </w:r>
          </w:p>
        </w:tc>
      </w:tr>
      <w:tr w:rsidR="002C4AC6" w14:paraId="727BEFE3" w14:textId="16C58ACB" w:rsidTr="00277AA9">
        <w:tc>
          <w:tcPr>
            <w:tcW w:w="3690" w:type="dxa"/>
            <w:tcBorders>
              <w:top w:val="single" w:sz="18" w:space="0" w:color="auto"/>
            </w:tcBorders>
          </w:tcPr>
          <w:p w14:paraId="2DDC5022" w14:textId="5A042F98" w:rsidR="002C4AC6" w:rsidRPr="008B4CF8" w:rsidRDefault="002C4AC6" w:rsidP="009328D2">
            <w:pPr>
              <w:rPr>
                <w:b/>
                <w:bCs/>
              </w:rPr>
            </w:pPr>
            <w:r>
              <w:rPr>
                <w:b/>
                <w:bCs/>
              </w:rPr>
              <w:t>Total sample (N)</w:t>
            </w:r>
          </w:p>
        </w:tc>
        <w:tc>
          <w:tcPr>
            <w:tcW w:w="1890" w:type="dxa"/>
            <w:tcBorders>
              <w:top w:val="single" w:sz="18" w:space="0" w:color="auto"/>
            </w:tcBorders>
          </w:tcPr>
          <w:p w14:paraId="77FAFAFF" w14:textId="4EEF510C" w:rsidR="002C4AC6" w:rsidRDefault="002C4AC6" w:rsidP="002C4AC6">
            <w:pPr>
              <w:jc w:val="center"/>
            </w:pPr>
            <w:r>
              <w:t>9894</w:t>
            </w:r>
          </w:p>
        </w:tc>
        <w:tc>
          <w:tcPr>
            <w:tcW w:w="3003" w:type="dxa"/>
            <w:tcBorders>
              <w:top w:val="single" w:sz="18" w:space="0" w:color="auto"/>
            </w:tcBorders>
          </w:tcPr>
          <w:p w14:paraId="336A57ED" w14:textId="51C4E4FD" w:rsidR="002C4AC6" w:rsidRDefault="00F02180" w:rsidP="002C4AC6">
            <w:pPr>
              <w:jc w:val="center"/>
            </w:pPr>
            <w:r>
              <w:t>-</w:t>
            </w:r>
          </w:p>
        </w:tc>
      </w:tr>
      <w:tr w:rsidR="002C4AC6" w14:paraId="674F1D2A" w14:textId="11BBF232" w:rsidTr="00277AA9">
        <w:tc>
          <w:tcPr>
            <w:tcW w:w="3690" w:type="dxa"/>
          </w:tcPr>
          <w:p w14:paraId="3B9F3456" w14:textId="5286670D" w:rsidR="002C4AC6" w:rsidRPr="008B4CF8" w:rsidRDefault="002C4AC6" w:rsidP="009328D2">
            <w:pPr>
              <w:rPr>
                <w:b/>
                <w:bCs/>
              </w:rPr>
            </w:pPr>
            <w:r>
              <w:rPr>
                <w:b/>
                <w:bCs/>
              </w:rPr>
              <w:t>Preterm birth</w:t>
            </w:r>
          </w:p>
        </w:tc>
        <w:tc>
          <w:tcPr>
            <w:tcW w:w="1890" w:type="dxa"/>
          </w:tcPr>
          <w:p w14:paraId="65A78967" w14:textId="77777777" w:rsidR="002C4AC6" w:rsidRDefault="002C4AC6" w:rsidP="002C4AC6">
            <w:pPr>
              <w:jc w:val="center"/>
            </w:pPr>
          </w:p>
        </w:tc>
        <w:tc>
          <w:tcPr>
            <w:tcW w:w="3003" w:type="dxa"/>
          </w:tcPr>
          <w:p w14:paraId="72472C7F" w14:textId="77777777" w:rsidR="002C4AC6" w:rsidRDefault="002C4AC6" w:rsidP="002C4AC6">
            <w:pPr>
              <w:jc w:val="center"/>
            </w:pPr>
          </w:p>
        </w:tc>
      </w:tr>
      <w:tr w:rsidR="002C4AC6" w14:paraId="097936CC" w14:textId="2F82F727" w:rsidTr="00277AA9">
        <w:tc>
          <w:tcPr>
            <w:tcW w:w="3690" w:type="dxa"/>
          </w:tcPr>
          <w:p w14:paraId="25ABC9AB" w14:textId="6CF1BB21" w:rsidR="002C4AC6" w:rsidRPr="00492400" w:rsidRDefault="002C4AC6" w:rsidP="009328D2">
            <w:r>
              <w:rPr>
                <w:b/>
                <w:bCs/>
              </w:rPr>
              <w:t xml:space="preserve">   </w:t>
            </w:r>
            <w:r w:rsidRPr="00492400">
              <w:t>Yes</w:t>
            </w:r>
          </w:p>
        </w:tc>
        <w:tc>
          <w:tcPr>
            <w:tcW w:w="1890" w:type="dxa"/>
          </w:tcPr>
          <w:p w14:paraId="4A646B67" w14:textId="6024F8B8" w:rsidR="002C4AC6" w:rsidRDefault="002C4AC6" w:rsidP="002C4AC6">
            <w:pPr>
              <w:jc w:val="center"/>
            </w:pPr>
            <w:r>
              <w:t>3721</w:t>
            </w:r>
          </w:p>
        </w:tc>
        <w:tc>
          <w:tcPr>
            <w:tcW w:w="3003" w:type="dxa"/>
          </w:tcPr>
          <w:p w14:paraId="4E50661D" w14:textId="5C1C4A31" w:rsidR="002C4AC6" w:rsidRDefault="002C4AC6" w:rsidP="002C4AC6">
            <w:pPr>
              <w:jc w:val="center"/>
            </w:pPr>
            <w:r>
              <w:t>37.8 %</w:t>
            </w:r>
          </w:p>
        </w:tc>
      </w:tr>
      <w:tr w:rsidR="002C4AC6" w14:paraId="6C8F67B2" w14:textId="7D6A434B" w:rsidTr="00277AA9">
        <w:tc>
          <w:tcPr>
            <w:tcW w:w="3690" w:type="dxa"/>
          </w:tcPr>
          <w:p w14:paraId="02FBAE8C" w14:textId="7568A078" w:rsidR="002C4AC6" w:rsidRPr="00C72E4C" w:rsidRDefault="002C4AC6" w:rsidP="009328D2">
            <w:r>
              <w:rPr>
                <w:b/>
                <w:bCs/>
              </w:rPr>
              <w:t xml:space="preserve">   </w:t>
            </w:r>
            <w:r w:rsidRPr="00C72E4C">
              <w:t>No</w:t>
            </w:r>
          </w:p>
        </w:tc>
        <w:tc>
          <w:tcPr>
            <w:tcW w:w="1890" w:type="dxa"/>
          </w:tcPr>
          <w:p w14:paraId="0C63D281" w14:textId="334AD3FA" w:rsidR="002C4AC6" w:rsidRDefault="002C4AC6" w:rsidP="002C4AC6">
            <w:pPr>
              <w:jc w:val="center"/>
            </w:pPr>
            <w:r>
              <w:t>6173</w:t>
            </w:r>
          </w:p>
        </w:tc>
        <w:tc>
          <w:tcPr>
            <w:tcW w:w="3003" w:type="dxa"/>
          </w:tcPr>
          <w:p w14:paraId="70A48F80" w14:textId="445722DA" w:rsidR="002C4AC6" w:rsidRDefault="002C4AC6" w:rsidP="002C4AC6">
            <w:pPr>
              <w:jc w:val="center"/>
            </w:pPr>
            <w:r>
              <w:t>62.2 %</w:t>
            </w:r>
          </w:p>
        </w:tc>
      </w:tr>
      <w:tr w:rsidR="002C4AC6" w14:paraId="10143E48" w14:textId="74221A0F" w:rsidTr="00277AA9">
        <w:tc>
          <w:tcPr>
            <w:tcW w:w="3690" w:type="dxa"/>
          </w:tcPr>
          <w:p w14:paraId="6CC12B7A" w14:textId="256EB6D4" w:rsidR="002C4AC6" w:rsidRDefault="002C4AC6" w:rsidP="009328D2">
            <w:pPr>
              <w:rPr>
                <w:b/>
                <w:bCs/>
              </w:rPr>
            </w:pPr>
            <w:r w:rsidRPr="008B4CF8">
              <w:rPr>
                <w:b/>
                <w:bCs/>
              </w:rPr>
              <w:t>Substance use</w:t>
            </w:r>
            <w:r>
              <w:rPr>
                <w:b/>
                <w:bCs/>
              </w:rPr>
              <w:t xml:space="preserve"> </w:t>
            </w:r>
          </w:p>
          <w:p w14:paraId="05789746" w14:textId="77777777" w:rsidR="002C4AC6" w:rsidRPr="00230F4C" w:rsidRDefault="002C4AC6" w:rsidP="009328D2">
            <w:r>
              <w:rPr>
                <w:b/>
                <w:bCs/>
              </w:rPr>
              <w:t xml:space="preserve">   </w:t>
            </w:r>
            <w:r w:rsidRPr="00230F4C">
              <w:t>Yes</w:t>
            </w:r>
          </w:p>
          <w:p w14:paraId="0FCD4924" w14:textId="10CD2E35" w:rsidR="002C4AC6" w:rsidRPr="008B4CF8" w:rsidRDefault="002C4AC6" w:rsidP="009328D2">
            <w:pPr>
              <w:rPr>
                <w:b/>
                <w:bCs/>
              </w:rPr>
            </w:pPr>
            <w:r w:rsidRPr="00230F4C">
              <w:t xml:space="preserve">   No</w:t>
            </w:r>
          </w:p>
        </w:tc>
        <w:tc>
          <w:tcPr>
            <w:tcW w:w="1890" w:type="dxa"/>
          </w:tcPr>
          <w:p w14:paraId="48E09374" w14:textId="77777777" w:rsidR="002C4AC6" w:rsidRDefault="002C4AC6" w:rsidP="002C4AC6">
            <w:pPr>
              <w:jc w:val="center"/>
            </w:pPr>
          </w:p>
          <w:p w14:paraId="05B24870" w14:textId="77777777" w:rsidR="002C4AC6" w:rsidRDefault="002C4AC6" w:rsidP="002C4AC6">
            <w:pPr>
              <w:jc w:val="center"/>
            </w:pPr>
            <w:r>
              <w:t>1911</w:t>
            </w:r>
          </w:p>
          <w:p w14:paraId="517BA921" w14:textId="385461B2" w:rsidR="002C4AC6" w:rsidRPr="00FC29A6" w:rsidRDefault="002C4AC6" w:rsidP="002C4AC6">
            <w:pPr>
              <w:jc w:val="center"/>
            </w:pPr>
            <w:r>
              <w:t>7983</w:t>
            </w:r>
          </w:p>
        </w:tc>
        <w:tc>
          <w:tcPr>
            <w:tcW w:w="3003" w:type="dxa"/>
          </w:tcPr>
          <w:p w14:paraId="375D4A27" w14:textId="77777777" w:rsidR="002C4AC6" w:rsidRDefault="002C4AC6" w:rsidP="002C4AC6">
            <w:pPr>
              <w:jc w:val="center"/>
            </w:pPr>
          </w:p>
          <w:p w14:paraId="14E50472" w14:textId="77777777" w:rsidR="002C4AC6" w:rsidRDefault="002C4AC6" w:rsidP="002C4AC6">
            <w:pPr>
              <w:jc w:val="center"/>
            </w:pPr>
            <w:r>
              <w:t>18.1 %</w:t>
            </w:r>
          </w:p>
          <w:p w14:paraId="5B4E9554" w14:textId="0716995A" w:rsidR="002C4AC6" w:rsidRPr="002C4AC6" w:rsidRDefault="002C4AC6" w:rsidP="002C4AC6">
            <w:pPr>
              <w:jc w:val="center"/>
            </w:pPr>
            <w:r>
              <w:t>81.9 %</w:t>
            </w:r>
          </w:p>
        </w:tc>
      </w:tr>
      <w:tr w:rsidR="002C4AC6" w14:paraId="62994128" w14:textId="70C3964C" w:rsidTr="00277AA9">
        <w:tc>
          <w:tcPr>
            <w:tcW w:w="3690" w:type="dxa"/>
          </w:tcPr>
          <w:p w14:paraId="73A5FF82" w14:textId="77777777" w:rsidR="002C4AC6" w:rsidRPr="008B4CF8" w:rsidRDefault="002C4AC6" w:rsidP="009328D2">
            <w:pPr>
              <w:rPr>
                <w:b/>
                <w:bCs/>
              </w:rPr>
            </w:pPr>
            <w:r w:rsidRPr="008B4CF8">
              <w:rPr>
                <w:b/>
                <w:bCs/>
              </w:rPr>
              <w:t>Age at birth (years)</w:t>
            </w:r>
          </w:p>
        </w:tc>
        <w:tc>
          <w:tcPr>
            <w:tcW w:w="1890" w:type="dxa"/>
          </w:tcPr>
          <w:p w14:paraId="424816A3" w14:textId="74D81BF0" w:rsidR="002C4AC6" w:rsidRDefault="007B6AE8" w:rsidP="002C4AC6">
            <w:pPr>
              <w:jc w:val="center"/>
            </w:pPr>
            <w:r>
              <w:t>9894</w:t>
            </w:r>
          </w:p>
        </w:tc>
        <w:tc>
          <w:tcPr>
            <w:tcW w:w="3003" w:type="dxa"/>
          </w:tcPr>
          <w:p w14:paraId="1A69D933" w14:textId="46697F15" w:rsidR="002C4AC6" w:rsidRDefault="007B6AE8" w:rsidP="002C4AC6">
            <w:pPr>
              <w:jc w:val="center"/>
            </w:pPr>
            <w:r>
              <w:t>25.5 (0.09)</w:t>
            </w:r>
          </w:p>
        </w:tc>
      </w:tr>
      <w:tr w:rsidR="002C4AC6" w14:paraId="68283A54" w14:textId="69BE291B" w:rsidTr="00277AA9">
        <w:tc>
          <w:tcPr>
            <w:tcW w:w="3690" w:type="dxa"/>
          </w:tcPr>
          <w:p w14:paraId="2C65827C" w14:textId="2651423F" w:rsidR="002C4AC6" w:rsidRPr="008B4CF8" w:rsidRDefault="002C4AC6" w:rsidP="009328D2">
            <w:pPr>
              <w:rPr>
                <w:b/>
                <w:bCs/>
              </w:rPr>
            </w:pPr>
            <w:r w:rsidRPr="008B4CF8">
              <w:rPr>
                <w:b/>
                <w:bCs/>
              </w:rPr>
              <w:t xml:space="preserve">Education </w:t>
            </w:r>
          </w:p>
        </w:tc>
        <w:tc>
          <w:tcPr>
            <w:tcW w:w="1890" w:type="dxa"/>
          </w:tcPr>
          <w:p w14:paraId="4D4B988D" w14:textId="77777777" w:rsidR="002C4AC6" w:rsidRDefault="002C4AC6" w:rsidP="002C4AC6">
            <w:pPr>
              <w:jc w:val="center"/>
            </w:pPr>
          </w:p>
        </w:tc>
        <w:tc>
          <w:tcPr>
            <w:tcW w:w="3003" w:type="dxa"/>
          </w:tcPr>
          <w:p w14:paraId="3F3BD7C3" w14:textId="77777777" w:rsidR="002C4AC6" w:rsidRDefault="002C4AC6" w:rsidP="002C4AC6">
            <w:pPr>
              <w:jc w:val="center"/>
            </w:pPr>
          </w:p>
        </w:tc>
      </w:tr>
      <w:tr w:rsidR="002C4AC6" w14:paraId="17B30945" w14:textId="75D11D57" w:rsidTr="00277AA9">
        <w:tc>
          <w:tcPr>
            <w:tcW w:w="3690" w:type="dxa"/>
          </w:tcPr>
          <w:p w14:paraId="4C6E80FC" w14:textId="17771336" w:rsidR="002C4AC6" w:rsidRDefault="002C4AC6" w:rsidP="009328D2">
            <w:r>
              <w:t xml:space="preserve">   Less than high school</w:t>
            </w:r>
          </w:p>
        </w:tc>
        <w:tc>
          <w:tcPr>
            <w:tcW w:w="1890" w:type="dxa"/>
          </w:tcPr>
          <w:p w14:paraId="465721A8" w14:textId="5B82B5DF" w:rsidR="002C4AC6" w:rsidRDefault="00984951" w:rsidP="002C4AC6">
            <w:pPr>
              <w:jc w:val="center"/>
            </w:pPr>
            <w:r>
              <w:t>1542</w:t>
            </w:r>
          </w:p>
        </w:tc>
        <w:tc>
          <w:tcPr>
            <w:tcW w:w="3003" w:type="dxa"/>
          </w:tcPr>
          <w:p w14:paraId="725F9A13" w14:textId="41B0A96B" w:rsidR="002C4AC6" w:rsidRDefault="00984951" w:rsidP="002C4AC6">
            <w:pPr>
              <w:jc w:val="center"/>
            </w:pPr>
            <w:r>
              <w:t>12.9 %</w:t>
            </w:r>
          </w:p>
        </w:tc>
      </w:tr>
      <w:tr w:rsidR="002C4AC6" w14:paraId="5CF51E94" w14:textId="58A6B453" w:rsidTr="00277AA9">
        <w:tc>
          <w:tcPr>
            <w:tcW w:w="3690" w:type="dxa"/>
          </w:tcPr>
          <w:p w14:paraId="6A5291F0" w14:textId="3CB21908" w:rsidR="002C4AC6" w:rsidRDefault="002C4AC6" w:rsidP="009328D2">
            <w:r>
              <w:t xml:space="preserve">   High school</w:t>
            </w:r>
          </w:p>
        </w:tc>
        <w:tc>
          <w:tcPr>
            <w:tcW w:w="1890" w:type="dxa"/>
          </w:tcPr>
          <w:p w14:paraId="7CB593D4" w14:textId="39E4F207" w:rsidR="002C4AC6" w:rsidRDefault="00984951" w:rsidP="002C4AC6">
            <w:pPr>
              <w:jc w:val="center"/>
            </w:pPr>
            <w:r>
              <w:t>3206</w:t>
            </w:r>
          </w:p>
        </w:tc>
        <w:tc>
          <w:tcPr>
            <w:tcW w:w="3003" w:type="dxa"/>
          </w:tcPr>
          <w:p w14:paraId="0E60C3E0" w14:textId="3D802F1C" w:rsidR="002C4AC6" w:rsidRDefault="00984951" w:rsidP="002C4AC6">
            <w:pPr>
              <w:jc w:val="center"/>
            </w:pPr>
            <w:r>
              <w:t>29.0 %</w:t>
            </w:r>
          </w:p>
        </w:tc>
      </w:tr>
      <w:tr w:rsidR="002C4AC6" w14:paraId="59B03DAE" w14:textId="3147152F" w:rsidTr="00277AA9">
        <w:tc>
          <w:tcPr>
            <w:tcW w:w="3690" w:type="dxa"/>
          </w:tcPr>
          <w:p w14:paraId="42A309A1" w14:textId="77777777" w:rsidR="002C4AC6" w:rsidRDefault="002C4AC6" w:rsidP="009328D2">
            <w:r>
              <w:t xml:space="preserve">   Some college</w:t>
            </w:r>
          </w:p>
        </w:tc>
        <w:tc>
          <w:tcPr>
            <w:tcW w:w="1890" w:type="dxa"/>
          </w:tcPr>
          <w:p w14:paraId="03B5349E" w14:textId="21F84A16" w:rsidR="002C4AC6" w:rsidRDefault="00984951" w:rsidP="002C4AC6">
            <w:pPr>
              <w:jc w:val="center"/>
            </w:pPr>
            <w:r>
              <w:t>2937</w:t>
            </w:r>
          </w:p>
        </w:tc>
        <w:tc>
          <w:tcPr>
            <w:tcW w:w="3003" w:type="dxa"/>
          </w:tcPr>
          <w:p w14:paraId="0F047761" w14:textId="50893BD4" w:rsidR="002C4AC6" w:rsidRDefault="00984951" w:rsidP="002C4AC6">
            <w:pPr>
              <w:jc w:val="center"/>
            </w:pPr>
            <w:r>
              <w:t>30.4 %</w:t>
            </w:r>
          </w:p>
        </w:tc>
      </w:tr>
      <w:tr w:rsidR="002C4AC6" w14:paraId="546F8082" w14:textId="39648CC5" w:rsidTr="00277AA9">
        <w:tc>
          <w:tcPr>
            <w:tcW w:w="3690" w:type="dxa"/>
          </w:tcPr>
          <w:p w14:paraId="593B2376" w14:textId="77777777" w:rsidR="002C4AC6" w:rsidRDefault="002C4AC6" w:rsidP="009328D2">
            <w:r>
              <w:t xml:space="preserve">   College +</w:t>
            </w:r>
          </w:p>
        </w:tc>
        <w:tc>
          <w:tcPr>
            <w:tcW w:w="1890" w:type="dxa"/>
          </w:tcPr>
          <w:p w14:paraId="4CCC4B3F" w14:textId="242464AE" w:rsidR="002C4AC6" w:rsidRDefault="00984951" w:rsidP="002C4AC6">
            <w:pPr>
              <w:jc w:val="center"/>
            </w:pPr>
            <w:r>
              <w:t>2209</w:t>
            </w:r>
          </w:p>
        </w:tc>
        <w:tc>
          <w:tcPr>
            <w:tcW w:w="3003" w:type="dxa"/>
          </w:tcPr>
          <w:p w14:paraId="617934CF" w14:textId="0EFA1FF4" w:rsidR="002C4AC6" w:rsidRDefault="00984951" w:rsidP="002C4AC6">
            <w:pPr>
              <w:jc w:val="center"/>
            </w:pPr>
            <w:r>
              <w:t>27.6 %</w:t>
            </w:r>
          </w:p>
        </w:tc>
      </w:tr>
      <w:tr w:rsidR="002C4AC6" w14:paraId="4697B34B" w14:textId="01EBE1D6" w:rsidTr="00277AA9">
        <w:tc>
          <w:tcPr>
            <w:tcW w:w="3690" w:type="dxa"/>
          </w:tcPr>
          <w:p w14:paraId="54A1E626" w14:textId="2F4C1110" w:rsidR="002C4AC6" w:rsidRPr="00BE01F1" w:rsidRDefault="002C4AC6" w:rsidP="009328D2">
            <w:pPr>
              <w:rPr>
                <w:b/>
                <w:bCs/>
              </w:rPr>
            </w:pPr>
            <w:r w:rsidRPr="00BE01F1">
              <w:rPr>
                <w:b/>
                <w:bCs/>
              </w:rPr>
              <w:t xml:space="preserve">Race/ethnicity </w:t>
            </w:r>
          </w:p>
        </w:tc>
        <w:tc>
          <w:tcPr>
            <w:tcW w:w="1890" w:type="dxa"/>
          </w:tcPr>
          <w:p w14:paraId="6207215C" w14:textId="77777777" w:rsidR="002C4AC6" w:rsidRDefault="002C4AC6" w:rsidP="002C4AC6">
            <w:pPr>
              <w:jc w:val="center"/>
            </w:pPr>
          </w:p>
        </w:tc>
        <w:tc>
          <w:tcPr>
            <w:tcW w:w="3003" w:type="dxa"/>
          </w:tcPr>
          <w:p w14:paraId="51439327" w14:textId="77777777" w:rsidR="002C4AC6" w:rsidRDefault="002C4AC6" w:rsidP="002C4AC6">
            <w:pPr>
              <w:jc w:val="center"/>
            </w:pPr>
          </w:p>
        </w:tc>
      </w:tr>
      <w:tr w:rsidR="002C4AC6" w14:paraId="02CBCDDF" w14:textId="287112CB" w:rsidTr="00277AA9">
        <w:tc>
          <w:tcPr>
            <w:tcW w:w="3690" w:type="dxa"/>
          </w:tcPr>
          <w:p w14:paraId="67F72915" w14:textId="7E2367A5" w:rsidR="002C4AC6" w:rsidRDefault="002C4AC6" w:rsidP="009328D2">
            <w:r>
              <w:t xml:space="preserve">   Hispanic</w:t>
            </w:r>
          </w:p>
        </w:tc>
        <w:tc>
          <w:tcPr>
            <w:tcW w:w="1890" w:type="dxa"/>
          </w:tcPr>
          <w:p w14:paraId="0FEFEFB6" w14:textId="60DCEA98" w:rsidR="002C4AC6" w:rsidRDefault="00A16DE4" w:rsidP="002C4AC6">
            <w:pPr>
              <w:jc w:val="center"/>
            </w:pPr>
            <w:r>
              <w:t>2944</w:t>
            </w:r>
          </w:p>
        </w:tc>
        <w:tc>
          <w:tcPr>
            <w:tcW w:w="3003" w:type="dxa"/>
          </w:tcPr>
          <w:p w14:paraId="14EAB523" w14:textId="4E30F00C" w:rsidR="002C4AC6" w:rsidRDefault="00A16DE4" w:rsidP="002C4AC6">
            <w:pPr>
              <w:jc w:val="center"/>
            </w:pPr>
            <w:r>
              <w:t>24.2 %</w:t>
            </w:r>
          </w:p>
        </w:tc>
      </w:tr>
      <w:tr w:rsidR="002C4AC6" w14:paraId="2D48486A" w14:textId="0B33CCD2" w:rsidTr="00277AA9">
        <w:tc>
          <w:tcPr>
            <w:tcW w:w="3690" w:type="dxa"/>
          </w:tcPr>
          <w:p w14:paraId="44C61B2A" w14:textId="77777777" w:rsidR="002C4AC6" w:rsidRDefault="002C4AC6" w:rsidP="009328D2">
            <w:r>
              <w:t xml:space="preserve">   Non-Hispanic White</w:t>
            </w:r>
          </w:p>
        </w:tc>
        <w:tc>
          <w:tcPr>
            <w:tcW w:w="1890" w:type="dxa"/>
          </w:tcPr>
          <w:p w14:paraId="7F0CE8B4" w14:textId="66FF4A59" w:rsidR="002C4AC6" w:rsidRDefault="00A16DE4" w:rsidP="002C4AC6">
            <w:pPr>
              <w:jc w:val="center"/>
            </w:pPr>
            <w:r>
              <w:t>3980</w:t>
            </w:r>
          </w:p>
        </w:tc>
        <w:tc>
          <w:tcPr>
            <w:tcW w:w="3003" w:type="dxa"/>
          </w:tcPr>
          <w:p w14:paraId="5D45443E" w14:textId="3AF52B58" w:rsidR="002C4AC6" w:rsidRDefault="00A16DE4" w:rsidP="002C4AC6">
            <w:pPr>
              <w:jc w:val="center"/>
            </w:pPr>
            <w:r>
              <w:t>50.5 %</w:t>
            </w:r>
          </w:p>
        </w:tc>
      </w:tr>
      <w:tr w:rsidR="002C4AC6" w14:paraId="083DC606" w14:textId="4557E1F4" w:rsidTr="00277AA9">
        <w:tc>
          <w:tcPr>
            <w:tcW w:w="3690" w:type="dxa"/>
          </w:tcPr>
          <w:p w14:paraId="490ECA1F" w14:textId="77777777" w:rsidR="002C4AC6" w:rsidRDefault="002C4AC6" w:rsidP="009328D2">
            <w:r>
              <w:t xml:space="preserve">   Non-Hispanic Black</w:t>
            </w:r>
          </w:p>
        </w:tc>
        <w:tc>
          <w:tcPr>
            <w:tcW w:w="1890" w:type="dxa"/>
          </w:tcPr>
          <w:p w14:paraId="576CE944" w14:textId="3339A716" w:rsidR="002C4AC6" w:rsidRDefault="00A16DE4" w:rsidP="002C4AC6">
            <w:pPr>
              <w:jc w:val="center"/>
            </w:pPr>
            <w:r>
              <w:t>2170</w:t>
            </w:r>
          </w:p>
        </w:tc>
        <w:tc>
          <w:tcPr>
            <w:tcW w:w="3003" w:type="dxa"/>
          </w:tcPr>
          <w:p w14:paraId="578428E7" w14:textId="2FB3125F" w:rsidR="002C4AC6" w:rsidRDefault="00A16DE4" w:rsidP="002C4AC6">
            <w:pPr>
              <w:jc w:val="center"/>
            </w:pPr>
            <w:r>
              <w:t>16.2 %</w:t>
            </w:r>
          </w:p>
        </w:tc>
      </w:tr>
      <w:tr w:rsidR="002C4AC6" w14:paraId="41853E25" w14:textId="042208E7" w:rsidTr="00277AA9">
        <w:tc>
          <w:tcPr>
            <w:tcW w:w="3690" w:type="dxa"/>
          </w:tcPr>
          <w:p w14:paraId="44E2925F" w14:textId="77777777" w:rsidR="002C4AC6" w:rsidRDefault="002C4AC6" w:rsidP="009328D2">
            <w:r>
              <w:t xml:space="preserve">   Non-Hispanic Other</w:t>
            </w:r>
          </w:p>
        </w:tc>
        <w:tc>
          <w:tcPr>
            <w:tcW w:w="1890" w:type="dxa"/>
          </w:tcPr>
          <w:p w14:paraId="43161736" w14:textId="47710563" w:rsidR="002C4AC6" w:rsidRDefault="00A16DE4" w:rsidP="002C4AC6">
            <w:pPr>
              <w:jc w:val="center"/>
            </w:pPr>
            <w:r>
              <w:t>800</w:t>
            </w:r>
          </w:p>
        </w:tc>
        <w:tc>
          <w:tcPr>
            <w:tcW w:w="3003" w:type="dxa"/>
          </w:tcPr>
          <w:p w14:paraId="28BC375F" w14:textId="5B9CDC19" w:rsidR="002C4AC6" w:rsidRDefault="00A16DE4" w:rsidP="002C4AC6">
            <w:pPr>
              <w:jc w:val="center"/>
            </w:pPr>
            <w:r>
              <w:t>9.2 %</w:t>
            </w:r>
          </w:p>
        </w:tc>
      </w:tr>
      <w:tr w:rsidR="002C4AC6" w14:paraId="4C024B28" w14:textId="57A50CDB" w:rsidTr="00277AA9">
        <w:tc>
          <w:tcPr>
            <w:tcW w:w="3690" w:type="dxa"/>
          </w:tcPr>
          <w:p w14:paraId="2FADEEE1" w14:textId="381E4EAB" w:rsidR="002C4AC6" w:rsidRPr="00BE01F1" w:rsidRDefault="002C4AC6" w:rsidP="009328D2">
            <w:pPr>
              <w:rPr>
                <w:b/>
                <w:bCs/>
              </w:rPr>
            </w:pPr>
            <w:r w:rsidRPr="00BE01F1">
              <w:rPr>
                <w:b/>
                <w:bCs/>
              </w:rPr>
              <w:t xml:space="preserve">Income </w:t>
            </w:r>
          </w:p>
        </w:tc>
        <w:tc>
          <w:tcPr>
            <w:tcW w:w="1890" w:type="dxa"/>
          </w:tcPr>
          <w:p w14:paraId="3EB1F49F" w14:textId="77777777" w:rsidR="002C4AC6" w:rsidRDefault="002C4AC6" w:rsidP="002C4AC6">
            <w:pPr>
              <w:jc w:val="center"/>
            </w:pPr>
          </w:p>
        </w:tc>
        <w:tc>
          <w:tcPr>
            <w:tcW w:w="3003" w:type="dxa"/>
          </w:tcPr>
          <w:p w14:paraId="71EB0320" w14:textId="77777777" w:rsidR="002C4AC6" w:rsidRDefault="002C4AC6" w:rsidP="002C4AC6">
            <w:pPr>
              <w:jc w:val="center"/>
            </w:pPr>
          </w:p>
        </w:tc>
      </w:tr>
      <w:tr w:rsidR="002C4AC6" w14:paraId="253344D8" w14:textId="5FE3CD19" w:rsidTr="00277AA9">
        <w:tc>
          <w:tcPr>
            <w:tcW w:w="3690" w:type="dxa"/>
          </w:tcPr>
          <w:p w14:paraId="1AF173CD" w14:textId="61C75BEC" w:rsidR="002C4AC6" w:rsidRDefault="002C4AC6" w:rsidP="009328D2">
            <w:r>
              <w:t xml:space="preserve">   &lt;100% FPL</w:t>
            </w:r>
          </w:p>
        </w:tc>
        <w:tc>
          <w:tcPr>
            <w:tcW w:w="1890" w:type="dxa"/>
          </w:tcPr>
          <w:p w14:paraId="3BF44621" w14:textId="72EE2A80" w:rsidR="002C4AC6" w:rsidRDefault="00F10DE1" w:rsidP="002C4AC6">
            <w:pPr>
              <w:jc w:val="center"/>
            </w:pPr>
            <w:r>
              <w:t>3151</w:t>
            </w:r>
          </w:p>
        </w:tc>
        <w:tc>
          <w:tcPr>
            <w:tcW w:w="3003" w:type="dxa"/>
          </w:tcPr>
          <w:p w14:paraId="41401644" w14:textId="14ED6CD9" w:rsidR="002C4AC6" w:rsidRDefault="00F10DE1" w:rsidP="002C4AC6">
            <w:pPr>
              <w:jc w:val="center"/>
            </w:pPr>
            <w:r>
              <w:t>25.8 %</w:t>
            </w:r>
          </w:p>
        </w:tc>
      </w:tr>
      <w:tr w:rsidR="002C4AC6" w14:paraId="0044322D" w14:textId="52A314E8" w:rsidTr="00277AA9">
        <w:tc>
          <w:tcPr>
            <w:tcW w:w="3690" w:type="dxa"/>
          </w:tcPr>
          <w:p w14:paraId="0F0A1DBE" w14:textId="77777777" w:rsidR="002C4AC6" w:rsidRDefault="002C4AC6" w:rsidP="009328D2">
            <w:r>
              <w:t xml:space="preserve">   </w:t>
            </w:r>
            <w:r w:rsidRPr="008F3387">
              <w:t>100%-199% FPL</w:t>
            </w:r>
            <w:r w:rsidRPr="008F3387">
              <w:tab/>
            </w:r>
          </w:p>
        </w:tc>
        <w:tc>
          <w:tcPr>
            <w:tcW w:w="1890" w:type="dxa"/>
          </w:tcPr>
          <w:p w14:paraId="1223BE32" w14:textId="63CC47ED" w:rsidR="002C4AC6" w:rsidRDefault="00F10DE1" w:rsidP="002C4AC6">
            <w:pPr>
              <w:jc w:val="center"/>
            </w:pPr>
            <w:r>
              <w:t>2560</w:t>
            </w:r>
          </w:p>
        </w:tc>
        <w:tc>
          <w:tcPr>
            <w:tcW w:w="3003" w:type="dxa"/>
          </w:tcPr>
          <w:p w14:paraId="5565D8D4" w14:textId="2C705D9F" w:rsidR="002C4AC6" w:rsidRDefault="00F10DE1" w:rsidP="002C4AC6">
            <w:pPr>
              <w:jc w:val="center"/>
            </w:pPr>
            <w:r>
              <w:t>25.4 %</w:t>
            </w:r>
          </w:p>
        </w:tc>
      </w:tr>
      <w:tr w:rsidR="002C4AC6" w14:paraId="3E63A163" w14:textId="3F3C20F8" w:rsidTr="00277AA9">
        <w:tc>
          <w:tcPr>
            <w:tcW w:w="3690" w:type="dxa"/>
          </w:tcPr>
          <w:p w14:paraId="534589B1" w14:textId="77777777" w:rsidR="002C4AC6" w:rsidRDefault="002C4AC6" w:rsidP="009328D2">
            <w:r>
              <w:t xml:space="preserve">   </w:t>
            </w:r>
            <w:r w:rsidRPr="008F3387">
              <w:t>200%-299% FPL</w:t>
            </w:r>
            <w:r w:rsidRPr="008F3387">
              <w:tab/>
            </w:r>
          </w:p>
        </w:tc>
        <w:tc>
          <w:tcPr>
            <w:tcW w:w="1890" w:type="dxa"/>
          </w:tcPr>
          <w:p w14:paraId="2DC01EA0" w14:textId="0571DA27" w:rsidR="002C4AC6" w:rsidRDefault="00F10DE1" w:rsidP="002C4AC6">
            <w:pPr>
              <w:jc w:val="center"/>
            </w:pPr>
            <w:r>
              <w:t>1653</w:t>
            </w:r>
          </w:p>
        </w:tc>
        <w:tc>
          <w:tcPr>
            <w:tcW w:w="3003" w:type="dxa"/>
          </w:tcPr>
          <w:p w14:paraId="00C9AFC7" w14:textId="64329007" w:rsidR="002C4AC6" w:rsidRDefault="00F10DE1" w:rsidP="002C4AC6">
            <w:pPr>
              <w:jc w:val="center"/>
            </w:pPr>
            <w:r>
              <w:t>16.8 %</w:t>
            </w:r>
          </w:p>
        </w:tc>
      </w:tr>
      <w:tr w:rsidR="002C4AC6" w14:paraId="183712EB" w14:textId="54690510" w:rsidTr="00277AA9">
        <w:tc>
          <w:tcPr>
            <w:tcW w:w="3690" w:type="dxa"/>
          </w:tcPr>
          <w:p w14:paraId="0F3334D3" w14:textId="77777777" w:rsidR="002C4AC6" w:rsidRDefault="002C4AC6" w:rsidP="009328D2">
            <w:r>
              <w:t xml:space="preserve">   </w:t>
            </w:r>
            <w:r w:rsidRPr="008F3387">
              <w:t>300%-399% FPL</w:t>
            </w:r>
            <w:r w:rsidRPr="008F3387">
              <w:tab/>
            </w:r>
          </w:p>
        </w:tc>
        <w:tc>
          <w:tcPr>
            <w:tcW w:w="1890" w:type="dxa"/>
          </w:tcPr>
          <w:p w14:paraId="3A7E3EAC" w14:textId="31C3618E" w:rsidR="002C4AC6" w:rsidRDefault="00F10DE1" w:rsidP="002C4AC6">
            <w:pPr>
              <w:jc w:val="center"/>
            </w:pPr>
            <w:r>
              <w:t>750</w:t>
            </w:r>
          </w:p>
        </w:tc>
        <w:tc>
          <w:tcPr>
            <w:tcW w:w="3003" w:type="dxa"/>
          </w:tcPr>
          <w:p w14:paraId="5BF41140" w14:textId="0659D019" w:rsidR="002C4AC6" w:rsidRDefault="00F10DE1" w:rsidP="002C4AC6">
            <w:pPr>
              <w:jc w:val="center"/>
            </w:pPr>
            <w:r>
              <w:t>8.2 %</w:t>
            </w:r>
          </w:p>
        </w:tc>
      </w:tr>
      <w:tr w:rsidR="002C4AC6" w14:paraId="0965AEB5" w14:textId="3D46B2C5" w:rsidTr="00277AA9">
        <w:tc>
          <w:tcPr>
            <w:tcW w:w="3690" w:type="dxa"/>
            <w:tcBorders>
              <w:bottom w:val="single" w:sz="18" w:space="0" w:color="auto"/>
            </w:tcBorders>
          </w:tcPr>
          <w:p w14:paraId="13DD9153" w14:textId="77777777" w:rsidR="002C4AC6" w:rsidRDefault="002C4AC6" w:rsidP="009328D2">
            <w:r>
              <w:t xml:space="preserve">   </w:t>
            </w:r>
            <w:r w:rsidRPr="008F3387">
              <w:t>&gt;=400% FPL</w:t>
            </w:r>
          </w:p>
        </w:tc>
        <w:tc>
          <w:tcPr>
            <w:tcW w:w="1890" w:type="dxa"/>
            <w:tcBorders>
              <w:bottom w:val="single" w:sz="18" w:space="0" w:color="auto"/>
            </w:tcBorders>
          </w:tcPr>
          <w:p w14:paraId="361CC95C" w14:textId="0B9FCCAC" w:rsidR="002C4AC6" w:rsidRDefault="00F10DE1" w:rsidP="002C4AC6">
            <w:pPr>
              <w:jc w:val="center"/>
            </w:pPr>
            <w:r>
              <w:t>1780</w:t>
            </w:r>
          </w:p>
        </w:tc>
        <w:tc>
          <w:tcPr>
            <w:tcW w:w="3003" w:type="dxa"/>
            <w:tcBorders>
              <w:bottom w:val="single" w:sz="18" w:space="0" w:color="auto"/>
            </w:tcBorders>
          </w:tcPr>
          <w:p w14:paraId="5C450655" w14:textId="1FA4A2D8" w:rsidR="002C4AC6" w:rsidRDefault="00F10DE1" w:rsidP="002C4AC6">
            <w:pPr>
              <w:jc w:val="center"/>
            </w:pPr>
            <w:r>
              <w:t>23.8 %</w:t>
            </w:r>
          </w:p>
        </w:tc>
      </w:tr>
    </w:tbl>
    <w:p w14:paraId="21215287" w14:textId="77777777" w:rsidR="00DD5A02" w:rsidRDefault="00DD5A02" w:rsidP="00A67913"/>
    <w:p w14:paraId="0760DA77" w14:textId="23DC1416" w:rsidR="00D33925" w:rsidRPr="00D33925" w:rsidRDefault="00CD0B71" w:rsidP="00F429A2">
      <w:pPr>
        <w:tabs>
          <w:tab w:val="num" w:pos="720"/>
        </w:tabs>
        <w:spacing w:after="160"/>
      </w:pPr>
      <w:r>
        <w:t>O</w:t>
      </w:r>
      <w:r w:rsidR="00D33925" w:rsidRPr="00D33925">
        <w:t xml:space="preserve">dds ratios (ORs) and 95% confidence intervals (CIs) for each predictor, adjusting for all other factors in the </w:t>
      </w:r>
      <w:r w:rsidR="00367CC3">
        <w:t xml:space="preserve">logistic </w:t>
      </w:r>
      <w:r w:rsidR="00D33925" w:rsidRPr="00D33925">
        <w:t>model</w:t>
      </w:r>
      <w:r>
        <w:t xml:space="preserve"> are shown in Table 2</w:t>
      </w:r>
      <w:r w:rsidR="00F276B3">
        <w:t>.</w:t>
      </w:r>
      <w:r w:rsidR="00A46B1F">
        <w:t xml:space="preserve"> </w:t>
      </w:r>
      <w:r w:rsidR="003B4888" w:rsidRPr="003B4888">
        <w:t>The risk of preterm birth was significantly higher among those who reported substance use during pregnancy. Those who reported substance use had 1.7 times the odds of preterm delivery compared to those who did not (95% CI: 1.4-1.9).</w:t>
      </w:r>
      <w:r w:rsidR="00DF1DDF">
        <w:t xml:space="preserve"> </w:t>
      </w:r>
      <w:r w:rsidR="00D33925" w:rsidRPr="00D33925">
        <w:t>Maternal age at pregnancy</w:t>
      </w:r>
      <w:r w:rsidR="004825AE">
        <w:t xml:space="preserve"> </w:t>
      </w:r>
      <w:r w:rsidR="00D33925" w:rsidRPr="00D33925">
        <w:t xml:space="preserve">did not </w:t>
      </w:r>
      <w:r w:rsidR="000A190F">
        <w:t>show significant relationship</w:t>
      </w:r>
      <w:r w:rsidR="00D33925" w:rsidRPr="00D33925">
        <w:t xml:space="preserve"> with an odds ratio </w:t>
      </w:r>
      <w:r w:rsidR="00557169">
        <w:t>of</w:t>
      </w:r>
      <w:r w:rsidR="00D33925" w:rsidRPr="00D33925">
        <w:t xml:space="preserve"> 1.0 (95% CI: 1.0-1.0</w:t>
      </w:r>
      <w:r w:rsidR="003E0AF7">
        <w:t>)</w:t>
      </w:r>
      <w:r w:rsidR="00DF1DDF">
        <w:t xml:space="preserve">. </w:t>
      </w:r>
      <w:r w:rsidR="00D33925" w:rsidRPr="00D33925">
        <w:t>Those with a high school diploma were more likely to have preterm births (OR = 1.5</w:t>
      </w:r>
      <w:r w:rsidR="009871C0">
        <w:t xml:space="preserve">, </w:t>
      </w:r>
      <w:r w:rsidR="00D33925" w:rsidRPr="00D33925">
        <w:t>95% CI: 1.2-1.8).</w:t>
      </w:r>
      <w:r w:rsidR="00DF1DDF">
        <w:t xml:space="preserve"> </w:t>
      </w:r>
      <w:r w:rsidR="00C93046">
        <w:t xml:space="preserve">Education level of </w:t>
      </w:r>
      <w:r w:rsidR="00D33925" w:rsidRPr="00D33925">
        <w:t>some college was associated with even higher odds (OR = 1.7</w:t>
      </w:r>
      <w:r w:rsidR="009871C0">
        <w:t>,</w:t>
      </w:r>
      <w:r w:rsidR="00D33925" w:rsidRPr="00D33925">
        <w:t xml:space="preserve"> 95% CI: 1.3-2.1)</w:t>
      </w:r>
      <w:r w:rsidR="00E93D2E">
        <w:t xml:space="preserve">, </w:t>
      </w:r>
      <w:r w:rsidR="00F276B3">
        <w:t>while</w:t>
      </w:r>
      <w:r w:rsidR="00D33925" w:rsidRPr="00D33925">
        <w:t xml:space="preserve"> college degree or higher had </w:t>
      </w:r>
      <w:r w:rsidR="00367CC3" w:rsidRPr="00D33925">
        <w:t>1.6 times</w:t>
      </w:r>
      <w:r w:rsidR="000B07F8" w:rsidRPr="00D33925">
        <w:t xml:space="preserve"> </w:t>
      </w:r>
      <w:r w:rsidR="000B07F8">
        <w:t>the odds of preterm birth</w:t>
      </w:r>
      <w:r w:rsidR="00D33925" w:rsidRPr="00D33925">
        <w:t xml:space="preserve"> (OR = 1.6</w:t>
      </w:r>
      <w:r w:rsidR="009871C0">
        <w:t xml:space="preserve">, </w:t>
      </w:r>
      <w:r w:rsidR="00D33925" w:rsidRPr="00D33925">
        <w:t>95% CI: 1.2-2.0)</w:t>
      </w:r>
      <w:r w:rsidR="007A55A6">
        <w:t xml:space="preserve"> </w:t>
      </w:r>
      <w:r w:rsidR="00CD3B46">
        <w:t>c</w:t>
      </w:r>
      <w:r w:rsidR="00747BC0" w:rsidRPr="00747BC0">
        <w:t xml:space="preserve">ompared </w:t>
      </w:r>
      <w:r w:rsidR="00747BC0" w:rsidRPr="00747BC0">
        <w:lastRenderedPageBreak/>
        <w:t>to participants with less than high school education</w:t>
      </w:r>
      <w:r w:rsidR="00D33925" w:rsidRPr="00D33925">
        <w:t>.</w:t>
      </w:r>
      <w:r w:rsidR="00401D5A">
        <w:t xml:space="preserve"> </w:t>
      </w:r>
      <w:r w:rsidR="00D33925" w:rsidRPr="00D33925">
        <w:t>Non-Hispanic Blacks (OR = 1.7</w:t>
      </w:r>
      <w:r w:rsidR="009871C0">
        <w:t>,</w:t>
      </w:r>
      <w:r w:rsidR="00D33925" w:rsidRPr="00D33925">
        <w:t xml:space="preserve"> 95% CI: 1.4-2.1) and Non-Hispanic Others (OR = 1.6</w:t>
      </w:r>
      <w:r w:rsidR="009871C0">
        <w:t xml:space="preserve">, </w:t>
      </w:r>
      <w:r w:rsidR="00D33925" w:rsidRPr="00D33925">
        <w:t xml:space="preserve">95% CI: 1.2-2.1) </w:t>
      </w:r>
      <w:r w:rsidR="0014207D">
        <w:t>had</w:t>
      </w:r>
      <w:r w:rsidR="00D33925" w:rsidRPr="00D33925">
        <w:t xml:space="preserve"> significantly higher odds of preterm delivery compared to the Hispani</w:t>
      </w:r>
      <w:r w:rsidR="00141CB9">
        <w:t>c</w:t>
      </w:r>
      <w:r w:rsidR="00D33925" w:rsidRPr="00D33925">
        <w:t>. Non-Hispanic Whites also had increased odds (OR = 1.3</w:t>
      </w:r>
      <w:r w:rsidR="009871C0">
        <w:t>,</w:t>
      </w:r>
      <w:r w:rsidR="00D33925" w:rsidRPr="00D33925">
        <w:t xml:space="preserve"> 95% CI: 1.1-1.5).</w:t>
      </w:r>
      <w:r w:rsidR="00F429A2">
        <w:t xml:space="preserve"> </w:t>
      </w:r>
      <w:r w:rsidR="005D2D57">
        <w:t>None of the</w:t>
      </w:r>
      <w:r w:rsidR="00D33925" w:rsidRPr="00D33925">
        <w:t xml:space="preserve"> income brackets </w:t>
      </w:r>
      <w:r w:rsidR="000E0B29">
        <w:t>showed a</w:t>
      </w:r>
      <w:r w:rsidR="00D33925" w:rsidRPr="00D33925">
        <w:t xml:space="preserve"> </w:t>
      </w:r>
      <w:r w:rsidR="00012E5D" w:rsidRPr="00D33925">
        <w:t xml:space="preserve">significant </w:t>
      </w:r>
      <w:r w:rsidR="004F72BC">
        <w:t>association</w:t>
      </w:r>
      <w:r w:rsidR="00D33925" w:rsidRPr="00D33925">
        <w:t>.</w:t>
      </w:r>
    </w:p>
    <w:p w14:paraId="661BB4B3" w14:textId="751245B7" w:rsidR="004B68B6" w:rsidRDefault="004B68B6" w:rsidP="00A67913">
      <w:r w:rsidRPr="00066E8A">
        <w:rPr>
          <w:b/>
          <w:bCs/>
        </w:rPr>
        <w:t>Table 2.</w:t>
      </w:r>
      <w:r>
        <w:t xml:space="preserve"> </w:t>
      </w:r>
      <w:r w:rsidRPr="004B68B6">
        <w:t xml:space="preserve">Odds ratios (95% confidence interval) for a binary logistic regression model predicting </w:t>
      </w:r>
      <w:r>
        <w:t>preterm birth and substance use</w:t>
      </w:r>
      <w:r w:rsidRPr="004B68B6">
        <w:t xml:space="preserve"> </w:t>
      </w:r>
      <w:r>
        <w:t xml:space="preserve">controlling for </w:t>
      </w:r>
      <w:r w:rsidRPr="004B68B6">
        <w:t>age</w:t>
      </w:r>
      <w:r w:rsidR="00517BDB">
        <w:t xml:space="preserve"> at birth</w:t>
      </w:r>
      <w:r w:rsidRPr="004B68B6">
        <w:t xml:space="preserve">, </w:t>
      </w:r>
      <w:r w:rsidR="00517BDB">
        <w:t xml:space="preserve">education, race </w:t>
      </w:r>
      <w:r w:rsidRPr="004B68B6">
        <w:t>and ethnicity</w:t>
      </w:r>
      <w:r w:rsidR="00517BDB">
        <w:t>,</w:t>
      </w:r>
      <w:r w:rsidRPr="004B68B6">
        <w:t xml:space="preserve"> </w:t>
      </w:r>
      <w:r w:rsidR="00517BDB">
        <w:t>and income.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1795"/>
      </w:tblGrid>
      <w:tr w:rsidR="003F15D8" w14:paraId="2BD346E9" w14:textId="77777777" w:rsidTr="00AC0AD1">
        <w:tc>
          <w:tcPr>
            <w:tcW w:w="3690" w:type="dxa"/>
            <w:tcBorders>
              <w:top w:val="single" w:sz="18" w:space="0" w:color="auto"/>
              <w:bottom w:val="single" w:sz="18" w:space="0" w:color="auto"/>
            </w:tcBorders>
          </w:tcPr>
          <w:p w14:paraId="0BCEB24C" w14:textId="1646B75D" w:rsidR="003F15D8" w:rsidRPr="00894C76" w:rsidRDefault="003F15D8" w:rsidP="00A67913">
            <w:pPr>
              <w:rPr>
                <w:b/>
                <w:bCs/>
              </w:rPr>
            </w:pPr>
            <w:r w:rsidRPr="00894C76">
              <w:rPr>
                <w:b/>
                <w:bCs/>
              </w:rPr>
              <w:t>Variable</w:t>
            </w:r>
          </w:p>
        </w:tc>
        <w:tc>
          <w:tcPr>
            <w:tcW w:w="1795" w:type="dxa"/>
            <w:tcBorders>
              <w:top w:val="single" w:sz="18" w:space="0" w:color="auto"/>
              <w:bottom w:val="single" w:sz="18" w:space="0" w:color="auto"/>
            </w:tcBorders>
          </w:tcPr>
          <w:p w14:paraId="139AC343" w14:textId="0FB5B5D7" w:rsidR="003F15D8" w:rsidRPr="00894C76" w:rsidRDefault="003F15D8" w:rsidP="004C3F8C">
            <w:pPr>
              <w:jc w:val="center"/>
              <w:rPr>
                <w:b/>
                <w:bCs/>
              </w:rPr>
            </w:pPr>
            <w:r w:rsidRPr="00894C76">
              <w:rPr>
                <w:b/>
                <w:bCs/>
              </w:rPr>
              <w:t>OR (95% CI)</w:t>
            </w:r>
          </w:p>
        </w:tc>
      </w:tr>
      <w:tr w:rsidR="003F15D8" w14:paraId="6915A2C4" w14:textId="77777777" w:rsidTr="00AC0AD1">
        <w:tc>
          <w:tcPr>
            <w:tcW w:w="3690" w:type="dxa"/>
            <w:tcBorders>
              <w:top w:val="single" w:sz="18" w:space="0" w:color="auto"/>
            </w:tcBorders>
          </w:tcPr>
          <w:p w14:paraId="6354316F" w14:textId="71F6058E" w:rsidR="003F15D8" w:rsidRPr="008B4CF8" w:rsidRDefault="003F15D8" w:rsidP="00A67913">
            <w:pPr>
              <w:rPr>
                <w:b/>
                <w:bCs/>
              </w:rPr>
            </w:pPr>
            <w:r w:rsidRPr="008B4CF8">
              <w:rPr>
                <w:b/>
                <w:bCs/>
              </w:rPr>
              <w:t>Substance use</w:t>
            </w:r>
            <w:r w:rsidR="00D924FB">
              <w:rPr>
                <w:b/>
                <w:bCs/>
              </w:rPr>
              <w:t xml:space="preserve"> (ref: No)</w:t>
            </w:r>
          </w:p>
        </w:tc>
        <w:tc>
          <w:tcPr>
            <w:tcW w:w="1795" w:type="dxa"/>
            <w:tcBorders>
              <w:top w:val="single" w:sz="18" w:space="0" w:color="auto"/>
            </w:tcBorders>
          </w:tcPr>
          <w:p w14:paraId="2FF95288" w14:textId="44331175" w:rsidR="003F15D8" w:rsidRDefault="003F15D8" w:rsidP="004C3F8C">
            <w:pPr>
              <w:jc w:val="center"/>
            </w:pPr>
            <w:r>
              <w:t>1.7 (1.4</w:t>
            </w:r>
            <w:r w:rsidR="003F057A">
              <w:t xml:space="preserve">, </w:t>
            </w:r>
            <w:r>
              <w:t>1.9)</w:t>
            </w:r>
          </w:p>
        </w:tc>
      </w:tr>
      <w:tr w:rsidR="003F15D8" w14:paraId="48C9D675" w14:textId="77777777" w:rsidTr="00D54F37">
        <w:tc>
          <w:tcPr>
            <w:tcW w:w="3690" w:type="dxa"/>
          </w:tcPr>
          <w:p w14:paraId="7E12191C" w14:textId="7E9050E5" w:rsidR="003F15D8" w:rsidRPr="008B4CF8" w:rsidRDefault="003F15D8" w:rsidP="00A67913">
            <w:pPr>
              <w:rPr>
                <w:b/>
                <w:bCs/>
              </w:rPr>
            </w:pPr>
            <w:r w:rsidRPr="008B4CF8">
              <w:rPr>
                <w:b/>
                <w:bCs/>
              </w:rPr>
              <w:t>Age at birth</w:t>
            </w:r>
            <w:r w:rsidR="00D56A31" w:rsidRPr="008B4CF8">
              <w:rPr>
                <w:b/>
                <w:bCs/>
              </w:rPr>
              <w:t xml:space="preserve"> (years)</w:t>
            </w:r>
          </w:p>
        </w:tc>
        <w:tc>
          <w:tcPr>
            <w:tcW w:w="1795" w:type="dxa"/>
          </w:tcPr>
          <w:p w14:paraId="175A3432" w14:textId="642DED00" w:rsidR="003F15D8" w:rsidRDefault="003F15D8" w:rsidP="004C3F8C">
            <w:pPr>
              <w:jc w:val="center"/>
            </w:pPr>
            <w:r>
              <w:t>1.0 (1.0</w:t>
            </w:r>
            <w:r w:rsidR="003F057A">
              <w:t xml:space="preserve">, </w:t>
            </w:r>
            <w:r>
              <w:t>1.0)</w:t>
            </w:r>
          </w:p>
        </w:tc>
      </w:tr>
      <w:tr w:rsidR="003F15D8" w14:paraId="2C0700C7" w14:textId="77777777" w:rsidTr="00D54F37">
        <w:tc>
          <w:tcPr>
            <w:tcW w:w="3690" w:type="dxa"/>
          </w:tcPr>
          <w:p w14:paraId="023525D1" w14:textId="03538C93" w:rsidR="003F15D8" w:rsidRPr="008B4CF8" w:rsidRDefault="00BC38B8" w:rsidP="00A67913">
            <w:pPr>
              <w:rPr>
                <w:b/>
                <w:bCs/>
              </w:rPr>
            </w:pPr>
            <w:r w:rsidRPr="008B4CF8">
              <w:rPr>
                <w:b/>
                <w:bCs/>
              </w:rPr>
              <w:t xml:space="preserve">Education </w:t>
            </w:r>
            <w:r w:rsidR="008B4CF8" w:rsidRPr="008B4CF8">
              <w:rPr>
                <w:b/>
                <w:bCs/>
              </w:rPr>
              <w:br/>
            </w:r>
            <w:r w:rsidRPr="008B4CF8">
              <w:rPr>
                <w:b/>
                <w:bCs/>
              </w:rPr>
              <w:t>(ref: Less than high school)</w:t>
            </w:r>
          </w:p>
        </w:tc>
        <w:tc>
          <w:tcPr>
            <w:tcW w:w="1795" w:type="dxa"/>
          </w:tcPr>
          <w:p w14:paraId="4BF87833" w14:textId="77777777" w:rsidR="003F15D8" w:rsidRDefault="003F15D8" w:rsidP="004C3F8C">
            <w:pPr>
              <w:jc w:val="center"/>
            </w:pPr>
          </w:p>
        </w:tc>
      </w:tr>
      <w:tr w:rsidR="003F15D8" w14:paraId="5E9B1DC4" w14:textId="77777777" w:rsidTr="00D54F37">
        <w:tc>
          <w:tcPr>
            <w:tcW w:w="3690" w:type="dxa"/>
          </w:tcPr>
          <w:p w14:paraId="23B59714" w14:textId="3861E5EF" w:rsidR="003F15D8" w:rsidRDefault="008B4CF8" w:rsidP="00A67913">
            <w:r>
              <w:t xml:space="preserve">   </w:t>
            </w:r>
            <w:r w:rsidR="00BC38B8">
              <w:t>High school</w:t>
            </w:r>
          </w:p>
        </w:tc>
        <w:tc>
          <w:tcPr>
            <w:tcW w:w="1795" w:type="dxa"/>
          </w:tcPr>
          <w:p w14:paraId="0871AA5E" w14:textId="4789B7FC" w:rsidR="003F15D8" w:rsidRDefault="00D54F37" w:rsidP="004C3F8C">
            <w:pPr>
              <w:jc w:val="center"/>
            </w:pPr>
            <w:r>
              <w:t>1.5 (1.2</w:t>
            </w:r>
            <w:r w:rsidR="003F057A">
              <w:t xml:space="preserve">, </w:t>
            </w:r>
            <w:r>
              <w:t>1.8)</w:t>
            </w:r>
          </w:p>
        </w:tc>
      </w:tr>
      <w:tr w:rsidR="003F15D8" w14:paraId="30BA1FB0" w14:textId="77777777" w:rsidTr="00D54F37">
        <w:tc>
          <w:tcPr>
            <w:tcW w:w="3690" w:type="dxa"/>
          </w:tcPr>
          <w:p w14:paraId="7FD1D7C5" w14:textId="35040B93" w:rsidR="003F15D8" w:rsidRDefault="008B4CF8" w:rsidP="00A67913">
            <w:r>
              <w:t xml:space="preserve">   </w:t>
            </w:r>
            <w:r w:rsidR="008F3387">
              <w:t>Some college</w:t>
            </w:r>
          </w:p>
        </w:tc>
        <w:tc>
          <w:tcPr>
            <w:tcW w:w="1795" w:type="dxa"/>
          </w:tcPr>
          <w:p w14:paraId="304F8C2A" w14:textId="324AE0DC" w:rsidR="003F15D8" w:rsidRDefault="00D54F37" w:rsidP="004C3F8C">
            <w:pPr>
              <w:jc w:val="center"/>
            </w:pPr>
            <w:r>
              <w:t>1.7 (1.3</w:t>
            </w:r>
            <w:r w:rsidR="003F057A">
              <w:t>,</w:t>
            </w:r>
            <w:r w:rsidR="00CC1F2E">
              <w:t xml:space="preserve"> </w:t>
            </w:r>
            <w:r>
              <w:t>2.1)</w:t>
            </w:r>
          </w:p>
        </w:tc>
      </w:tr>
      <w:tr w:rsidR="003F15D8" w14:paraId="01BDA7D0" w14:textId="77777777" w:rsidTr="00D54F37">
        <w:tc>
          <w:tcPr>
            <w:tcW w:w="3690" w:type="dxa"/>
          </w:tcPr>
          <w:p w14:paraId="6F5E780E" w14:textId="19C95C96" w:rsidR="003F15D8" w:rsidRDefault="008B4CF8" w:rsidP="00A67913">
            <w:r>
              <w:t xml:space="preserve">   </w:t>
            </w:r>
            <w:r w:rsidR="008F3387">
              <w:t>College +</w:t>
            </w:r>
          </w:p>
        </w:tc>
        <w:tc>
          <w:tcPr>
            <w:tcW w:w="1795" w:type="dxa"/>
          </w:tcPr>
          <w:p w14:paraId="1630981D" w14:textId="72592E43" w:rsidR="003F15D8" w:rsidRDefault="00D54F37" w:rsidP="004C3F8C">
            <w:pPr>
              <w:jc w:val="center"/>
            </w:pPr>
            <w:r>
              <w:t>1.6 (1.2</w:t>
            </w:r>
            <w:r w:rsidR="003F057A">
              <w:t xml:space="preserve">, </w:t>
            </w:r>
            <w:r>
              <w:t>2.0)</w:t>
            </w:r>
          </w:p>
        </w:tc>
      </w:tr>
      <w:tr w:rsidR="003F15D8" w14:paraId="2090A11F" w14:textId="77777777" w:rsidTr="00D54F37">
        <w:tc>
          <w:tcPr>
            <w:tcW w:w="3690" w:type="dxa"/>
          </w:tcPr>
          <w:p w14:paraId="63DB7655" w14:textId="7C810B22" w:rsidR="003F15D8" w:rsidRPr="00BE01F1" w:rsidRDefault="008F3387" w:rsidP="00A67913">
            <w:pPr>
              <w:rPr>
                <w:b/>
                <w:bCs/>
              </w:rPr>
            </w:pPr>
            <w:r w:rsidRPr="00BE01F1">
              <w:rPr>
                <w:b/>
                <w:bCs/>
              </w:rPr>
              <w:t>Race/ethnicity</w:t>
            </w:r>
            <w:r w:rsidR="00534DD2" w:rsidRPr="00BE01F1">
              <w:rPr>
                <w:b/>
                <w:bCs/>
              </w:rPr>
              <w:t xml:space="preserve"> (ref: Hispanic)</w:t>
            </w:r>
          </w:p>
        </w:tc>
        <w:tc>
          <w:tcPr>
            <w:tcW w:w="1795" w:type="dxa"/>
          </w:tcPr>
          <w:p w14:paraId="75577551" w14:textId="77777777" w:rsidR="003F15D8" w:rsidRDefault="003F15D8" w:rsidP="004C3F8C">
            <w:pPr>
              <w:jc w:val="center"/>
            </w:pPr>
          </w:p>
        </w:tc>
      </w:tr>
      <w:tr w:rsidR="008F3387" w14:paraId="3C093852" w14:textId="77777777" w:rsidTr="00D54F37">
        <w:tc>
          <w:tcPr>
            <w:tcW w:w="3690" w:type="dxa"/>
          </w:tcPr>
          <w:p w14:paraId="42852A86" w14:textId="73E6D39C" w:rsidR="008F3387" w:rsidRDefault="00027F7F" w:rsidP="00A67913">
            <w:r>
              <w:t xml:space="preserve">   </w:t>
            </w:r>
            <w:r w:rsidR="008F3387">
              <w:t>Non-Hispanic White</w:t>
            </w:r>
          </w:p>
        </w:tc>
        <w:tc>
          <w:tcPr>
            <w:tcW w:w="1795" w:type="dxa"/>
          </w:tcPr>
          <w:p w14:paraId="09BD3E3C" w14:textId="0ABEFA88" w:rsidR="008F3387" w:rsidRDefault="002A3DFC" w:rsidP="004C3F8C">
            <w:pPr>
              <w:jc w:val="center"/>
            </w:pPr>
            <w:r>
              <w:t>1.3 (1.1</w:t>
            </w:r>
            <w:r w:rsidR="003F057A">
              <w:t xml:space="preserve">, </w:t>
            </w:r>
            <w:r>
              <w:t>1.5)</w:t>
            </w:r>
          </w:p>
        </w:tc>
      </w:tr>
      <w:tr w:rsidR="008F3387" w14:paraId="78F5EF14" w14:textId="77777777" w:rsidTr="00D54F37">
        <w:tc>
          <w:tcPr>
            <w:tcW w:w="3690" w:type="dxa"/>
          </w:tcPr>
          <w:p w14:paraId="61A49339" w14:textId="2908CBFF" w:rsidR="008F3387" w:rsidRDefault="00027F7F" w:rsidP="00A67913">
            <w:r>
              <w:t xml:space="preserve">   </w:t>
            </w:r>
            <w:r w:rsidR="008F3387">
              <w:t>Non-Hispanic Black</w:t>
            </w:r>
          </w:p>
        </w:tc>
        <w:tc>
          <w:tcPr>
            <w:tcW w:w="1795" w:type="dxa"/>
          </w:tcPr>
          <w:p w14:paraId="01B0DC09" w14:textId="579CFF83" w:rsidR="008F3387" w:rsidRDefault="002A3DFC" w:rsidP="004C3F8C">
            <w:pPr>
              <w:jc w:val="center"/>
            </w:pPr>
            <w:r>
              <w:t>1.7 (1.4</w:t>
            </w:r>
            <w:r w:rsidR="003F057A">
              <w:t xml:space="preserve">, </w:t>
            </w:r>
            <w:r>
              <w:t>2.1)</w:t>
            </w:r>
          </w:p>
        </w:tc>
      </w:tr>
      <w:tr w:rsidR="008F3387" w14:paraId="058DF927" w14:textId="77777777" w:rsidTr="00D54F37">
        <w:tc>
          <w:tcPr>
            <w:tcW w:w="3690" w:type="dxa"/>
          </w:tcPr>
          <w:p w14:paraId="30BB5D79" w14:textId="02D4849B" w:rsidR="008F3387" w:rsidRDefault="00027F7F" w:rsidP="00A67913">
            <w:r>
              <w:t xml:space="preserve">   </w:t>
            </w:r>
            <w:r w:rsidR="008F3387">
              <w:t>Non-Hispanic Other</w:t>
            </w:r>
          </w:p>
        </w:tc>
        <w:tc>
          <w:tcPr>
            <w:tcW w:w="1795" w:type="dxa"/>
          </w:tcPr>
          <w:p w14:paraId="1EFDB178" w14:textId="7A5FE75E" w:rsidR="008F3387" w:rsidRDefault="002A3DFC" w:rsidP="004C3F8C">
            <w:pPr>
              <w:jc w:val="center"/>
            </w:pPr>
            <w:r>
              <w:t>1.6 (1.2</w:t>
            </w:r>
            <w:r w:rsidR="003F057A">
              <w:t xml:space="preserve">, </w:t>
            </w:r>
            <w:r>
              <w:t>2.1)</w:t>
            </w:r>
          </w:p>
        </w:tc>
      </w:tr>
      <w:tr w:rsidR="008F3387" w14:paraId="2C7E7B91" w14:textId="77777777" w:rsidTr="00D54F37">
        <w:tc>
          <w:tcPr>
            <w:tcW w:w="3690" w:type="dxa"/>
          </w:tcPr>
          <w:p w14:paraId="5EC4918B" w14:textId="5C30F5D2" w:rsidR="008F3387" w:rsidRPr="00BE01F1" w:rsidRDefault="008F3387" w:rsidP="00A67913">
            <w:pPr>
              <w:rPr>
                <w:b/>
                <w:bCs/>
              </w:rPr>
            </w:pPr>
            <w:r w:rsidRPr="00BE01F1">
              <w:rPr>
                <w:b/>
                <w:bCs/>
              </w:rPr>
              <w:t>Income</w:t>
            </w:r>
            <w:r w:rsidR="003A168B" w:rsidRPr="00BE01F1">
              <w:rPr>
                <w:b/>
                <w:bCs/>
              </w:rPr>
              <w:t xml:space="preserve"> </w:t>
            </w:r>
            <w:r w:rsidR="00F37F35" w:rsidRPr="00BE01F1">
              <w:rPr>
                <w:b/>
                <w:bCs/>
              </w:rPr>
              <w:t>(ref: &lt;100%</w:t>
            </w:r>
            <w:r w:rsidR="002E518B">
              <w:rPr>
                <w:b/>
                <w:bCs/>
              </w:rPr>
              <w:t xml:space="preserve"> FPL</w:t>
            </w:r>
            <w:r w:rsidR="00F37F35" w:rsidRPr="00BE01F1">
              <w:rPr>
                <w:b/>
                <w:bCs/>
              </w:rPr>
              <w:t>)</w:t>
            </w:r>
          </w:p>
        </w:tc>
        <w:tc>
          <w:tcPr>
            <w:tcW w:w="1795" w:type="dxa"/>
          </w:tcPr>
          <w:p w14:paraId="36105AF7" w14:textId="77777777" w:rsidR="008F3387" w:rsidRDefault="008F3387" w:rsidP="004C3F8C">
            <w:pPr>
              <w:jc w:val="center"/>
            </w:pPr>
          </w:p>
        </w:tc>
      </w:tr>
      <w:tr w:rsidR="008F3387" w14:paraId="248A4F27" w14:textId="77777777" w:rsidTr="00D54F37">
        <w:tc>
          <w:tcPr>
            <w:tcW w:w="3690" w:type="dxa"/>
          </w:tcPr>
          <w:p w14:paraId="518E7350" w14:textId="1A464D69" w:rsidR="008F3387" w:rsidRDefault="00027F7F" w:rsidP="00A67913">
            <w:r>
              <w:t xml:space="preserve">   </w:t>
            </w:r>
            <w:r w:rsidR="008F3387" w:rsidRPr="008F3387">
              <w:t>100%-199% FPL</w:t>
            </w:r>
            <w:r w:rsidR="008F3387" w:rsidRPr="008F3387">
              <w:tab/>
            </w:r>
          </w:p>
        </w:tc>
        <w:tc>
          <w:tcPr>
            <w:tcW w:w="1795" w:type="dxa"/>
          </w:tcPr>
          <w:p w14:paraId="60EAA35F" w14:textId="296935BC" w:rsidR="008F3387" w:rsidRDefault="001222B8" w:rsidP="004C3F8C">
            <w:pPr>
              <w:jc w:val="center"/>
            </w:pPr>
            <w:r>
              <w:t>1.0 (0.8</w:t>
            </w:r>
            <w:r w:rsidR="003F057A">
              <w:t xml:space="preserve">, </w:t>
            </w:r>
            <w:r>
              <w:t>1.2)</w:t>
            </w:r>
          </w:p>
        </w:tc>
      </w:tr>
      <w:tr w:rsidR="008F3387" w14:paraId="03A73181" w14:textId="77777777" w:rsidTr="00D54F37">
        <w:tc>
          <w:tcPr>
            <w:tcW w:w="3690" w:type="dxa"/>
          </w:tcPr>
          <w:p w14:paraId="3A6862CF" w14:textId="31AB6F7E" w:rsidR="008F3387" w:rsidRDefault="00027F7F" w:rsidP="00A67913">
            <w:r>
              <w:t xml:space="preserve">   </w:t>
            </w:r>
            <w:r w:rsidR="008F3387" w:rsidRPr="008F3387">
              <w:t>200%-299% FPL</w:t>
            </w:r>
            <w:r w:rsidR="008F3387" w:rsidRPr="008F3387">
              <w:tab/>
            </w:r>
          </w:p>
        </w:tc>
        <w:tc>
          <w:tcPr>
            <w:tcW w:w="1795" w:type="dxa"/>
          </w:tcPr>
          <w:p w14:paraId="51A36003" w14:textId="1117C2D2" w:rsidR="008F3387" w:rsidRDefault="00D83564" w:rsidP="004C3F8C">
            <w:pPr>
              <w:jc w:val="center"/>
            </w:pPr>
            <w:r>
              <w:t>1.1 (0.9</w:t>
            </w:r>
            <w:r w:rsidR="003F057A">
              <w:t xml:space="preserve">, </w:t>
            </w:r>
            <w:r>
              <w:t>1.3)</w:t>
            </w:r>
          </w:p>
        </w:tc>
      </w:tr>
      <w:tr w:rsidR="008F3387" w14:paraId="3266D7D4" w14:textId="77777777" w:rsidTr="00AC0AD1">
        <w:tc>
          <w:tcPr>
            <w:tcW w:w="3690" w:type="dxa"/>
          </w:tcPr>
          <w:p w14:paraId="06F797C6" w14:textId="3D636001" w:rsidR="008F3387" w:rsidRDefault="00027F7F" w:rsidP="00A67913">
            <w:r>
              <w:t xml:space="preserve">   </w:t>
            </w:r>
            <w:r w:rsidR="008F3387" w:rsidRPr="008F3387">
              <w:t>300%-399% FPL</w:t>
            </w:r>
            <w:r w:rsidR="008F3387" w:rsidRPr="008F3387">
              <w:tab/>
            </w:r>
          </w:p>
        </w:tc>
        <w:tc>
          <w:tcPr>
            <w:tcW w:w="1795" w:type="dxa"/>
          </w:tcPr>
          <w:p w14:paraId="63864DE3" w14:textId="62F72F31" w:rsidR="008F3387" w:rsidRDefault="00D83564" w:rsidP="004C3F8C">
            <w:pPr>
              <w:jc w:val="center"/>
            </w:pPr>
            <w:r>
              <w:t>1.1 (0.9</w:t>
            </w:r>
            <w:r w:rsidR="003F057A">
              <w:t xml:space="preserve">, </w:t>
            </w:r>
            <w:r>
              <w:t>1.5)</w:t>
            </w:r>
          </w:p>
        </w:tc>
      </w:tr>
      <w:tr w:rsidR="008F3387" w14:paraId="3C4146A2" w14:textId="77777777" w:rsidTr="00AC0AD1">
        <w:tc>
          <w:tcPr>
            <w:tcW w:w="3690" w:type="dxa"/>
            <w:tcBorders>
              <w:bottom w:val="single" w:sz="18" w:space="0" w:color="auto"/>
            </w:tcBorders>
          </w:tcPr>
          <w:p w14:paraId="7CE4289D" w14:textId="42EE10F5" w:rsidR="008F3387" w:rsidRDefault="00027F7F" w:rsidP="00A67913">
            <w:r>
              <w:t xml:space="preserve">   </w:t>
            </w:r>
            <w:r w:rsidR="008F3387" w:rsidRPr="008F3387">
              <w:t>&gt;=400% FPL</w:t>
            </w:r>
          </w:p>
        </w:tc>
        <w:tc>
          <w:tcPr>
            <w:tcW w:w="1795" w:type="dxa"/>
            <w:tcBorders>
              <w:bottom w:val="single" w:sz="18" w:space="0" w:color="auto"/>
            </w:tcBorders>
          </w:tcPr>
          <w:p w14:paraId="57F71083" w14:textId="78F90605" w:rsidR="008F3387" w:rsidRDefault="00D83564" w:rsidP="004C3F8C">
            <w:pPr>
              <w:jc w:val="center"/>
            </w:pPr>
            <w:r>
              <w:t>1.3 (1.0</w:t>
            </w:r>
            <w:r w:rsidR="00AC0AD1">
              <w:t xml:space="preserve">, </w:t>
            </w:r>
            <w:r>
              <w:t>1.6)</w:t>
            </w:r>
          </w:p>
        </w:tc>
      </w:tr>
    </w:tbl>
    <w:p w14:paraId="6604CB5C" w14:textId="4F18E9C3" w:rsidR="008312C4" w:rsidRDefault="008312C4" w:rsidP="00A67913"/>
    <w:p w14:paraId="24FE6341" w14:textId="77777777" w:rsidR="00D773A8" w:rsidRDefault="00CB2387" w:rsidP="00D773A8">
      <w:pPr>
        <w:rPr>
          <w:b/>
          <w:bCs/>
        </w:rPr>
      </w:pPr>
      <w:r w:rsidRPr="00CB2387">
        <w:rPr>
          <w:b/>
          <w:bCs/>
        </w:rPr>
        <w:t>Conclusion</w:t>
      </w:r>
    </w:p>
    <w:p w14:paraId="7F1F41DF" w14:textId="58A13018" w:rsidR="00424C90" w:rsidRPr="004C55B4" w:rsidRDefault="009D5F69" w:rsidP="009D5F69">
      <w:pPr>
        <w:rPr>
          <w:b/>
          <w:bCs/>
        </w:rPr>
      </w:pPr>
      <w:r w:rsidRPr="009D5F69">
        <w:t xml:space="preserve">The findings of this study provide evidence for the association between maternal substance use during pregnancy and the incidence of preterm birth. Mothers who reported substance use had 70% higher odds of preterm birth compared to those who did not. </w:t>
      </w:r>
      <w:r w:rsidR="00F367FC">
        <w:t>Furthermore</w:t>
      </w:r>
      <w:r w:rsidRPr="009D5F69">
        <w:t xml:space="preserve">, the results demonstrated that higher educational level is related to an increased risk of preterm birth, reflecting unmeasured factors such as stress. Racial disparities also existed in preterm birth outcomes: Non-Hispanic Blacks and Non-Hispanic Others had significantly higher odds of preterm delivery as compared to Hispanics. The findings are consistent with existing literature that </w:t>
      </w:r>
      <w:r w:rsidR="00237FA2">
        <w:t>addresses</w:t>
      </w:r>
      <w:r w:rsidRPr="009D5F69">
        <w:t xml:space="preserve"> systemic issues. Interestingly, income level did not influence the preterm birth.</w:t>
      </w:r>
    </w:p>
    <w:sectPr w:rsidR="00424C90" w:rsidRPr="004C55B4" w:rsidSect="00C03AA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46043D"/>
    <w:multiLevelType w:val="multilevel"/>
    <w:tmpl w:val="908E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638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913"/>
    <w:rsid w:val="00006727"/>
    <w:rsid w:val="00007A2C"/>
    <w:rsid w:val="00012E5D"/>
    <w:rsid w:val="00027F7F"/>
    <w:rsid w:val="00033184"/>
    <w:rsid w:val="0004556E"/>
    <w:rsid w:val="00064289"/>
    <w:rsid w:val="00066E8A"/>
    <w:rsid w:val="000679FC"/>
    <w:rsid w:val="00071397"/>
    <w:rsid w:val="000719BB"/>
    <w:rsid w:val="00072D80"/>
    <w:rsid w:val="00094D90"/>
    <w:rsid w:val="000A054A"/>
    <w:rsid w:val="000A190F"/>
    <w:rsid w:val="000A3277"/>
    <w:rsid w:val="000A5AA4"/>
    <w:rsid w:val="000B07F8"/>
    <w:rsid w:val="000D16F6"/>
    <w:rsid w:val="000E0B29"/>
    <w:rsid w:val="000E34DC"/>
    <w:rsid w:val="000F36A4"/>
    <w:rsid w:val="001222B8"/>
    <w:rsid w:val="00125181"/>
    <w:rsid w:val="00140467"/>
    <w:rsid w:val="00141CB9"/>
    <w:rsid w:val="0014207D"/>
    <w:rsid w:val="00173623"/>
    <w:rsid w:val="001741D4"/>
    <w:rsid w:val="001800C2"/>
    <w:rsid w:val="00195032"/>
    <w:rsid w:val="001A30AE"/>
    <w:rsid w:val="001B4F3D"/>
    <w:rsid w:val="001B6C81"/>
    <w:rsid w:val="001D203E"/>
    <w:rsid w:val="002131FB"/>
    <w:rsid w:val="00230F4C"/>
    <w:rsid w:val="0023345D"/>
    <w:rsid w:val="00237FA2"/>
    <w:rsid w:val="00252BCE"/>
    <w:rsid w:val="0026178C"/>
    <w:rsid w:val="002670A8"/>
    <w:rsid w:val="002747D9"/>
    <w:rsid w:val="002766CF"/>
    <w:rsid w:val="00277AA9"/>
    <w:rsid w:val="002A3DFC"/>
    <w:rsid w:val="002B0C8C"/>
    <w:rsid w:val="002B1A37"/>
    <w:rsid w:val="002B7E9E"/>
    <w:rsid w:val="002C4AC6"/>
    <w:rsid w:val="002E518B"/>
    <w:rsid w:val="002F4032"/>
    <w:rsid w:val="00307F2E"/>
    <w:rsid w:val="003505D4"/>
    <w:rsid w:val="00367CC3"/>
    <w:rsid w:val="00373913"/>
    <w:rsid w:val="003A139E"/>
    <w:rsid w:val="003A168B"/>
    <w:rsid w:val="003B2EE9"/>
    <w:rsid w:val="003B4888"/>
    <w:rsid w:val="003B5FAB"/>
    <w:rsid w:val="003B62DA"/>
    <w:rsid w:val="003C3693"/>
    <w:rsid w:val="003E0AF7"/>
    <w:rsid w:val="003F057A"/>
    <w:rsid w:val="003F15D8"/>
    <w:rsid w:val="00401D5A"/>
    <w:rsid w:val="00407068"/>
    <w:rsid w:val="0041062B"/>
    <w:rsid w:val="00415569"/>
    <w:rsid w:val="00423F00"/>
    <w:rsid w:val="00424C90"/>
    <w:rsid w:val="0044330B"/>
    <w:rsid w:val="004447CA"/>
    <w:rsid w:val="00452CFF"/>
    <w:rsid w:val="00457120"/>
    <w:rsid w:val="0046304F"/>
    <w:rsid w:val="00466F9D"/>
    <w:rsid w:val="00472461"/>
    <w:rsid w:val="0047372F"/>
    <w:rsid w:val="004825AE"/>
    <w:rsid w:val="00482ACA"/>
    <w:rsid w:val="00486DD8"/>
    <w:rsid w:val="00492400"/>
    <w:rsid w:val="004A1537"/>
    <w:rsid w:val="004B4152"/>
    <w:rsid w:val="004B68B6"/>
    <w:rsid w:val="004C3F8C"/>
    <w:rsid w:val="004C52DA"/>
    <w:rsid w:val="004C55B4"/>
    <w:rsid w:val="004E0DC8"/>
    <w:rsid w:val="004F72BC"/>
    <w:rsid w:val="005018A0"/>
    <w:rsid w:val="00501CFB"/>
    <w:rsid w:val="00514C21"/>
    <w:rsid w:val="00517BDB"/>
    <w:rsid w:val="00517CF1"/>
    <w:rsid w:val="00520C8C"/>
    <w:rsid w:val="005230EA"/>
    <w:rsid w:val="00525223"/>
    <w:rsid w:val="00534DD2"/>
    <w:rsid w:val="005422CE"/>
    <w:rsid w:val="0054511C"/>
    <w:rsid w:val="00554064"/>
    <w:rsid w:val="00557169"/>
    <w:rsid w:val="00567D92"/>
    <w:rsid w:val="00576FCF"/>
    <w:rsid w:val="005A15E4"/>
    <w:rsid w:val="005A242F"/>
    <w:rsid w:val="005A683A"/>
    <w:rsid w:val="005B264E"/>
    <w:rsid w:val="005B4721"/>
    <w:rsid w:val="005D2D57"/>
    <w:rsid w:val="005E0DCA"/>
    <w:rsid w:val="005E5D2F"/>
    <w:rsid w:val="005F0EE6"/>
    <w:rsid w:val="005F2629"/>
    <w:rsid w:val="006028E9"/>
    <w:rsid w:val="0060523D"/>
    <w:rsid w:val="00613308"/>
    <w:rsid w:val="00626156"/>
    <w:rsid w:val="00630006"/>
    <w:rsid w:val="00640753"/>
    <w:rsid w:val="0066171B"/>
    <w:rsid w:val="00665F47"/>
    <w:rsid w:val="0069148C"/>
    <w:rsid w:val="006B74A6"/>
    <w:rsid w:val="006D77AB"/>
    <w:rsid w:val="00702CD7"/>
    <w:rsid w:val="0071276D"/>
    <w:rsid w:val="00747BC0"/>
    <w:rsid w:val="00763E72"/>
    <w:rsid w:val="00775497"/>
    <w:rsid w:val="007850BC"/>
    <w:rsid w:val="00786377"/>
    <w:rsid w:val="00787DAD"/>
    <w:rsid w:val="007A55A6"/>
    <w:rsid w:val="007B6AE8"/>
    <w:rsid w:val="007B6F54"/>
    <w:rsid w:val="007B71D9"/>
    <w:rsid w:val="007C3D17"/>
    <w:rsid w:val="007E6A7E"/>
    <w:rsid w:val="007F7676"/>
    <w:rsid w:val="008312C4"/>
    <w:rsid w:val="00834229"/>
    <w:rsid w:val="00851D79"/>
    <w:rsid w:val="00852410"/>
    <w:rsid w:val="0085462F"/>
    <w:rsid w:val="00880AD3"/>
    <w:rsid w:val="00894C76"/>
    <w:rsid w:val="008A3473"/>
    <w:rsid w:val="008A6D78"/>
    <w:rsid w:val="008B4CF8"/>
    <w:rsid w:val="008D1698"/>
    <w:rsid w:val="008F3387"/>
    <w:rsid w:val="008F436B"/>
    <w:rsid w:val="00913C5C"/>
    <w:rsid w:val="0094155A"/>
    <w:rsid w:val="009473B0"/>
    <w:rsid w:val="00953398"/>
    <w:rsid w:val="00961313"/>
    <w:rsid w:val="0096506B"/>
    <w:rsid w:val="00984951"/>
    <w:rsid w:val="009871C0"/>
    <w:rsid w:val="009A78E7"/>
    <w:rsid w:val="009B51B6"/>
    <w:rsid w:val="009C7CAC"/>
    <w:rsid w:val="009D5F69"/>
    <w:rsid w:val="009E6E86"/>
    <w:rsid w:val="009F494E"/>
    <w:rsid w:val="00A00ED3"/>
    <w:rsid w:val="00A16DE4"/>
    <w:rsid w:val="00A17ABE"/>
    <w:rsid w:val="00A32549"/>
    <w:rsid w:val="00A46B1F"/>
    <w:rsid w:val="00A649E7"/>
    <w:rsid w:val="00A669D6"/>
    <w:rsid w:val="00A67913"/>
    <w:rsid w:val="00A724C1"/>
    <w:rsid w:val="00A7581B"/>
    <w:rsid w:val="00A765FE"/>
    <w:rsid w:val="00AB48E2"/>
    <w:rsid w:val="00AB65B6"/>
    <w:rsid w:val="00AC0AD1"/>
    <w:rsid w:val="00AC351D"/>
    <w:rsid w:val="00AC49EF"/>
    <w:rsid w:val="00AD2462"/>
    <w:rsid w:val="00AD4ECE"/>
    <w:rsid w:val="00AE3964"/>
    <w:rsid w:val="00AE47C4"/>
    <w:rsid w:val="00AF0286"/>
    <w:rsid w:val="00AF11A2"/>
    <w:rsid w:val="00AF39A5"/>
    <w:rsid w:val="00B0116B"/>
    <w:rsid w:val="00B20AFB"/>
    <w:rsid w:val="00B33F68"/>
    <w:rsid w:val="00B37882"/>
    <w:rsid w:val="00B524EF"/>
    <w:rsid w:val="00B533E6"/>
    <w:rsid w:val="00B56678"/>
    <w:rsid w:val="00B83100"/>
    <w:rsid w:val="00BB1BA4"/>
    <w:rsid w:val="00BC38B8"/>
    <w:rsid w:val="00BE01F1"/>
    <w:rsid w:val="00BE32D1"/>
    <w:rsid w:val="00BF769E"/>
    <w:rsid w:val="00C00CAF"/>
    <w:rsid w:val="00C02CA4"/>
    <w:rsid w:val="00C03AAC"/>
    <w:rsid w:val="00C1562B"/>
    <w:rsid w:val="00C217E8"/>
    <w:rsid w:val="00C27D04"/>
    <w:rsid w:val="00C35926"/>
    <w:rsid w:val="00C55863"/>
    <w:rsid w:val="00C72E4C"/>
    <w:rsid w:val="00C92EEC"/>
    <w:rsid w:val="00C93046"/>
    <w:rsid w:val="00CB2387"/>
    <w:rsid w:val="00CC1F2E"/>
    <w:rsid w:val="00CD0B71"/>
    <w:rsid w:val="00CD26E1"/>
    <w:rsid w:val="00CD3B46"/>
    <w:rsid w:val="00D1435B"/>
    <w:rsid w:val="00D22C5D"/>
    <w:rsid w:val="00D33925"/>
    <w:rsid w:val="00D36DEA"/>
    <w:rsid w:val="00D443C4"/>
    <w:rsid w:val="00D452D2"/>
    <w:rsid w:val="00D46FD0"/>
    <w:rsid w:val="00D54F37"/>
    <w:rsid w:val="00D56A31"/>
    <w:rsid w:val="00D635EF"/>
    <w:rsid w:val="00D773A8"/>
    <w:rsid w:val="00D82C90"/>
    <w:rsid w:val="00D83564"/>
    <w:rsid w:val="00D924FB"/>
    <w:rsid w:val="00D96BC1"/>
    <w:rsid w:val="00DC2DE4"/>
    <w:rsid w:val="00DC2E29"/>
    <w:rsid w:val="00DD5A02"/>
    <w:rsid w:val="00DD6E8A"/>
    <w:rsid w:val="00DE1841"/>
    <w:rsid w:val="00DF1DDF"/>
    <w:rsid w:val="00E07539"/>
    <w:rsid w:val="00E137C5"/>
    <w:rsid w:val="00E17117"/>
    <w:rsid w:val="00E23D6C"/>
    <w:rsid w:val="00E249CF"/>
    <w:rsid w:val="00E430F6"/>
    <w:rsid w:val="00E462E0"/>
    <w:rsid w:val="00E4694F"/>
    <w:rsid w:val="00E47760"/>
    <w:rsid w:val="00E63325"/>
    <w:rsid w:val="00E81F54"/>
    <w:rsid w:val="00E93D2E"/>
    <w:rsid w:val="00EA0ED9"/>
    <w:rsid w:val="00EA1BEA"/>
    <w:rsid w:val="00EB3DE2"/>
    <w:rsid w:val="00EC067D"/>
    <w:rsid w:val="00EC0D29"/>
    <w:rsid w:val="00ED3A0D"/>
    <w:rsid w:val="00ED6AED"/>
    <w:rsid w:val="00F02180"/>
    <w:rsid w:val="00F10DE1"/>
    <w:rsid w:val="00F217F0"/>
    <w:rsid w:val="00F22475"/>
    <w:rsid w:val="00F276B3"/>
    <w:rsid w:val="00F3594C"/>
    <w:rsid w:val="00F36182"/>
    <w:rsid w:val="00F367FC"/>
    <w:rsid w:val="00F37F35"/>
    <w:rsid w:val="00F4182A"/>
    <w:rsid w:val="00F429A2"/>
    <w:rsid w:val="00F46DC4"/>
    <w:rsid w:val="00F54EA0"/>
    <w:rsid w:val="00F578E6"/>
    <w:rsid w:val="00F60E7D"/>
    <w:rsid w:val="00F7121C"/>
    <w:rsid w:val="00F71E2B"/>
    <w:rsid w:val="00F975E6"/>
    <w:rsid w:val="00FA5EE0"/>
    <w:rsid w:val="00FB2784"/>
    <w:rsid w:val="00FB671E"/>
    <w:rsid w:val="00FC29A6"/>
    <w:rsid w:val="00FC42F9"/>
    <w:rsid w:val="00FC6596"/>
    <w:rsid w:val="00FD084E"/>
    <w:rsid w:val="00FD5B88"/>
    <w:rsid w:val="00FE4757"/>
    <w:rsid w:val="00FF6D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A448C"/>
  <w15:chartTrackingRefBased/>
  <w15:docId w15:val="{67201BE5-AF5F-D84D-A3A6-235BEFBC7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C9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6791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6791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67913"/>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67913"/>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A67913"/>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A67913"/>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A67913"/>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A67913"/>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A67913"/>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9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9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79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9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9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9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9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9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913"/>
    <w:rPr>
      <w:rFonts w:eastAsiaTheme="majorEastAsia" w:cstheme="majorBidi"/>
      <w:color w:val="272727" w:themeColor="text1" w:themeTint="D8"/>
    </w:rPr>
  </w:style>
  <w:style w:type="paragraph" w:styleId="Title">
    <w:name w:val="Title"/>
    <w:basedOn w:val="Normal"/>
    <w:next w:val="Normal"/>
    <w:link w:val="TitleChar"/>
    <w:uiPriority w:val="10"/>
    <w:qFormat/>
    <w:rsid w:val="00A6791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67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913"/>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679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913"/>
    <w:pPr>
      <w:spacing w:before="160" w:after="160" w:line="278" w:lineRule="auto"/>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A67913"/>
    <w:rPr>
      <w:i/>
      <w:iCs/>
      <w:color w:val="404040" w:themeColor="text1" w:themeTint="BF"/>
    </w:rPr>
  </w:style>
  <w:style w:type="paragraph" w:styleId="ListParagraph">
    <w:name w:val="List Paragraph"/>
    <w:basedOn w:val="Normal"/>
    <w:uiPriority w:val="34"/>
    <w:qFormat/>
    <w:rsid w:val="00A67913"/>
    <w:pPr>
      <w:spacing w:after="160" w:line="278" w:lineRule="auto"/>
      <w:ind w:left="720"/>
      <w:contextualSpacing/>
    </w:pPr>
    <w:rPr>
      <w:rFonts w:asciiTheme="minorHAnsi" w:eastAsiaTheme="minorEastAsia" w:hAnsiTheme="minorHAnsi" w:cstheme="minorBidi"/>
      <w:kern w:val="2"/>
      <w14:ligatures w14:val="standardContextual"/>
    </w:rPr>
  </w:style>
  <w:style w:type="character" w:styleId="IntenseEmphasis">
    <w:name w:val="Intense Emphasis"/>
    <w:basedOn w:val="DefaultParagraphFont"/>
    <w:uiPriority w:val="21"/>
    <w:qFormat/>
    <w:rsid w:val="00A67913"/>
    <w:rPr>
      <w:i/>
      <w:iCs/>
      <w:color w:val="0F4761" w:themeColor="accent1" w:themeShade="BF"/>
    </w:rPr>
  </w:style>
  <w:style w:type="paragraph" w:styleId="IntenseQuote">
    <w:name w:val="Intense Quote"/>
    <w:basedOn w:val="Normal"/>
    <w:next w:val="Normal"/>
    <w:link w:val="IntenseQuoteChar"/>
    <w:uiPriority w:val="30"/>
    <w:qFormat/>
    <w:rsid w:val="00A6791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A67913"/>
    <w:rPr>
      <w:i/>
      <w:iCs/>
      <w:color w:val="0F4761" w:themeColor="accent1" w:themeShade="BF"/>
    </w:rPr>
  </w:style>
  <w:style w:type="character" w:styleId="IntenseReference">
    <w:name w:val="Intense Reference"/>
    <w:basedOn w:val="DefaultParagraphFont"/>
    <w:uiPriority w:val="32"/>
    <w:qFormat/>
    <w:rsid w:val="00A67913"/>
    <w:rPr>
      <w:b/>
      <w:bCs/>
      <w:smallCaps/>
      <w:color w:val="0F4761" w:themeColor="accent1" w:themeShade="BF"/>
      <w:spacing w:val="5"/>
    </w:rPr>
  </w:style>
  <w:style w:type="table" w:styleId="TableGrid">
    <w:name w:val="Table Grid"/>
    <w:basedOn w:val="TableNormal"/>
    <w:uiPriority w:val="39"/>
    <w:rsid w:val="003F1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24C90"/>
    <w:pPr>
      <w:spacing w:before="100" w:beforeAutospacing="1" w:after="100" w:afterAutospacing="1"/>
    </w:pPr>
  </w:style>
  <w:style w:type="character" w:customStyle="1" w:styleId="overflow-hidden">
    <w:name w:val="overflow-hidden"/>
    <w:basedOn w:val="DefaultParagraphFont"/>
    <w:rsid w:val="00424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769348">
      <w:bodyDiv w:val="1"/>
      <w:marLeft w:val="0"/>
      <w:marRight w:val="0"/>
      <w:marTop w:val="0"/>
      <w:marBottom w:val="0"/>
      <w:divBdr>
        <w:top w:val="none" w:sz="0" w:space="0" w:color="auto"/>
        <w:left w:val="none" w:sz="0" w:space="0" w:color="auto"/>
        <w:bottom w:val="none" w:sz="0" w:space="0" w:color="auto"/>
        <w:right w:val="none" w:sz="0" w:space="0" w:color="auto"/>
      </w:divBdr>
    </w:div>
    <w:div w:id="106506321">
      <w:bodyDiv w:val="1"/>
      <w:marLeft w:val="0"/>
      <w:marRight w:val="0"/>
      <w:marTop w:val="0"/>
      <w:marBottom w:val="0"/>
      <w:divBdr>
        <w:top w:val="none" w:sz="0" w:space="0" w:color="auto"/>
        <w:left w:val="none" w:sz="0" w:space="0" w:color="auto"/>
        <w:bottom w:val="none" w:sz="0" w:space="0" w:color="auto"/>
        <w:right w:val="none" w:sz="0" w:space="0" w:color="auto"/>
      </w:divBdr>
    </w:div>
    <w:div w:id="109666209">
      <w:bodyDiv w:val="1"/>
      <w:marLeft w:val="0"/>
      <w:marRight w:val="0"/>
      <w:marTop w:val="0"/>
      <w:marBottom w:val="0"/>
      <w:divBdr>
        <w:top w:val="none" w:sz="0" w:space="0" w:color="auto"/>
        <w:left w:val="none" w:sz="0" w:space="0" w:color="auto"/>
        <w:bottom w:val="none" w:sz="0" w:space="0" w:color="auto"/>
        <w:right w:val="none" w:sz="0" w:space="0" w:color="auto"/>
      </w:divBdr>
    </w:div>
    <w:div w:id="146867539">
      <w:bodyDiv w:val="1"/>
      <w:marLeft w:val="0"/>
      <w:marRight w:val="0"/>
      <w:marTop w:val="0"/>
      <w:marBottom w:val="0"/>
      <w:divBdr>
        <w:top w:val="none" w:sz="0" w:space="0" w:color="auto"/>
        <w:left w:val="none" w:sz="0" w:space="0" w:color="auto"/>
        <w:bottom w:val="none" w:sz="0" w:space="0" w:color="auto"/>
        <w:right w:val="none" w:sz="0" w:space="0" w:color="auto"/>
      </w:divBdr>
    </w:div>
    <w:div w:id="263609146">
      <w:bodyDiv w:val="1"/>
      <w:marLeft w:val="0"/>
      <w:marRight w:val="0"/>
      <w:marTop w:val="0"/>
      <w:marBottom w:val="0"/>
      <w:divBdr>
        <w:top w:val="none" w:sz="0" w:space="0" w:color="auto"/>
        <w:left w:val="none" w:sz="0" w:space="0" w:color="auto"/>
        <w:bottom w:val="none" w:sz="0" w:space="0" w:color="auto"/>
        <w:right w:val="none" w:sz="0" w:space="0" w:color="auto"/>
      </w:divBdr>
      <w:divsChild>
        <w:div w:id="1337264979">
          <w:marLeft w:val="0"/>
          <w:marRight w:val="0"/>
          <w:marTop w:val="0"/>
          <w:marBottom w:val="0"/>
          <w:divBdr>
            <w:top w:val="none" w:sz="0" w:space="0" w:color="auto"/>
            <w:left w:val="none" w:sz="0" w:space="0" w:color="auto"/>
            <w:bottom w:val="none" w:sz="0" w:space="0" w:color="auto"/>
            <w:right w:val="none" w:sz="0" w:space="0" w:color="auto"/>
          </w:divBdr>
          <w:divsChild>
            <w:div w:id="986513713">
              <w:marLeft w:val="0"/>
              <w:marRight w:val="0"/>
              <w:marTop w:val="0"/>
              <w:marBottom w:val="0"/>
              <w:divBdr>
                <w:top w:val="none" w:sz="0" w:space="0" w:color="auto"/>
                <w:left w:val="none" w:sz="0" w:space="0" w:color="auto"/>
                <w:bottom w:val="none" w:sz="0" w:space="0" w:color="auto"/>
                <w:right w:val="none" w:sz="0" w:space="0" w:color="auto"/>
              </w:divBdr>
              <w:divsChild>
                <w:div w:id="186985246">
                  <w:marLeft w:val="0"/>
                  <w:marRight w:val="0"/>
                  <w:marTop w:val="0"/>
                  <w:marBottom w:val="0"/>
                  <w:divBdr>
                    <w:top w:val="none" w:sz="0" w:space="0" w:color="auto"/>
                    <w:left w:val="none" w:sz="0" w:space="0" w:color="auto"/>
                    <w:bottom w:val="none" w:sz="0" w:space="0" w:color="auto"/>
                    <w:right w:val="none" w:sz="0" w:space="0" w:color="auto"/>
                  </w:divBdr>
                  <w:divsChild>
                    <w:div w:id="4041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466547">
          <w:marLeft w:val="0"/>
          <w:marRight w:val="0"/>
          <w:marTop w:val="0"/>
          <w:marBottom w:val="0"/>
          <w:divBdr>
            <w:top w:val="none" w:sz="0" w:space="0" w:color="auto"/>
            <w:left w:val="none" w:sz="0" w:space="0" w:color="auto"/>
            <w:bottom w:val="none" w:sz="0" w:space="0" w:color="auto"/>
            <w:right w:val="none" w:sz="0" w:space="0" w:color="auto"/>
          </w:divBdr>
          <w:divsChild>
            <w:div w:id="298730360">
              <w:marLeft w:val="0"/>
              <w:marRight w:val="0"/>
              <w:marTop w:val="0"/>
              <w:marBottom w:val="0"/>
              <w:divBdr>
                <w:top w:val="none" w:sz="0" w:space="0" w:color="auto"/>
                <w:left w:val="none" w:sz="0" w:space="0" w:color="auto"/>
                <w:bottom w:val="none" w:sz="0" w:space="0" w:color="auto"/>
                <w:right w:val="none" w:sz="0" w:space="0" w:color="auto"/>
              </w:divBdr>
              <w:divsChild>
                <w:div w:id="1504324131">
                  <w:marLeft w:val="0"/>
                  <w:marRight w:val="0"/>
                  <w:marTop w:val="0"/>
                  <w:marBottom w:val="0"/>
                  <w:divBdr>
                    <w:top w:val="none" w:sz="0" w:space="0" w:color="auto"/>
                    <w:left w:val="none" w:sz="0" w:space="0" w:color="auto"/>
                    <w:bottom w:val="none" w:sz="0" w:space="0" w:color="auto"/>
                    <w:right w:val="none" w:sz="0" w:space="0" w:color="auto"/>
                  </w:divBdr>
                  <w:divsChild>
                    <w:div w:id="20911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314582">
      <w:bodyDiv w:val="1"/>
      <w:marLeft w:val="0"/>
      <w:marRight w:val="0"/>
      <w:marTop w:val="0"/>
      <w:marBottom w:val="0"/>
      <w:divBdr>
        <w:top w:val="none" w:sz="0" w:space="0" w:color="auto"/>
        <w:left w:val="none" w:sz="0" w:space="0" w:color="auto"/>
        <w:bottom w:val="none" w:sz="0" w:space="0" w:color="auto"/>
        <w:right w:val="none" w:sz="0" w:space="0" w:color="auto"/>
      </w:divBdr>
    </w:div>
    <w:div w:id="307515808">
      <w:bodyDiv w:val="1"/>
      <w:marLeft w:val="0"/>
      <w:marRight w:val="0"/>
      <w:marTop w:val="0"/>
      <w:marBottom w:val="0"/>
      <w:divBdr>
        <w:top w:val="none" w:sz="0" w:space="0" w:color="auto"/>
        <w:left w:val="none" w:sz="0" w:space="0" w:color="auto"/>
        <w:bottom w:val="none" w:sz="0" w:space="0" w:color="auto"/>
        <w:right w:val="none" w:sz="0" w:space="0" w:color="auto"/>
      </w:divBdr>
    </w:div>
    <w:div w:id="369694639">
      <w:bodyDiv w:val="1"/>
      <w:marLeft w:val="0"/>
      <w:marRight w:val="0"/>
      <w:marTop w:val="0"/>
      <w:marBottom w:val="0"/>
      <w:divBdr>
        <w:top w:val="none" w:sz="0" w:space="0" w:color="auto"/>
        <w:left w:val="none" w:sz="0" w:space="0" w:color="auto"/>
        <w:bottom w:val="none" w:sz="0" w:space="0" w:color="auto"/>
        <w:right w:val="none" w:sz="0" w:space="0" w:color="auto"/>
      </w:divBdr>
    </w:div>
    <w:div w:id="574053960">
      <w:bodyDiv w:val="1"/>
      <w:marLeft w:val="0"/>
      <w:marRight w:val="0"/>
      <w:marTop w:val="0"/>
      <w:marBottom w:val="0"/>
      <w:divBdr>
        <w:top w:val="none" w:sz="0" w:space="0" w:color="auto"/>
        <w:left w:val="none" w:sz="0" w:space="0" w:color="auto"/>
        <w:bottom w:val="none" w:sz="0" w:space="0" w:color="auto"/>
        <w:right w:val="none" w:sz="0" w:space="0" w:color="auto"/>
      </w:divBdr>
    </w:div>
    <w:div w:id="581065932">
      <w:bodyDiv w:val="1"/>
      <w:marLeft w:val="0"/>
      <w:marRight w:val="0"/>
      <w:marTop w:val="0"/>
      <w:marBottom w:val="0"/>
      <w:divBdr>
        <w:top w:val="none" w:sz="0" w:space="0" w:color="auto"/>
        <w:left w:val="none" w:sz="0" w:space="0" w:color="auto"/>
        <w:bottom w:val="none" w:sz="0" w:space="0" w:color="auto"/>
        <w:right w:val="none" w:sz="0" w:space="0" w:color="auto"/>
      </w:divBdr>
    </w:div>
    <w:div w:id="659580060">
      <w:bodyDiv w:val="1"/>
      <w:marLeft w:val="0"/>
      <w:marRight w:val="0"/>
      <w:marTop w:val="0"/>
      <w:marBottom w:val="0"/>
      <w:divBdr>
        <w:top w:val="none" w:sz="0" w:space="0" w:color="auto"/>
        <w:left w:val="none" w:sz="0" w:space="0" w:color="auto"/>
        <w:bottom w:val="none" w:sz="0" w:space="0" w:color="auto"/>
        <w:right w:val="none" w:sz="0" w:space="0" w:color="auto"/>
      </w:divBdr>
    </w:div>
    <w:div w:id="741875388">
      <w:bodyDiv w:val="1"/>
      <w:marLeft w:val="0"/>
      <w:marRight w:val="0"/>
      <w:marTop w:val="0"/>
      <w:marBottom w:val="0"/>
      <w:divBdr>
        <w:top w:val="none" w:sz="0" w:space="0" w:color="auto"/>
        <w:left w:val="none" w:sz="0" w:space="0" w:color="auto"/>
        <w:bottom w:val="none" w:sz="0" w:space="0" w:color="auto"/>
        <w:right w:val="none" w:sz="0" w:space="0" w:color="auto"/>
      </w:divBdr>
    </w:div>
    <w:div w:id="1013727812">
      <w:bodyDiv w:val="1"/>
      <w:marLeft w:val="0"/>
      <w:marRight w:val="0"/>
      <w:marTop w:val="0"/>
      <w:marBottom w:val="0"/>
      <w:divBdr>
        <w:top w:val="none" w:sz="0" w:space="0" w:color="auto"/>
        <w:left w:val="none" w:sz="0" w:space="0" w:color="auto"/>
        <w:bottom w:val="none" w:sz="0" w:space="0" w:color="auto"/>
        <w:right w:val="none" w:sz="0" w:space="0" w:color="auto"/>
      </w:divBdr>
    </w:div>
    <w:div w:id="1101294735">
      <w:bodyDiv w:val="1"/>
      <w:marLeft w:val="0"/>
      <w:marRight w:val="0"/>
      <w:marTop w:val="0"/>
      <w:marBottom w:val="0"/>
      <w:divBdr>
        <w:top w:val="none" w:sz="0" w:space="0" w:color="auto"/>
        <w:left w:val="none" w:sz="0" w:space="0" w:color="auto"/>
        <w:bottom w:val="none" w:sz="0" w:space="0" w:color="auto"/>
        <w:right w:val="none" w:sz="0" w:space="0" w:color="auto"/>
      </w:divBdr>
    </w:div>
    <w:div w:id="1169444413">
      <w:bodyDiv w:val="1"/>
      <w:marLeft w:val="0"/>
      <w:marRight w:val="0"/>
      <w:marTop w:val="0"/>
      <w:marBottom w:val="0"/>
      <w:divBdr>
        <w:top w:val="none" w:sz="0" w:space="0" w:color="auto"/>
        <w:left w:val="none" w:sz="0" w:space="0" w:color="auto"/>
        <w:bottom w:val="none" w:sz="0" w:space="0" w:color="auto"/>
        <w:right w:val="none" w:sz="0" w:space="0" w:color="auto"/>
      </w:divBdr>
    </w:div>
    <w:div w:id="1222713218">
      <w:bodyDiv w:val="1"/>
      <w:marLeft w:val="0"/>
      <w:marRight w:val="0"/>
      <w:marTop w:val="0"/>
      <w:marBottom w:val="0"/>
      <w:divBdr>
        <w:top w:val="none" w:sz="0" w:space="0" w:color="auto"/>
        <w:left w:val="none" w:sz="0" w:space="0" w:color="auto"/>
        <w:bottom w:val="none" w:sz="0" w:space="0" w:color="auto"/>
        <w:right w:val="none" w:sz="0" w:space="0" w:color="auto"/>
      </w:divBdr>
    </w:div>
    <w:div w:id="181752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9F517-92DC-9C42-81F4-0BC7ADCBB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 Yoonseo</dc:creator>
  <cp:keywords/>
  <dc:description/>
  <cp:lastModifiedBy>Mok, Yoonseo</cp:lastModifiedBy>
  <cp:revision>408</cp:revision>
  <dcterms:created xsi:type="dcterms:W3CDTF">2024-12-02T20:10:00Z</dcterms:created>
  <dcterms:modified xsi:type="dcterms:W3CDTF">2024-12-03T02:45:00Z</dcterms:modified>
</cp:coreProperties>
</file>