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61309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1. Chlorhexidine</w:t>
      </w:r>
    </w:p>
    <w:p w14:paraId="6D95322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Antiseptic for skin disinfection before surgery and to sterilize surgical instruments. It is also used in mouthwashes to treat gingivitis. Mechanism of Action: Disrupts bacterial cell membranes and precipitates cell contents. Resistance: Rare, but overuse can lead to reduced effectiveness.</w:t>
      </w:r>
    </w:p>
    <w:p w14:paraId="0FB22C55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2. Ciprofloxacin Hydrochloride</w:t>
      </w:r>
    </w:p>
    <w:p w14:paraId="415B7FD6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Broad-spectrum antibiotic used to treat respiratory, urinary tract, gastrointestinal, and skin infections. Mechanism of Action: Inhibits bacterial DNA gyrase and topoisomerase IV, preventing DNA replication. Resistance: Increasing due to widespread use, especially in treating UTIs.</w:t>
      </w:r>
    </w:p>
    <w:p w14:paraId="6E440F1A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3. Cefepime</w:t>
      </w:r>
    </w:p>
    <w:p w14:paraId="44045AE5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Broad-spectrum cephalosporin used for severe bacterial infections, including pneumonia, UTIs, and skin infections. Mechanism of Action: Inhibits bacterial cell wall synthesis by binding to penicillin-binding proteins (PBPs). Resistance: Emerging resistance, particularly in Gram-negative bacteria.</w:t>
      </w:r>
    </w:p>
    <w:p w14:paraId="761FE62B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4. Enrofloxacin</w:t>
      </w:r>
    </w:p>
    <w:p w14:paraId="40CDFDCD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Usage: Primarily used in veterinary medicine to treat bacterial infections in animals. Mechanism of Action: Inhibits bacterial DNA gyrase and topoisomerase IV, </w:t>
      </w:r>
      <w:proofErr w:type="gramStart"/>
      <w:r w:rsidRPr="54A97E00">
        <w:rPr>
          <w:color w:val="000000" w:themeColor="text1"/>
          <w:sz w:val="24"/>
          <w:szCs w:val="24"/>
          <w:lang w:val="en-US"/>
        </w:rPr>
        <w:t>similar to</w:t>
      </w:r>
      <w:proofErr w:type="gramEnd"/>
      <w:r w:rsidRPr="54A97E00">
        <w:rPr>
          <w:color w:val="000000" w:themeColor="text1"/>
          <w:sz w:val="24"/>
          <w:szCs w:val="24"/>
          <w:lang w:val="en-US"/>
        </w:rPr>
        <w:t xml:space="preserve"> ciprofloxacin. Resistance: </w:t>
      </w:r>
      <w:proofErr w:type="gramStart"/>
      <w:r w:rsidRPr="54A97E00">
        <w:rPr>
          <w:color w:val="000000" w:themeColor="text1"/>
          <w:sz w:val="24"/>
          <w:szCs w:val="24"/>
          <w:lang w:val="en-US"/>
        </w:rPr>
        <w:t>Similar to</w:t>
      </w:r>
      <w:proofErr w:type="gramEnd"/>
      <w:r w:rsidRPr="54A97E00">
        <w:rPr>
          <w:color w:val="000000" w:themeColor="text1"/>
          <w:sz w:val="24"/>
          <w:szCs w:val="24"/>
          <w:lang w:val="en-US"/>
        </w:rPr>
        <w:t xml:space="preserve"> other fluoroquinolones, resistance can develop with misuse.</w:t>
      </w:r>
    </w:p>
    <w:p w14:paraId="398E76D1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5. Piperacillin</w:t>
      </w:r>
    </w:p>
    <w:p w14:paraId="2971057F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>Usage: Antibiotic used for severe infections, including intra-abdominal and skin infections, and pneumonia. Mechanism of Action: Piperacillin inhibits bacterial cell wall synthesis; commonly paired with tazobactam, which inhibits beta-lactamases, extending piperacillin's spectrum. Resistance: Resistance observed in some Pseudomonas aeruginosa and Enterobacteriaceae strains.</w:t>
      </w:r>
    </w:p>
    <w:p w14:paraId="6FEC9D3E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6. </w:t>
      </w:r>
      <w:proofErr w:type="spellStart"/>
      <w:r w:rsidRPr="54A97E00">
        <w:rPr>
          <w:color w:val="000000" w:themeColor="text1"/>
          <w:sz w:val="24"/>
          <w:szCs w:val="24"/>
          <w:lang w:val="en-US"/>
        </w:rPr>
        <w:t>Difloxacin</w:t>
      </w:r>
      <w:proofErr w:type="spellEnd"/>
    </w:p>
    <w:p w14:paraId="635957FF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Fluoroquinolone used in veterinary medicine for bacterial infections. Mechanism of Action: Inhibits bacterial DNA gyrase and topoisomerase IV. Resistance: Similar concerns as other fluoroquinolones with potential resistance development.</w:t>
      </w:r>
    </w:p>
    <w:p w14:paraId="7591B0DE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7. Grepafloxacin</w:t>
      </w:r>
    </w:p>
    <w:p w14:paraId="713B2FAE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Previously used for respiratory and urinary tract infections; withdrawn due to safety concerns. Mechanism of Action: Inhibits bacterial DNA gyrase and topoisomerase IV. Resistance: Not applicable due to withdrawal.</w:t>
      </w:r>
    </w:p>
    <w:p w14:paraId="06A109CB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8. Pazufloxacin (mesylate)</w:t>
      </w:r>
    </w:p>
    <w:p w14:paraId="6B0173A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Broad-spectrum antibiotic used for bacterial infections, often in hospitalized patients. Mechanism of Action: Inhibits bacterial DNA gyrase and topoisomerase IV. Resistance: Emerging resistance patterns, particularly in hospital settings.</w:t>
      </w:r>
    </w:p>
    <w:p w14:paraId="31BED5BD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9. Tobramycin</w:t>
      </w:r>
    </w:p>
    <w:p w14:paraId="011A881C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lastRenderedPageBreak/>
        <w:t>Usage: Aminoglycoside used to treat severe bacterial infections, especially in cystic fibrosis patients. Mechanism of Action: Binds to the 30S ribosomal subunit, causing misreading of mRNA and inhibiting protein synthesis. Resistance: Can develop with prolonged use; often combined with other antibiotics to prevent resistance.</w:t>
      </w:r>
    </w:p>
    <w:p w14:paraId="71E4427B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10. Meropenem</w:t>
      </w:r>
    </w:p>
    <w:p w14:paraId="5CD75E3F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Broad-spectrum carbapenem used for severe and resistant bacterial infections. Mechanism of Action: Inhibits bacterial cell wall synthesis by binding to PBPs. Resistance: Carbapenem-resistant Enterobacteriaceae (CRE) are a significant concern.</w:t>
      </w:r>
    </w:p>
    <w:p w14:paraId="4D477BF7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11. Ceftazidime</w:t>
      </w:r>
    </w:p>
    <w:p w14:paraId="4A6B8DD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Third-generation cephalosporin used for severe infections, including Pseudomonas aeruginosa infections. Mechanism of Action: Inhibits bacterial cell wall synthesis by binding to PBPs. Resistance: Resistance in Gram-negative bacteria, particularly Pseudomonas and Enterobacteriaceae.</w:t>
      </w:r>
    </w:p>
    <w:p w14:paraId="1B2D6C84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12. Aztreonam</w:t>
      </w:r>
    </w:p>
    <w:p w14:paraId="38A8BDA6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Usage: Monobactam antibiotic used for Gram-negative bacterial infections, especially in patients allergic to </w:t>
      </w:r>
      <w:proofErr w:type="spellStart"/>
      <w:r w:rsidRPr="54A97E00">
        <w:rPr>
          <w:color w:val="000000" w:themeColor="text1"/>
          <w:sz w:val="24"/>
          <w:szCs w:val="24"/>
          <w:lang w:val="en-US"/>
        </w:rPr>
        <w:t>penicillins</w:t>
      </w:r>
      <w:proofErr w:type="spellEnd"/>
      <w:r w:rsidRPr="54A97E00">
        <w:rPr>
          <w:color w:val="000000" w:themeColor="text1"/>
          <w:sz w:val="24"/>
          <w:szCs w:val="24"/>
          <w:lang w:val="en-US"/>
        </w:rPr>
        <w:t>. Mechanism of Action: Inhibits bacterial cell wall synthesis by binding to PBPs. Resistance: Can occur, particularly in hospital-acquired infections.</w:t>
      </w:r>
    </w:p>
    <w:p w14:paraId="3C805DE6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13. Garenoxacin</w:t>
      </w:r>
    </w:p>
    <w:p w14:paraId="239F1D2B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Usage: Broad-spectrum quinolone used for respiratory and skin infections. Mechanism of Action: Inhibits bacterial DNA gyrase and topoisomerase IV. Resistance: Potential for resistance </w:t>
      </w:r>
      <w:proofErr w:type="gramStart"/>
      <w:r w:rsidRPr="54A97E00">
        <w:rPr>
          <w:color w:val="000000" w:themeColor="text1"/>
          <w:sz w:val="24"/>
          <w:szCs w:val="24"/>
          <w:lang w:val="en-US"/>
        </w:rPr>
        <w:t>similar to</w:t>
      </w:r>
      <w:proofErr w:type="gramEnd"/>
      <w:r w:rsidRPr="54A97E00">
        <w:rPr>
          <w:color w:val="000000" w:themeColor="text1"/>
          <w:sz w:val="24"/>
          <w:szCs w:val="24"/>
          <w:lang w:val="en-US"/>
        </w:rPr>
        <w:t xml:space="preserve"> other quinolones.</w:t>
      </w:r>
    </w:p>
    <w:p w14:paraId="2A2EC194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14. Clinafloxacin</w:t>
      </w:r>
    </w:p>
    <w:p w14:paraId="5EC52521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Previously used for serious infections; withdrawn from the market. Mechanism of Action: Inhibits bacterial DNA gyrase and topoisomerase IV. Resistance: Not applicable due to withdrawal.</w:t>
      </w:r>
    </w:p>
    <w:p w14:paraId="4C2E3F13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15. Trovafloxacin</w:t>
      </w:r>
    </w:p>
    <w:p w14:paraId="25369ECF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Used for severe bacterial infections; withdrawn due to safety concerns. Mechanism of Action: Inhibits bacterial DNA gyrase and topoisomerase IV. Resistance: Not applicable due to withdrawal.</w:t>
      </w:r>
    </w:p>
    <w:p w14:paraId="3B773C0C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16. Delafloxacin (meglumine)</w:t>
      </w:r>
    </w:p>
    <w:p w14:paraId="684771D2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Fluoroquinolone used for acute bacterial skin and skin structure infections. Mechanism of Action: Inhibits bacterial DNA gyrase and topoisomerase IV. Resistance: Lower potential for resistance compared to older fluoroquinolones, but vigilance is necessary.</w:t>
      </w:r>
    </w:p>
    <w:p w14:paraId="17E680D9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17. Avibactam Sodium</w:t>
      </w:r>
    </w:p>
    <w:p w14:paraId="00E9CC7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Beta-lactamase inhibitor used in combination with cephalosporins to treat resistant infections. Mechanism of Action: Inhibits beta-lactamase enzymes, preventing the degradation of beta-lactam antibiotics. Resistance: Resistance can develop, particularly with extended-spectrum beta-lactamases (ESBLs).</w:t>
      </w:r>
    </w:p>
    <w:p w14:paraId="2455BD96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18. Gemifloxacin</w:t>
      </w:r>
    </w:p>
    <w:p w14:paraId="0856DA7F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lastRenderedPageBreak/>
        <w:t xml:space="preserve">Usage: Fluoroquinolone used for respiratory tract infections. Mechanism of Action: Inhibits bacterial DNA gyrase and topoisomerase IV. Resistance: </w:t>
      </w:r>
      <w:proofErr w:type="gramStart"/>
      <w:r w:rsidRPr="54A97E00">
        <w:rPr>
          <w:color w:val="000000" w:themeColor="text1"/>
          <w:sz w:val="24"/>
          <w:szCs w:val="24"/>
          <w:lang w:val="en-US"/>
        </w:rPr>
        <w:t>Similar to</w:t>
      </w:r>
      <w:proofErr w:type="gramEnd"/>
      <w:r w:rsidRPr="54A97E00">
        <w:rPr>
          <w:color w:val="000000" w:themeColor="text1"/>
          <w:sz w:val="24"/>
          <w:szCs w:val="24"/>
          <w:lang w:val="en-US"/>
        </w:rPr>
        <w:t xml:space="preserve"> other fluoroquinolones, resistance can develop with misuse.</w:t>
      </w:r>
    </w:p>
    <w:p w14:paraId="0708DF31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19. </w:t>
      </w:r>
      <w:proofErr w:type="spellStart"/>
      <w:r w:rsidRPr="54A97E00">
        <w:rPr>
          <w:color w:val="000000" w:themeColor="text1"/>
          <w:sz w:val="24"/>
          <w:szCs w:val="24"/>
          <w:lang w:val="en-US"/>
        </w:rPr>
        <w:t>Epetraborole</w:t>
      </w:r>
      <w:proofErr w:type="spellEnd"/>
    </w:p>
    <w:p w14:paraId="7A671A99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Usage: Investigational antibiotic with activity against resistant Gram-positive and Gram-negative bacteria. Mechanism of Action: Inhibits bacterial leucyl-tRNA synthetase, disrupting protein synthesis. Resistance: Still under </w:t>
      </w:r>
      <w:proofErr w:type="gramStart"/>
      <w:r w:rsidRPr="54A97E00">
        <w:rPr>
          <w:color w:val="000000" w:themeColor="text1"/>
          <w:sz w:val="24"/>
          <w:szCs w:val="24"/>
          <w:lang w:val="en-US"/>
        </w:rPr>
        <w:t>study, but</w:t>
      </w:r>
      <w:proofErr w:type="gramEnd"/>
      <w:r w:rsidRPr="54A97E00">
        <w:rPr>
          <w:color w:val="000000" w:themeColor="text1"/>
          <w:sz w:val="24"/>
          <w:szCs w:val="24"/>
          <w:lang w:val="en-US"/>
        </w:rPr>
        <w:t xml:space="preserve"> designed to target resistant bacteria.</w:t>
      </w:r>
    </w:p>
    <w:p w14:paraId="60746630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 xml:space="preserve">20. </w:t>
      </w:r>
      <w:proofErr w:type="spellStart"/>
      <w:r w:rsidRPr="54A97E00">
        <w:rPr>
          <w:color w:val="000000" w:themeColor="text1"/>
          <w:sz w:val="24"/>
          <w:szCs w:val="24"/>
          <w:lang w:val="en-US"/>
        </w:rPr>
        <w:t>Cefiderocol</w:t>
      </w:r>
      <w:proofErr w:type="spellEnd"/>
    </w:p>
    <w:p w14:paraId="6C81389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  <w:lang w:val="en-US"/>
        </w:rPr>
      </w:pPr>
      <w:r w:rsidRPr="54A97E00">
        <w:rPr>
          <w:color w:val="000000" w:themeColor="text1"/>
          <w:sz w:val="24"/>
          <w:szCs w:val="24"/>
          <w:lang w:val="en-US"/>
        </w:rPr>
        <w:t>Usage: Siderophore cephalosporin used for multidrug-resistant Gram-negative bacterial infections. Mechanism of Action: Inhibits bacterial cell wall synthesis by binding to PBPs and utilizes a siderophore mechanism to enter bacterial cells. Resistance: Effective against many resistant strains, but vigilance is necessary.</w:t>
      </w:r>
    </w:p>
    <w:p w14:paraId="34651468" w14:textId="77777777" w:rsidR="00CC2280" w:rsidRPr="00454F38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21. Tazobactam</w:t>
      </w:r>
    </w:p>
    <w:p w14:paraId="24CCB6EB" w14:textId="77777777" w:rsidR="00CC2280" w:rsidRDefault="00CC2280" w:rsidP="00CC2280">
      <w:pPr>
        <w:jc w:val="both"/>
        <w:rPr>
          <w:color w:val="000000" w:themeColor="text1"/>
          <w:sz w:val="24"/>
          <w:szCs w:val="24"/>
        </w:rPr>
      </w:pPr>
      <w:r w:rsidRPr="00454F38">
        <w:rPr>
          <w:color w:val="000000" w:themeColor="text1"/>
          <w:sz w:val="24"/>
          <w:szCs w:val="24"/>
        </w:rPr>
        <w:t>Usage: Beta-lactamase inhibitor often combined with piperacillin to treat severe infections. Mechanism of Action: Inhibits beta-lactamase enzymes, preventing the degradation of beta-lactam antibiotics. Resistance: Resistance can develop in bacteria producing beta-lactamases that are not inhibited by tazobactam.</w:t>
      </w:r>
      <w:commentRangeStart w:id="0"/>
      <w:commentRangeEnd w:id="0"/>
      <w:r>
        <w:rPr>
          <w:rStyle w:val="CommentReference"/>
        </w:rPr>
        <w:commentReference w:id="0"/>
      </w:r>
    </w:p>
    <w:p w14:paraId="328B0422" w14:textId="77777777" w:rsidR="00F05CB4" w:rsidRDefault="00F05CB4"/>
    <w:sectPr w:rsidR="00F05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uratov, Eugene" w:date="2024-11-04T15:49:00Z" w:initials="EM">
    <w:p w14:paraId="5C9226BE" w14:textId="77777777" w:rsidR="00CC2280" w:rsidRDefault="00CC2280" w:rsidP="00CC2280">
      <w:pPr>
        <w:pStyle w:val="CommentText"/>
      </w:pPr>
      <w:r>
        <w:rPr>
          <w:rStyle w:val="CommentReference"/>
        </w:rPr>
        <w:annotationRef/>
      </w:r>
      <w:r>
        <w:t>Please move to supplement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C922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C42DA6C" w16cex:dateUtc="2024-11-04T2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C9226BE" w16cid:durableId="1C42DA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uratov, Eugene">
    <w15:presenceInfo w15:providerId="AD" w15:userId="S::murik@ad.unc.edu::ff4e1223-fc42-493a-ac14-1e66b9b7bc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80"/>
    <w:rsid w:val="00513187"/>
    <w:rsid w:val="005C6C30"/>
    <w:rsid w:val="008B610D"/>
    <w:rsid w:val="00CC2280"/>
    <w:rsid w:val="00F0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28EDA"/>
  <w15:chartTrackingRefBased/>
  <w15:docId w15:val="{702D9691-438E-CE47-A37D-E4D9B9CA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28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2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80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CC22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2280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C22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Beasley, Jon-Michael</dc:creator>
  <cp:keywords/>
  <dc:description/>
  <cp:lastModifiedBy>Beasley, Jon-Michael</cp:lastModifiedBy>
  <cp:revision>1</cp:revision>
  <dcterms:created xsi:type="dcterms:W3CDTF">2024-11-05T15:27:00Z</dcterms:created>
  <dcterms:modified xsi:type="dcterms:W3CDTF">2024-11-05T15:29:00Z</dcterms:modified>
</cp:coreProperties>
</file>