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2DA01" w14:textId="77777777" w:rsidR="00FF1D00" w:rsidRPr="00510617" w:rsidRDefault="00FF1D00" w:rsidP="00FF1D00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1061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External Validation of </w:t>
      </w:r>
      <w:commentRangeStart w:id="0"/>
      <w:proofErr w:type="spellStart"/>
      <w:r w:rsidRPr="0051061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STopTox</w:t>
      </w:r>
      <w:commentRangeEnd w:id="0"/>
      <w:proofErr w:type="spellEnd"/>
      <w:r w:rsidRPr="00510617">
        <w:rPr>
          <w:rStyle w:val="CommentReference"/>
          <w:rFonts w:ascii="Times New Roman" w:hAnsi="Times New Roman" w:cs="Times New Roman"/>
        </w:rPr>
        <w:commentReference w:id="0"/>
      </w:r>
      <w:r w:rsidRPr="0051061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as an Alternative to Animal Testing for Toxicological Assessments </w:t>
      </w:r>
    </w:p>
    <w:p w14:paraId="0F722791" w14:textId="77777777" w:rsidR="00FF1D00" w:rsidRPr="00510617" w:rsidRDefault="00FF1D00" w:rsidP="00FF1D00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pt-BR"/>
        </w:rPr>
      </w:pPr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Ricardo </w:t>
      </w:r>
      <w:proofErr w:type="spellStart"/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Scheufen</w:t>
      </w:r>
      <w:proofErr w:type="spellEnd"/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 </w:t>
      </w:r>
      <w:proofErr w:type="spellStart"/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Tieghi</w:t>
      </w:r>
      <w:r w:rsidRPr="00510617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#a</w:t>
      </w:r>
      <w:proofErr w:type="spellEnd"/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, Cleber C. </w:t>
      </w:r>
      <w:proofErr w:type="spellStart"/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Melo-Filho</w:t>
      </w:r>
      <w:r w:rsidRPr="00510617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#a</w:t>
      </w:r>
      <w:proofErr w:type="spellEnd"/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, </w:t>
      </w:r>
      <w:proofErr w:type="spellStart"/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Holli-Joi</w:t>
      </w:r>
      <w:proofErr w:type="spellEnd"/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 Martin</w:t>
      </w:r>
      <w:r w:rsidRPr="00510617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a</w:t>
      </w:r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, José Teófilo Moreira-</w:t>
      </w:r>
      <w:proofErr w:type="spellStart"/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Filho</w:t>
      </w:r>
      <w:r w:rsidRPr="00510617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b</w:t>
      </w:r>
      <w:proofErr w:type="spellEnd"/>
      <w:r w:rsidRPr="00510617">
        <w:rPr>
          <w:rFonts w:ascii="Times New Roman" w:eastAsia="Times New Roman" w:hAnsi="Times New Roman" w:cs="Times New Roman"/>
          <w:lang w:val="pt-BR"/>
        </w:rPr>
        <w:t xml:space="preserve">, </w:t>
      </w:r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Tripp </w:t>
      </w:r>
      <w:proofErr w:type="spellStart"/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LaPratt</w:t>
      </w:r>
      <w:r w:rsidRPr="00510617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c</w:t>
      </w:r>
      <w:proofErr w:type="spellEnd"/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, Dave </w:t>
      </w:r>
      <w:proofErr w:type="spellStart"/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Allen</w:t>
      </w:r>
      <w:r w:rsidRPr="00510617">
        <w:rPr>
          <w:rFonts w:ascii="Times New Roman" w:eastAsia="Times New Roman" w:hAnsi="Times New Roman" w:cs="Times New Roman"/>
          <w:i/>
          <w:iCs/>
          <w:color w:val="000000" w:themeColor="text1"/>
          <w:vertAlign w:val="superscript"/>
          <w:lang w:val="pt-BR"/>
        </w:rPr>
        <w:t>c</w:t>
      </w:r>
      <w:proofErr w:type="spellEnd"/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, Judy </w:t>
      </w:r>
      <w:proofErr w:type="spellStart"/>
      <w:proofErr w:type="gramStart"/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Strickland</w:t>
      </w:r>
      <w:r w:rsidRPr="00510617">
        <w:rPr>
          <w:rFonts w:ascii="Times New Roman" w:eastAsia="Times New Roman" w:hAnsi="Times New Roman" w:cs="Times New Roman"/>
          <w:i/>
          <w:iCs/>
          <w:color w:val="000000" w:themeColor="text1"/>
          <w:vertAlign w:val="superscript"/>
          <w:lang w:val="pt-BR"/>
        </w:rPr>
        <w:t>c</w:t>
      </w:r>
      <w:proofErr w:type="spellEnd"/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,  Alexander</w:t>
      </w:r>
      <w:proofErr w:type="gramEnd"/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 Tropsha*</w:t>
      </w:r>
      <w:proofErr w:type="spellStart"/>
      <w:r w:rsidRPr="00510617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a,d</w:t>
      </w:r>
      <w:proofErr w:type="spellEnd"/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, Nicole Kleinstreuer*</w:t>
      </w:r>
      <w:r w:rsidRPr="00510617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b</w:t>
      </w:r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, Eugene N. Muratov*</w:t>
      </w:r>
      <w:r w:rsidRPr="00510617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a</w:t>
      </w:r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.</w:t>
      </w:r>
    </w:p>
    <w:p w14:paraId="296498EE" w14:textId="77777777" w:rsidR="00FF1D00" w:rsidRPr="00510617" w:rsidRDefault="00FF1D00" w:rsidP="00FF1D00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10617">
        <w:rPr>
          <w:rFonts w:ascii="Times New Roman" w:eastAsia="Times New Roman" w:hAnsi="Times New Roman" w:cs="Times New Roman"/>
          <w:color w:val="000000" w:themeColor="text1"/>
          <w:vertAlign w:val="superscript"/>
        </w:rPr>
        <w:t>#</w:t>
      </w:r>
      <w:r w:rsidRPr="00510617">
        <w:rPr>
          <w:rFonts w:ascii="Times New Roman" w:eastAsia="Times New Roman" w:hAnsi="Times New Roman" w:cs="Times New Roman"/>
          <w:color w:val="000000" w:themeColor="text1"/>
        </w:rPr>
        <w:t xml:space="preserve"> These authors contributed equally.</w:t>
      </w:r>
    </w:p>
    <w:p w14:paraId="134B9F3B" w14:textId="77777777" w:rsidR="00FF1D00" w:rsidRPr="00510617" w:rsidRDefault="00FF1D00" w:rsidP="00FF1D00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10617">
        <w:rPr>
          <w:rFonts w:ascii="Times New Roman" w:eastAsia="Times New Roman" w:hAnsi="Times New Roman" w:cs="Times New Roman"/>
          <w:i/>
          <w:iCs/>
          <w:color w:val="000000" w:themeColor="text1"/>
          <w:vertAlign w:val="superscript"/>
        </w:rPr>
        <w:t>a</w:t>
      </w:r>
      <w:r w:rsidRPr="00510617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UNC Eshelman School of Pharmacy, University of North Carolina, Chapel Hill, NC, USA.</w:t>
      </w:r>
    </w:p>
    <w:p w14:paraId="572859D2" w14:textId="77777777" w:rsidR="00FF1D00" w:rsidRPr="00510617" w:rsidRDefault="00FF1D00" w:rsidP="00FF1D00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10617">
        <w:rPr>
          <w:rFonts w:ascii="Times New Roman" w:eastAsia="Times New Roman" w:hAnsi="Times New Roman" w:cs="Times New Roman"/>
          <w:i/>
          <w:iCs/>
          <w:color w:val="000000" w:themeColor="text1"/>
          <w:vertAlign w:val="superscript"/>
        </w:rPr>
        <w:t>b</w:t>
      </w:r>
      <w:r w:rsidRPr="00510617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National Toxicology Program Interagency Center for Evaluation of Alternative Toxicological Methods (NICEATM), Research Triangle Park, NC, 27711, USA.</w:t>
      </w:r>
    </w:p>
    <w:p w14:paraId="420AC0C1" w14:textId="77777777" w:rsidR="00FF1D00" w:rsidRPr="00510617" w:rsidRDefault="00FF1D00" w:rsidP="00FF1D00">
      <w:pPr>
        <w:spacing w:line="48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510617">
        <w:rPr>
          <w:rFonts w:ascii="Times New Roman" w:eastAsia="Times New Roman" w:hAnsi="Times New Roman" w:cs="Times New Roman"/>
          <w:i/>
          <w:iCs/>
          <w:color w:val="000000" w:themeColor="text1"/>
          <w:vertAlign w:val="superscript"/>
        </w:rPr>
        <w:t>c</w:t>
      </w:r>
      <w:r w:rsidRPr="00510617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510617">
        <w:rPr>
          <w:rFonts w:ascii="Times New Roman" w:eastAsia="Times New Roman" w:hAnsi="Times New Roman" w:cs="Times New Roman"/>
          <w:i/>
          <w:iCs/>
          <w:color w:val="000000" w:themeColor="text1"/>
        </w:rPr>
        <w:t>Inotiv</w:t>
      </w:r>
      <w:proofErr w:type="spellEnd"/>
      <w:r w:rsidRPr="00510617">
        <w:rPr>
          <w:rFonts w:ascii="Times New Roman" w:eastAsia="Times New Roman" w:hAnsi="Times New Roman" w:cs="Times New Roman"/>
          <w:i/>
          <w:iCs/>
          <w:color w:val="000000" w:themeColor="text1"/>
        </w:rPr>
        <w:t>-RTP, Morrisville, 27560, NC, United States</w:t>
      </w:r>
    </w:p>
    <w:p w14:paraId="3191826F" w14:textId="77777777" w:rsidR="00FF1D00" w:rsidRPr="00510617" w:rsidRDefault="00FF1D00" w:rsidP="00FF1D00">
      <w:pPr>
        <w:spacing w:line="48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510617">
        <w:rPr>
          <w:rFonts w:ascii="Times New Roman" w:eastAsia="Times New Roman" w:hAnsi="Times New Roman" w:cs="Times New Roman"/>
          <w:i/>
          <w:iCs/>
          <w:color w:val="000000" w:themeColor="text1"/>
          <w:vertAlign w:val="superscript"/>
        </w:rPr>
        <w:t>d</w:t>
      </w:r>
      <w:r w:rsidRPr="00510617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Predictive, LLC, Raleigh, 27614, NC, United States</w:t>
      </w:r>
    </w:p>
    <w:p w14:paraId="36459964" w14:textId="77777777" w:rsidR="00FF1D00" w:rsidRPr="00510617" w:rsidRDefault="00FF1D00" w:rsidP="00FF1D00">
      <w:pPr>
        <w:pStyle w:val="TAMainText"/>
        <w:ind w:firstLine="0"/>
        <w:rPr>
          <w:rStyle w:val="Hyperlink"/>
          <w:rFonts w:ascii="Times New Roman" w:eastAsia="Times New Roman" w:hAnsi="Times New Roman" w:cs="Times New Roman"/>
          <w:lang w:val="en-US"/>
        </w:rPr>
      </w:pPr>
      <w:r w:rsidRPr="0051061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*To whom correspondence and materials requests should be addressed: 100K Beard Hall, Eshelman School of Pharmacy, University of North Carolina, Chapel Hill, NC, 27599, USA; Telephone: (919) 966-2955; FAX: (919) 966-0204; E-mail: </w:t>
      </w:r>
      <w:hyperlink r:id="rId9" w:history="1">
        <w:r w:rsidRPr="00510617">
          <w:rPr>
            <w:rStyle w:val="Hyperlink"/>
            <w:rFonts w:ascii="Times New Roman" w:eastAsia="Times New Roman" w:hAnsi="Times New Roman" w:cs="Times New Roman"/>
            <w:lang w:val="en-US"/>
          </w:rPr>
          <w:t>nicole.kleinstreuer@nih.gov</w:t>
        </w:r>
      </w:hyperlink>
      <w:r w:rsidRPr="0051061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, </w:t>
      </w:r>
      <w:hyperlink r:id="rId10">
        <w:r w:rsidRPr="00510617">
          <w:rPr>
            <w:rStyle w:val="Hyperlink"/>
            <w:rFonts w:ascii="Times New Roman" w:eastAsia="Times New Roman" w:hAnsi="Times New Roman" w:cs="Times New Roman"/>
            <w:lang w:val="en-US"/>
          </w:rPr>
          <w:t>alex_tropsha@unc.edu</w:t>
        </w:r>
      </w:hyperlink>
      <w:r w:rsidRPr="00510617">
        <w:rPr>
          <w:rStyle w:val="Hyperlink"/>
          <w:rFonts w:ascii="Times New Roman" w:eastAsia="Times New Roman" w:hAnsi="Times New Roman" w:cs="Times New Roman"/>
          <w:lang w:val="en-US"/>
        </w:rPr>
        <w:t>,</w:t>
      </w:r>
      <w:r w:rsidRPr="0051061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hyperlink r:id="rId11">
        <w:r w:rsidRPr="00510617">
          <w:rPr>
            <w:rStyle w:val="Hyperlink"/>
            <w:rFonts w:ascii="Times New Roman" w:eastAsia="Times New Roman" w:hAnsi="Times New Roman" w:cs="Times New Roman"/>
            <w:lang w:val="en-US"/>
          </w:rPr>
          <w:t>murik@email.unc.edu</w:t>
        </w:r>
      </w:hyperlink>
      <w:r w:rsidRPr="00510617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271A6C98" w14:textId="77777777" w:rsidR="00FF1D00" w:rsidRPr="00510617" w:rsidRDefault="00FF1D00" w:rsidP="00FF1D0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510617">
        <w:rPr>
          <w:rFonts w:ascii="Times New Roman" w:eastAsia="Times New Roman" w:hAnsi="Times New Roman" w:cs="Times New Roman"/>
          <w:b/>
          <w:bCs/>
          <w:color w:val="000000" w:themeColor="text1"/>
        </w:rPr>
        <w:t>Competing Interests</w:t>
      </w:r>
    </w:p>
    <w:p w14:paraId="3BC4BFD6" w14:textId="77777777" w:rsidR="00FF1D00" w:rsidRPr="00510617" w:rsidRDefault="00FF1D00" w:rsidP="00FF1D00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10617">
        <w:rPr>
          <w:rFonts w:ascii="Times New Roman" w:eastAsia="Times New Roman" w:hAnsi="Times New Roman" w:cs="Times New Roman"/>
          <w:color w:val="000000" w:themeColor="text1"/>
        </w:rPr>
        <w:t>AT and ENM are co-founders of Predictive, LLC, which develops novel alternative methodologies and software for toxicity prediction. All the other authors declare no conflicts.</w:t>
      </w:r>
    </w:p>
    <w:p w14:paraId="4C1C1BB3" w14:textId="77777777" w:rsidR="00FF1D00" w:rsidRPr="00510617" w:rsidRDefault="00FF1D00" w:rsidP="00FF1D00">
      <w:pPr>
        <w:jc w:val="center"/>
        <w:rPr>
          <w:rFonts w:ascii="Times New Roman" w:hAnsi="Times New Roman" w:cs="Times New Roman"/>
        </w:rPr>
      </w:pPr>
    </w:p>
    <w:p w14:paraId="068C7DE1" w14:textId="14E6E637" w:rsidR="00FF1D00" w:rsidRPr="00510617" w:rsidRDefault="00FF1D00" w:rsidP="0023389A">
      <w:pPr>
        <w:spacing w:line="360" w:lineRule="auto"/>
        <w:jc w:val="center"/>
        <w:rPr>
          <w:rFonts w:ascii="Times New Roman" w:hAnsi="Times New Roman" w:cs="Times New Roman"/>
        </w:rPr>
      </w:pPr>
      <w:r w:rsidRPr="00510617">
        <w:rPr>
          <w:rFonts w:ascii="Times New Roman" w:hAnsi="Times New Roman" w:cs="Times New Roman"/>
          <w:b/>
          <w:bCs/>
        </w:rPr>
        <w:lastRenderedPageBreak/>
        <w:t>Data Collection Protocol</w:t>
      </w:r>
    </w:p>
    <w:p w14:paraId="4E0823D6" w14:textId="77777777" w:rsidR="00FF1D00" w:rsidRPr="00510617" w:rsidRDefault="00FF1D00" w:rsidP="0023389A">
      <w:pPr>
        <w:spacing w:line="360" w:lineRule="auto"/>
        <w:jc w:val="center"/>
        <w:rPr>
          <w:rFonts w:ascii="Times New Roman" w:hAnsi="Times New Roman" w:cs="Times New Roman"/>
        </w:rPr>
      </w:pPr>
    </w:p>
    <w:p w14:paraId="31B535E7" w14:textId="4C370730" w:rsidR="00FF1D00" w:rsidRPr="00510617" w:rsidRDefault="00FF1D00" w:rsidP="0023389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10617">
        <w:rPr>
          <w:rFonts w:ascii="Times New Roman" w:hAnsi="Times New Roman" w:cs="Times New Roman"/>
          <w:b/>
          <w:bCs/>
        </w:rPr>
        <w:t>Integrated Chemical Environment (ICE)</w:t>
      </w:r>
      <w:r w:rsidR="006D5DD9" w:rsidRPr="00510617">
        <w:rPr>
          <w:rFonts w:ascii="Times New Roman" w:hAnsi="Times New Roman" w:cs="Times New Roman"/>
          <w:b/>
          <w:bCs/>
        </w:rPr>
        <w:t xml:space="preserve"> Overview</w:t>
      </w:r>
      <w:r w:rsidRPr="00510617">
        <w:rPr>
          <w:rFonts w:ascii="Times New Roman" w:hAnsi="Times New Roman" w:cs="Times New Roman"/>
          <w:b/>
          <w:bCs/>
        </w:rPr>
        <w:t>:</w:t>
      </w:r>
    </w:p>
    <w:p w14:paraId="16115294" w14:textId="77777777" w:rsidR="00FF1D00" w:rsidRPr="00510617" w:rsidRDefault="00FF1D00" w:rsidP="0023389A">
      <w:pPr>
        <w:pStyle w:val="ListParagraph"/>
        <w:numPr>
          <w:ilvl w:val="0"/>
          <w:numId w:val="2"/>
        </w:numPr>
        <w:spacing w:line="360" w:lineRule="auto"/>
        <w:jc w:val="both"/>
      </w:pPr>
      <w:r w:rsidRPr="00510617">
        <w:t>ICE contains highly curated and verified datasets for various specific toxicity endpoints.</w:t>
      </w:r>
    </w:p>
    <w:p w14:paraId="02C05E74" w14:textId="0601F163" w:rsidR="00FF1D00" w:rsidRPr="00510617" w:rsidRDefault="00FF1D00" w:rsidP="0023389A">
      <w:pPr>
        <w:pStyle w:val="ListParagraph"/>
        <w:numPr>
          <w:ilvl w:val="0"/>
          <w:numId w:val="2"/>
        </w:numPr>
        <w:spacing w:line="360" w:lineRule="auto"/>
        <w:jc w:val="both"/>
      </w:pPr>
      <w:r w:rsidRPr="00510617">
        <w:t>The datasets can be downloaded by acces</w:t>
      </w:r>
      <w:r w:rsidR="00E628F6" w:rsidRPr="00510617">
        <w:t>s</w:t>
      </w:r>
      <w:r w:rsidRPr="00510617">
        <w:t xml:space="preserve">ing the link: </w:t>
      </w:r>
    </w:p>
    <w:p w14:paraId="6C0DABAB" w14:textId="6F5C9C96" w:rsidR="00FF1D00" w:rsidRPr="00510617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510617">
        <w:t>(</w:t>
      </w:r>
      <w:hyperlink r:id="rId12" w:history="1">
        <w:r w:rsidRPr="00510617">
          <w:rPr>
            <w:rStyle w:val="Hyperlink"/>
          </w:rPr>
          <w:t>https://ice.ntp.niehs.nih.gov/DATASETDESCRIPTION</w:t>
        </w:r>
      </w:hyperlink>
      <w:r w:rsidR="006B0D41" w:rsidRPr="00510617">
        <w:t>, accessed June 2024</w:t>
      </w:r>
      <w:r w:rsidRPr="00510617">
        <w:t xml:space="preserve">)  </w:t>
      </w:r>
    </w:p>
    <w:p w14:paraId="09218100" w14:textId="52C7AAAD" w:rsidR="004F6072" w:rsidRPr="00510617" w:rsidRDefault="00FF1D00" w:rsidP="006427F2">
      <w:pPr>
        <w:pStyle w:val="ListParagraph"/>
        <w:numPr>
          <w:ilvl w:val="0"/>
          <w:numId w:val="2"/>
        </w:numPr>
        <w:spacing w:line="360" w:lineRule="auto"/>
        <w:jc w:val="both"/>
      </w:pPr>
      <w:r w:rsidRPr="00510617">
        <w:t xml:space="preserve">Datasets of interest </w:t>
      </w:r>
      <w:r w:rsidR="006D5DD9" w:rsidRPr="00510617">
        <w:t>can be</w:t>
      </w:r>
      <w:r w:rsidRPr="00510617">
        <w:t xml:space="preserve"> directly downloaded </w:t>
      </w:r>
      <w:r w:rsidR="00737322" w:rsidRPr="00510617">
        <w:t xml:space="preserve">as xlsx files </w:t>
      </w:r>
      <w:r w:rsidRPr="00510617">
        <w:t>from their “datasets tab</w:t>
      </w:r>
      <w:r w:rsidR="00E628F6" w:rsidRPr="00510617">
        <w:t>.”</w:t>
      </w:r>
      <w:r w:rsidR="00737322" w:rsidRPr="00510617">
        <w:t xml:space="preserve"> </w:t>
      </w:r>
      <w:r w:rsidR="006427F2" w:rsidRPr="00510617">
        <w:t xml:space="preserve">All original </w:t>
      </w:r>
      <w:r w:rsidR="004F6072" w:rsidRPr="00510617">
        <w:t xml:space="preserve">and complete endpoint-specific datasets from </w:t>
      </w:r>
      <w:r w:rsidR="006427F2" w:rsidRPr="00510617">
        <w:t>ICE are available in the folder: “ICE Datasets</w:t>
      </w:r>
      <w:r w:rsidR="00E628F6" w:rsidRPr="00510617">
        <w:t>.”</w:t>
      </w:r>
      <w:r w:rsidR="006427F2" w:rsidRPr="00510617">
        <w:t xml:space="preserve"> </w:t>
      </w:r>
    </w:p>
    <w:p w14:paraId="1E372683" w14:textId="07BA176E" w:rsidR="006427F2" w:rsidRPr="00510617" w:rsidRDefault="006427F2" w:rsidP="004F6072">
      <w:pPr>
        <w:pStyle w:val="ListParagraph"/>
        <w:numPr>
          <w:ilvl w:val="1"/>
          <w:numId w:val="2"/>
        </w:numPr>
        <w:spacing w:line="360" w:lineRule="auto"/>
        <w:jc w:val="both"/>
      </w:pPr>
      <w:r w:rsidRPr="00510617">
        <w:t>File descriptions:</w:t>
      </w:r>
    </w:p>
    <w:p w14:paraId="2F58F616" w14:textId="7DBCEDE7" w:rsidR="00FF1D00" w:rsidRPr="00510617" w:rsidRDefault="00FF1D00" w:rsidP="004F6072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 xml:space="preserve"> Oral Toxicity – 9110 chemicals for 4 endpoints</w:t>
      </w:r>
    </w:p>
    <w:p w14:paraId="4B200DCB" w14:textId="479D0DDD" w:rsidR="00FF1D00" w:rsidRPr="00510617" w:rsidRDefault="00FF1D00" w:rsidP="004F6072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Acute Dermal Toxicity – 275 chemicals for 3 endpoints</w:t>
      </w:r>
    </w:p>
    <w:p w14:paraId="58DA9B87" w14:textId="6F29BDDC" w:rsidR="00FF1D00" w:rsidRPr="00510617" w:rsidRDefault="00FF1D00" w:rsidP="004F6072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Acute Inhalation Toxicity – 1781 chemicals for 3 endpoints.</w:t>
      </w:r>
    </w:p>
    <w:p w14:paraId="65500A80" w14:textId="50EB8726" w:rsidR="00FF1D00" w:rsidRPr="00510617" w:rsidRDefault="00FF1D00" w:rsidP="004F6072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Eye Irri</w:t>
      </w:r>
      <w:r w:rsidR="00E628F6" w:rsidRPr="00510617">
        <w:t>t</w:t>
      </w:r>
      <w:r w:rsidRPr="00510617">
        <w:t>ation Toxicity – 454 chemicals for 7 endpoints</w:t>
      </w:r>
    </w:p>
    <w:p w14:paraId="1B12B445" w14:textId="2DC1B06E" w:rsidR="00FF1D00" w:rsidRPr="00510617" w:rsidRDefault="00FF1D00" w:rsidP="004F6072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Skin irritation/Corrosion – 564 chemicals for 16 endpoints</w:t>
      </w:r>
    </w:p>
    <w:p w14:paraId="079D8761" w14:textId="1D06BE48" w:rsidR="00FF1D00" w:rsidRPr="00510617" w:rsidRDefault="00FF1D00" w:rsidP="004F6072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Skin Sensitization – 1956 chemicals for 26 endpoints.</w:t>
      </w:r>
    </w:p>
    <w:p w14:paraId="7B135021" w14:textId="7A192847" w:rsidR="00FF1D00" w:rsidRPr="00510617" w:rsidRDefault="00FF1D00" w:rsidP="0023389A">
      <w:pPr>
        <w:pStyle w:val="ListParagraph"/>
        <w:numPr>
          <w:ilvl w:val="0"/>
          <w:numId w:val="2"/>
        </w:numPr>
        <w:spacing w:line="360" w:lineRule="auto"/>
        <w:jc w:val="both"/>
      </w:pPr>
      <w:r w:rsidRPr="00510617">
        <w:t xml:space="preserve">All datasets were filtered to include only compounds tested </w:t>
      </w:r>
      <w:r w:rsidRPr="00510617">
        <w:rPr>
          <w:i/>
          <w:iCs/>
        </w:rPr>
        <w:t>in vivo</w:t>
      </w:r>
      <w:r w:rsidRPr="00510617">
        <w:t xml:space="preserve"> using the same OECD Test Guidelines th</w:t>
      </w:r>
      <w:r w:rsidR="00007B00" w:rsidRPr="00510617">
        <w:t xml:space="preserve">e original </w:t>
      </w:r>
      <w:proofErr w:type="spellStart"/>
      <w:r w:rsidR="00007B00" w:rsidRPr="00510617">
        <w:t>STopTox</w:t>
      </w:r>
      <w:proofErr w:type="spellEnd"/>
      <w:r w:rsidRPr="00510617">
        <w:t xml:space="preserve"> </w:t>
      </w:r>
      <w:r w:rsidR="00007B00" w:rsidRPr="00510617">
        <w:t xml:space="preserve">was </w:t>
      </w:r>
      <w:r w:rsidRPr="00510617">
        <w:t xml:space="preserve">designed to </w:t>
      </w:r>
      <w:r w:rsidR="00007B00" w:rsidRPr="00510617">
        <w:t>predict</w:t>
      </w:r>
      <w:r w:rsidRPr="00510617">
        <w:t xml:space="preserve">. Specifically, </w:t>
      </w:r>
    </w:p>
    <w:p w14:paraId="718BE4BC" w14:textId="77777777" w:rsidR="00FC2CAE" w:rsidRPr="00510617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510617">
        <w:t>Eye Irritation/Corrosion</w:t>
      </w:r>
    </w:p>
    <w:p w14:paraId="093939B7" w14:textId="47285684" w:rsidR="00FF1D00" w:rsidRPr="00510617" w:rsidRDefault="00FF1D00" w:rsidP="00FC2CAE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OECD TG 405</w:t>
      </w:r>
    </w:p>
    <w:p w14:paraId="7160BEC2" w14:textId="77777777" w:rsidR="00FC2CAE" w:rsidRPr="00510617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510617">
        <w:t>Skin Irritation/Corrosion</w:t>
      </w:r>
    </w:p>
    <w:p w14:paraId="4F6002AF" w14:textId="0E731E5E" w:rsidR="00FF1D00" w:rsidRPr="00510617" w:rsidRDefault="00FF1D00" w:rsidP="00FC2CAE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OECD TG 404</w:t>
      </w:r>
    </w:p>
    <w:p w14:paraId="7448D74D" w14:textId="77777777" w:rsidR="00FC2CAE" w:rsidRPr="00510617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510617">
        <w:t>Skin Sensitization</w:t>
      </w:r>
    </w:p>
    <w:p w14:paraId="6CA50C9D" w14:textId="15D700DD" w:rsidR="00FF1D00" w:rsidRPr="00510617" w:rsidRDefault="00FF1D00" w:rsidP="00FC2CAE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OECD TG 429</w:t>
      </w:r>
    </w:p>
    <w:p w14:paraId="01EAB1B0" w14:textId="77777777" w:rsidR="00FC2CAE" w:rsidRPr="00510617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510617">
        <w:t xml:space="preserve">Acute Oral </w:t>
      </w:r>
    </w:p>
    <w:p w14:paraId="333A8F2C" w14:textId="23AF5F97" w:rsidR="00FF1D00" w:rsidRPr="00510617" w:rsidRDefault="00FC2CAE" w:rsidP="00FC2CAE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O</w:t>
      </w:r>
      <w:r w:rsidR="00FF1D00" w:rsidRPr="00510617">
        <w:t>ECD TG 401, 420, 423, 425</w:t>
      </w:r>
    </w:p>
    <w:p w14:paraId="7BB15D6A" w14:textId="77777777" w:rsidR="00FC2CAE" w:rsidRPr="00510617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510617">
        <w:t>Acute Dermal</w:t>
      </w:r>
    </w:p>
    <w:p w14:paraId="233F0A98" w14:textId="7A14669C" w:rsidR="00FF1D00" w:rsidRPr="00510617" w:rsidRDefault="00FF1D00" w:rsidP="00FC2CAE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OECD TG 402</w:t>
      </w:r>
    </w:p>
    <w:p w14:paraId="08858563" w14:textId="77777777" w:rsidR="00FC2CAE" w:rsidRPr="00510617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510617">
        <w:t>Acute Inhalation</w:t>
      </w:r>
    </w:p>
    <w:p w14:paraId="737C5D04" w14:textId="77777777" w:rsidR="006D5DD9" w:rsidRPr="00510617" w:rsidRDefault="00FF1D00" w:rsidP="006D5DD9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OECD TG 403</w:t>
      </w:r>
    </w:p>
    <w:p w14:paraId="07C3993B" w14:textId="113B915E" w:rsidR="006D5DD9" w:rsidRPr="00510617" w:rsidRDefault="006D5DD9" w:rsidP="006D5DD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10617">
        <w:rPr>
          <w:rFonts w:ascii="Times New Roman" w:hAnsi="Times New Roman" w:cs="Times New Roman"/>
          <w:b/>
          <w:bCs/>
        </w:rPr>
        <w:lastRenderedPageBreak/>
        <w:t>Data Collection Protocol:</w:t>
      </w:r>
    </w:p>
    <w:p w14:paraId="182570D0" w14:textId="72BA1C02" w:rsidR="006D5DD9" w:rsidRPr="00510617" w:rsidRDefault="006D5DD9" w:rsidP="006D5DD9">
      <w:pPr>
        <w:spacing w:line="360" w:lineRule="auto"/>
        <w:jc w:val="both"/>
        <w:rPr>
          <w:rFonts w:ascii="Times New Roman" w:hAnsi="Times New Roman" w:cs="Times New Roman"/>
        </w:rPr>
      </w:pPr>
      <w:r w:rsidRPr="00510617">
        <w:rPr>
          <w:rFonts w:ascii="Times New Roman" w:hAnsi="Times New Roman" w:cs="Times New Roman"/>
        </w:rPr>
        <w:t>The search was executed independently for</w:t>
      </w:r>
      <w:r w:rsidR="008B475A" w:rsidRPr="00510617">
        <w:rPr>
          <w:rFonts w:ascii="Times New Roman" w:hAnsi="Times New Roman" w:cs="Times New Roman"/>
        </w:rPr>
        <w:t xml:space="preserve"> the endpoint</w:t>
      </w:r>
      <w:r w:rsidR="00813E9C" w:rsidRPr="00510617">
        <w:rPr>
          <w:rFonts w:ascii="Times New Roman" w:hAnsi="Times New Roman" w:cs="Times New Roman"/>
        </w:rPr>
        <w:t>s</w:t>
      </w:r>
      <w:r w:rsidRPr="00510617">
        <w:rPr>
          <w:rFonts w:ascii="Times New Roman" w:hAnsi="Times New Roman" w:cs="Times New Roman"/>
        </w:rPr>
        <w:t xml:space="preserve"> </w:t>
      </w:r>
      <w:r w:rsidR="0081068F" w:rsidRPr="00510617">
        <w:rPr>
          <w:rFonts w:ascii="Times New Roman" w:hAnsi="Times New Roman" w:cs="Times New Roman"/>
        </w:rPr>
        <w:t>available</w:t>
      </w:r>
      <w:r w:rsidRPr="00510617">
        <w:rPr>
          <w:rFonts w:ascii="Times New Roman" w:hAnsi="Times New Roman" w:cs="Times New Roman"/>
        </w:rPr>
        <w:t xml:space="preserve"> in </w:t>
      </w:r>
      <w:r w:rsidR="008B475A" w:rsidRPr="00510617">
        <w:rPr>
          <w:rFonts w:ascii="Times New Roman" w:hAnsi="Times New Roman" w:cs="Times New Roman"/>
        </w:rPr>
        <w:t xml:space="preserve">the </w:t>
      </w:r>
      <w:proofErr w:type="spellStart"/>
      <w:r w:rsidRPr="00510617">
        <w:rPr>
          <w:rFonts w:ascii="Times New Roman" w:hAnsi="Times New Roman" w:cs="Times New Roman"/>
        </w:rPr>
        <w:t>SToptox</w:t>
      </w:r>
      <w:proofErr w:type="spellEnd"/>
      <w:r w:rsidR="008B475A" w:rsidRPr="00510617">
        <w:rPr>
          <w:rFonts w:ascii="Times New Roman" w:hAnsi="Times New Roman" w:cs="Times New Roman"/>
        </w:rPr>
        <w:t xml:space="preserve"> web platform</w:t>
      </w:r>
      <w:r w:rsidRPr="00510617">
        <w:rPr>
          <w:rFonts w:ascii="Times New Roman" w:hAnsi="Times New Roman" w:cs="Times New Roman"/>
        </w:rPr>
        <w:t>.</w:t>
      </w:r>
      <w:r w:rsidR="0081068F" w:rsidRPr="00510617">
        <w:rPr>
          <w:rFonts w:ascii="Times New Roman" w:hAnsi="Times New Roman" w:cs="Times New Roman"/>
        </w:rPr>
        <w:t xml:space="preserve"> The endpoints of interest were three acute systemic (acute oral, acute dermal, and acute inhalation toxicity) and three topical </w:t>
      </w:r>
      <w:r w:rsidR="00813E9C" w:rsidRPr="00510617">
        <w:rPr>
          <w:rFonts w:ascii="Times New Roman" w:hAnsi="Times New Roman" w:cs="Times New Roman"/>
        </w:rPr>
        <w:t>(</w:t>
      </w:r>
      <w:r w:rsidR="0081068F" w:rsidRPr="00510617">
        <w:rPr>
          <w:rFonts w:ascii="Times New Roman" w:hAnsi="Times New Roman" w:cs="Times New Roman"/>
        </w:rPr>
        <w:t>eye irritation/corrosion, skin irritation/corrosion, and skin sensitization</w:t>
      </w:r>
      <w:r w:rsidR="00813E9C" w:rsidRPr="00510617">
        <w:rPr>
          <w:rFonts w:ascii="Times New Roman" w:hAnsi="Times New Roman" w:cs="Times New Roman"/>
        </w:rPr>
        <w:t>)</w:t>
      </w:r>
      <w:r w:rsidR="0081068F" w:rsidRPr="00510617">
        <w:rPr>
          <w:rFonts w:ascii="Times New Roman" w:hAnsi="Times New Roman" w:cs="Times New Roman"/>
        </w:rPr>
        <w:t xml:space="preserve">. </w:t>
      </w:r>
    </w:p>
    <w:p w14:paraId="20C96FCE" w14:textId="46068670" w:rsidR="006D5DD9" w:rsidRPr="00510617" w:rsidRDefault="006D5DD9" w:rsidP="006D5DD9">
      <w:pPr>
        <w:pStyle w:val="ListParagraph"/>
        <w:numPr>
          <w:ilvl w:val="0"/>
          <w:numId w:val="4"/>
        </w:numPr>
        <w:spacing w:line="360" w:lineRule="auto"/>
        <w:jc w:val="both"/>
      </w:pPr>
      <w:r w:rsidRPr="00510617">
        <w:t>First, we navigated to ICE’s “Search” tool.</w:t>
      </w:r>
    </w:p>
    <w:p w14:paraId="5418F6CF" w14:textId="2914C083" w:rsidR="006D5DD9" w:rsidRPr="00510617" w:rsidRDefault="006D5DD9" w:rsidP="006D5DD9">
      <w:pPr>
        <w:pStyle w:val="ListParagraph"/>
        <w:numPr>
          <w:ilvl w:val="0"/>
          <w:numId w:val="4"/>
        </w:numPr>
        <w:spacing w:line="360" w:lineRule="auto"/>
        <w:jc w:val="both"/>
      </w:pPr>
      <w:r w:rsidRPr="00510617">
        <w:t xml:space="preserve">The scope of </w:t>
      </w:r>
      <w:r w:rsidR="00813E9C" w:rsidRPr="00510617">
        <w:t xml:space="preserve">the </w:t>
      </w:r>
      <w:r w:rsidRPr="00510617">
        <w:t>search used was “Intersection</w:t>
      </w:r>
      <w:r w:rsidR="00E628F6" w:rsidRPr="00510617">
        <w:t>.</w:t>
      </w:r>
      <w:r w:rsidRPr="00510617">
        <w:t>”</w:t>
      </w:r>
    </w:p>
    <w:p w14:paraId="139CCE1E" w14:textId="03604C69" w:rsidR="006D5DD9" w:rsidRPr="00510617" w:rsidRDefault="006D5DD9" w:rsidP="006D5DD9">
      <w:pPr>
        <w:pStyle w:val="ListParagraph"/>
        <w:numPr>
          <w:ilvl w:val="0"/>
          <w:numId w:val="4"/>
        </w:numPr>
        <w:spacing w:line="360" w:lineRule="auto"/>
        <w:jc w:val="both"/>
      </w:pPr>
      <w:r w:rsidRPr="00510617">
        <w:t>For “Chemical Input,” all 26 available chemical quick lists were selected.</w:t>
      </w:r>
    </w:p>
    <w:p w14:paraId="77AF6982" w14:textId="645DCCBB" w:rsidR="006D5DD9" w:rsidRPr="00510617" w:rsidRDefault="006D5DD9" w:rsidP="006D5DD9">
      <w:pPr>
        <w:pStyle w:val="ListParagraph"/>
        <w:numPr>
          <w:ilvl w:val="0"/>
          <w:numId w:val="4"/>
        </w:numPr>
        <w:spacing w:line="360" w:lineRule="auto"/>
        <w:jc w:val="both"/>
      </w:pPr>
      <w:r w:rsidRPr="00510617">
        <w:t xml:space="preserve">For “Datasets,” all </w:t>
      </w:r>
      <w:r w:rsidRPr="00510617">
        <w:rPr>
          <w:i/>
          <w:iCs/>
        </w:rPr>
        <w:t>in vivo</w:t>
      </w:r>
      <w:r w:rsidRPr="00510617">
        <w:t xml:space="preserve"> assays were included for each endpoint. Using skin sensitization as an example:</w:t>
      </w:r>
    </w:p>
    <w:p w14:paraId="21072B4B" w14:textId="17594CE3" w:rsidR="006D5DD9" w:rsidRPr="00510617" w:rsidRDefault="006D5DD9" w:rsidP="006D5DD9">
      <w:pPr>
        <w:pStyle w:val="ListParagraph"/>
        <w:numPr>
          <w:ilvl w:val="1"/>
          <w:numId w:val="4"/>
        </w:numPr>
        <w:spacing w:line="360" w:lineRule="auto"/>
        <w:jc w:val="both"/>
      </w:pPr>
      <w:r w:rsidRPr="00510617">
        <w:t xml:space="preserve"> Navigate to the sensitization tab and filter for “Murine Local Lymph Node Assay (LLNA).”</w:t>
      </w:r>
    </w:p>
    <w:p w14:paraId="7324AB1C" w14:textId="77777777" w:rsidR="006D5DD9" w:rsidRPr="00510617" w:rsidRDefault="006D5DD9" w:rsidP="006D5DD9">
      <w:pPr>
        <w:pStyle w:val="ListParagraph"/>
        <w:numPr>
          <w:ilvl w:val="0"/>
          <w:numId w:val="4"/>
        </w:numPr>
        <w:spacing w:line="360" w:lineRule="auto"/>
        <w:jc w:val="both"/>
      </w:pPr>
      <w:r w:rsidRPr="00510617">
        <w:t xml:space="preserve">Select “Run.” </w:t>
      </w:r>
    </w:p>
    <w:p w14:paraId="70A1DFB6" w14:textId="5AA36BCB" w:rsidR="006D5DD9" w:rsidRPr="00510617" w:rsidRDefault="006D5DD9" w:rsidP="006D5DD9">
      <w:pPr>
        <w:pStyle w:val="ListParagraph"/>
        <w:numPr>
          <w:ilvl w:val="1"/>
          <w:numId w:val="4"/>
        </w:numPr>
        <w:spacing w:line="360" w:lineRule="auto"/>
        <w:jc w:val="both"/>
      </w:pPr>
      <w:r w:rsidRPr="00510617">
        <w:t xml:space="preserve">In this example, 886 records were found for 322 unique substances. </w:t>
      </w:r>
    </w:p>
    <w:p w14:paraId="661663E2" w14:textId="77777777" w:rsidR="006D5DD9" w:rsidRPr="00510617" w:rsidRDefault="006D5DD9" w:rsidP="006D5DD9">
      <w:pPr>
        <w:pStyle w:val="ListParagraph"/>
        <w:numPr>
          <w:ilvl w:val="0"/>
          <w:numId w:val="4"/>
        </w:numPr>
        <w:spacing w:line="360" w:lineRule="auto"/>
        <w:jc w:val="both"/>
      </w:pPr>
      <w:r w:rsidRPr="00510617">
        <w:t xml:space="preserve">The file was exported, and the CASRN of the chemicals in ICE were cross-referenced with those in </w:t>
      </w:r>
      <w:proofErr w:type="spellStart"/>
      <w:r w:rsidRPr="00510617">
        <w:t>STopTox’s</w:t>
      </w:r>
      <w:proofErr w:type="spellEnd"/>
      <w:r w:rsidRPr="00510617">
        <w:t xml:space="preserve"> training set.</w:t>
      </w:r>
    </w:p>
    <w:p w14:paraId="50CF513D" w14:textId="77777777" w:rsidR="00463647" w:rsidRPr="00510617" w:rsidRDefault="006D5DD9" w:rsidP="006D5DD9">
      <w:pPr>
        <w:pStyle w:val="ListParagraph"/>
        <w:numPr>
          <w:ilvl w:val="1"/>
          <w:numId w:val="4"/>
        </w:numPr>
        <w:spacing w:line="360" w:lineRule="auto"/>
        <w:jc w:val="both"/>
      </w:pPr>
      <w:r w:rsidRPr="00510617">
        <w:t xml:space="preserve"> </w:t>
      </w:r>
      <w:r w:rsidR="00007B00" w:rsidRPr="00510617">
        <w:t>Duplicate</w:t>
      </w:r>
      <w:r w:rsidR="00064750" w:rsidRPr="00510617">
        <w:t xml:space="preserve"> chemicals or </w:t>
      </w:r>
      <w:r w:rsidR="00007B00" w:rsidRPr="00510617">
        <w:t>compounds missing SMILES were removed</w:t>
      </w:r>
      <w:r w:rsidR="000E4860" w:rsidRPr="00510617">
        <w:t>.</w:t>
      </w:r>
      <w:r w:rsidRPr="00510617">
        <w:t xml:space="preserve"> </w:t>
      </w:r>
    </w:p>
    <w:p w14:paraId="5D699876" w14:textId="09EF4A44" w:rsidR="006D5DD9" w:rsidRPr="00510617" w:rsidRDefault="006D5DD9" w:rsidP="006D5DD9">
      <w:pPr>
        <w:pStyle w:val="ListParagraph"/>
        <w:numPr>
          <w:ilvl w:val="1"/>
          <w:numId w:val="4"/>
        </w:numPr>
        <w:spacing w:line="360" w:lineRule="auto"/>
        <w:jc w:val="both"/>
      </w:pPr>
      <w:r w:rsidRPr="00510617">
        <w:t xml:space="preserve">The remaining compounds were </w:t>
      </w:r>
      <w:r w:rsidR="00E628F6" w:rsidRPr="00510617">
        <w:t>analyzed, and their hazard category predictions were performed</w:t>
      </w:r>
      <w:r w:rsidR="00463647" w:rsidRPr="00510617">
        <w:t xml:space="preserve"> using the </w:t>
      </w:r>
      <w:proofErr w:type="spellStart"/>
      <w:r w:rsidR="00463647" w:rsidRPr="00510617">
        <w:t>STopTox</w:t>
      </w:r>
      <w:proofErr w:type="spellEnd"/>
      <w:r w:rsidR="00463647" w:rsidRPr="00510617">
        <w:t xml:space="preserve"> web platform (</w:t>
      </w:r>
      <w:r w:rsidR="00463647" w:rsidRPr="00510617">
        <w:fldChar w:fldCharType="begin"/>
      </w:r>
      <w:ins w:id="1" w:author="Scheufen Tieghi, Ricardo (NIH/NIEHS) [F]" w:date="2025-02-27T18:36:00Z" w16du:dateUtc="2025-02-27T23:36:00Z">
        <w:r w:rsidR="00463647" w:rsidRPr="00510617">
          <w:instrText>HYPERLINK "</w:instrText>
        </w:r>
      </w:ins>
      <w:r w:rsidR="00463647" w:rsidRPr="00510617">
        <w:instrText>https://stoptox.mml.unc.edu/</w:instrText>
      </w:r>
      <w:ins w:id="2" w:author="Scheufen Tieghi, Ricardo (NIH/NIEHS) [F]" w:date="2025-02-27T18:36:00Z" w16du:dateUtc="2025-02-27T23:36:00Z">
        <w:r w:rsidR="00463647" w:rsidRPr="00510617">
          <w:instrText>"</w:instrText>
        </w:r>
      </w:ins>
      <w:r w:rsidR="00463647" w:rsidRPr="00510617">
        <w:fldChar w:fldCharType="separate"/>
      </w:r>
      <w:r w:rsidR="00463647" w:rsidRPr="00510617">
        <w:rPr>
          <w:rStyle w:val="Hyperlink"/>
        </w:rPr>
        <w:t>https://stoptox.mml.unc.edu/</w:t>
      </w:r>
      <w:r w:rsidR="00463647" w:rsidRPr="00510617">
        <w:fldChar w:fldCharType="end"/>
      </w:r>
      <w:r w:rsidR="00463647" w:rsidRPr="00510617">
        <w:t>, accessed February 2025)</w:t>
      </w:r>
      <w:r w:rsidR="00E628F6" w:rsidRPr="00510617">
        <w:t>.</w:t>
      </w:r>
      <w:r w:rsidR="00463647" w:rsidRPr="00510617">
        <w:t xml:space="preserve"> </w:t>
      </w:r>
      <w:r w:rsidR="00E628F6" w:rsidRPr="00510617">
        <w:t xml:space="preserve">The predictions were then </w:t>
      </w:r>
      <w:r w:rsidR="00463647" w:rsidRPr="00510617">
        <w:t xml:space="preserve">compared to </w:t>
      </w:r>
      <w:r w:rsidR="00E628F6" w:rsidRPr="00510617">
        <w:t xml:space="preserve">the original </w:t>
      </w:r>
      <w:r w:rsidR="00463647" w:rsidRPr="00510617">
        <w:rPr>
          <w:i/>
          <w:iCs/>
        </w:rPr>
        <w:t>in vivo</w:t>
      </w:r>
      <w:r w:rsidR="00463647" w:rsidRPr="00510617">
        <w:t xml:space="preserve"> outcome for</w:t>
      </w:r>
      <w:r w:rsidRPr="00510617">
        <w:t xml:space="preserve"> external validation.</w:t>
      </w:r>
    </w:p>
    <w:p w14:paraId="4CC691A7" w14:textId="4872D8B2" w:rsidR="006C6611" w:rsidRPr="00510617" w:rsidRDefault="00E628F6" w:rsidP="004751F3">
      <w:pPr>
        <w:pStyle w:val="ListParagraph"/>
        <w:numPr>
          <w:ilvl w:val="0"/>
          <w:numId w:val="4"/>
        </w:numPr>
        <w:spacing w:line="360" w:lineRule="auto"/>
        <w:jc w:val="both"/>
      </w:pPr>
      <w:r w:rsidRPr="00510617">
        <w:t xml:space="preserve">Steps 1-6 were repeated for all endpoints available in the </w:t>
      </w:r>
      <w:proofErr w:type="spellStart"/>
      <w:r w:rsidRPr="00510617">
        <w:t>SToptox</w:t>
      </w:r>
      <w:proofErr w:type="spellEnd"/>
      <w:r w:rsidRPr="00510617">
        <w:t xml:space="preserve"> Web platform.</w:t>
      </w:r>
    </w:p>
    <w:p w14:paraId="7061AB4F" w14:textId="77777777" w:rsidR="006C6611" w:rsidRPr="00510617" w:rsidRDefault="006C6611" w:rsidP="00890346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4912BCE0" w14:textId="25D951F1" w:rsidR="004751F3" w:rsidRPr="00510617" w:rsidRDefault="00CE33E2" w:rsidP="004751F3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510617">
        <w:rPr>
          <w:rFonts w:ascii="Times New Roman" w:hAnsi="Times New Roman" w:cs="Times New Roman"/>
          <w:b/>
          <w:bCs/>
          <w:i/>
          <w:iCs/>
        </w:rPr>
        <w:t>Endpoint-specific “dataset” filters used:</w:t>
      </w:r>
    </w:p>
    <w:p w14:paraId="1E99836E" w14:textId="7EC8FB93" w:rsidR="00CE33E2" w:rsidRPr="00510617" w:rsidRDefault="00CE33E2" w:rsidP="0074211C">
      <w:pPr>
        <w:pStyle w:val="ListParagraph"/>
        <w:numPr>
          <w:ilvl w:val="0"/>
          <w:numId w:val="6"/>
        </w:numPr>
        <w:spacing w:line="360" w:lineRule="auto"/>
      </w:pPr>
      <w:r w:rsidRPr="00510617">
        <w:t>Eye Irritation/Corrosion: “Rabbit Draize Skin Irritation/Corrosion Test”</w:t>
      </w:r>
    </w:p>
    <w:p w14:paraId="588521B9" w14:textId="49D3D5A7" w:rsidR="00CE33E2" w:rsidRPr="00510617" w:rsidRDefault="00CE33E2" w:rsidP="0074211C">
      <w:pPr>
        <w:pStyle w:val="ListParagraph"/>
        <w:numPr>
          <w:ilvl w:val="0"/>
          <w:numId w:val="6"/>
        </w:numPr>
        <w:spacing w:line="360" w:lineRule="auto"/>
        <w:jc w:val="both"/>
      </w:pPr>
      <w:r w:rsidRPr="00510617">
        <w:t>Skin Irritation/Corrosion: “Rabbit Draize Skin Irritation/Corrosion Test”</w:t>
      </w:r>
    </w:p>
    <w:p w14:paraId="25B7598A" w14:textId="55D58332" w:rsidR="00CE33E2" w:rsidRPr="00510617" w:rsidRDefault="00CE33E2" w:rsidP="0074211C">
      <w:pPr>
        <w:pStyle w:val="ListParagraph"/>
        <w:numPr>
          <w:ilvl w:val="0"/>
          <w:numId w:val="6"/>
        </w:numPr>
        <w:spacing w:line="360" w:lineRule="auto"/>
        <w:jc w:val="both"/>
      </w:pPr>
      <w:r w:rsidRPr="00510617">
        <w:t>Skin Sensitization: “Murine Local Lymph Node Assay (LLNA)”</w:t>
      </w:r>
    </w:p>
    <w:p w14:paraId="60C2F5B8" w14:textId="6004B788" w:rsidR="00CE33E2" w:rsidRPr="00510617" w:rsidRDefault="00CE33E2" w:rsidP="0074211C">
      <w:pPr>
        <w:pStyle w:val="ListParagraph"/>
        <w:numPr>
          <w:ilvl w:val="0"/>
          <w:numId w:val="6"/>
        </w:numPr>
        <w:spacing w:line="360" w:lineRule="auto"/>
        <w:jc w:val="both"/>
      </w:pPr>
      <w:r w:rsidRPr="00510617">
        <w:t>Acute Oral: “Rat Acute Oral Toxicity”</w:t>
      </w:r>
    </w:p>
    <w:p w14:paraId="1D64709F" w14:textId="32AFD08F" w:rsidR="00CE33E2" w:rsidRPr="00510617" w:rsidRDefault="00CE33E2" w:rsidP="0074211C">
      <w:pPr>
        <w:pStyle w:val="ListParagraph"/>
        <w:numPr>
          <w:ilvl w:val="0"/>
          <w:numId w:val="6"/>
        </w:numPr>
        <w:spacing w:line="360" w:lineRule="auto"/>
        <w:jc w:val="both"/>
      </w:pPr>
      <w:r w:rsidRPr="00510617">
        <w:t>Acute Dermal: “Rat Acute Dermal Toxicity”</w:t>
      </w:r>
    </w:p>
    <w:p w14:paraId="034C0FB2" w14:textId="0322AE0D" w:rsidR="00510617" w:rsidRPr="00510617" w:rsidRDefault="00CE33E2" w:rsidP="00510617">
      <w:pPr>
        <w:pStyle w:val="ListParagraph"/>
        <w:numPr>
          <w:ilvl w:val="0"/>
          <w:numId w:val="6"/>
        </w:numPr>
        <w:spacing w:line="360" w:lineRule="auto"/>
        <w:jc w:val="both"/>
      </w:pPr>
      <w:r w:rsidRPr="00510617">
        <w:t>Acute Inhalation: “Rat Acute Inhalation Toxicity”</w:t>
      </w:r>
    </w:p>
    <w:p w14:paraId="7E6ED005" w14:textId="3B520FBA" w:rsidR="00510617" w:rsidRPr="00510617" w:rsidRDefault="00510617" w:rsidP="0051061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510617">
        <w:rPr>
          <w:rFonts w:ascii="Times New Roman" w:hAnsi="Times New Roman" w:cs="Times New Roman"/>
          <w:b/>
          <w:bCs/>
          <w:i/>
          <w:iCs/>
        </w:rPr>
        <w:lastRenderedPageBreak/>
        <w:t xml:space="preserve">Model Benchmarking: </w:t>
      </w:r>
    </w:p>
    <w:p w14:paraId="059C46EB" w14:textId="4785AD64" w:rsidR="00510617" w:rsidRDefault="00510617" w:rsidP="00510617">
      <w:pPr>
        <w:pStyle w:val="ListParagraph"/>
        <w:numPr>
          <w:ilvl w:val="0"/>
          <w:numId w:val="10"/>
        </w:numPr>
        <w:spacing w:line="360" w:lineRule="auto"/>
        <w:jc w:val="both"/>
      </w:pPr>
      <w:r>
        <w:t>OECD QSAR Toolbox (</w:t>
      </w:r>
      <w:hyperlink r:id="rId13" w:history="1">
        <w:r w:rsidRPr="00067F90">
          <w:rPr>
            <w:rStyle w:val="Hyperlink"/>
          </w:rPr>
          <w:t>https://qsartoolbox.org/</w:t>
        </w:r>
      </w:hyperlink>
      <w:r>
        <w:t>, accessed February 2025, Version 4.7.1) was downloaded.</w:t>
      </w:r>
    </w:p>
    <w:p w14:paraId="043CB84B" w14:textId="6CE07EFA" w:rsidR="00510617" w:rsidRDefault="00510617" w:rsidP="00510617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SMILES lists were created using the same compounds that were outside the </w:t>
      </w:r>
      <w:proofErr w:type="spellStart"/>
      <w:r>
        <w:t>STopTox</w:t>
      </w:r>
      <w:proofErr w:type="spellEnd"/>
      <w:r>
        <w:t xml:space="preserve"> training set, available in the GitHub. </w:t>
      </w:r>
    </w:p>
    <w:p w14:paraId="308A7813" w14:textId="0A65ABD9" w:rsidR="00510617" w:rsidRDefault="00510617" w:rsidP="00510617">
      <w:pPr>
        <w:pStyle w:val="ListParagraph"/>
        <w:numPr>
          <w:ilvl w:val="0"/>
          <w:numId w:val="10"/>
        </w:numPr>
        <w:spacing w:line="360" w:lineRule="auto"/>
        <w:jc w:val="both"/>
      </w:pPr>
      <w:r>
        <w:t>The SMILES list for each endpoint was loaded into the standalone platform and predicted using the QSAR Toolbox models.</w:t>
      </w:r>
    </w:p>
    <w:p w14:paraId="01E21819" w14:textId="76A5CD70" w:rsidR="00510617" w:rsidRDefault="00510617" w:rsidP="00510617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gramStart"/>
      <w:r>
        <w:t>Models</w:t>
      </w:r>
      <w:proofErr w:type="gramEnd"/>
      <w:r>
        <w:t xml:space="preserve"> information: </w:t>
      </w:r>
    </w:p>
    <w:p w14:paraId="61159D95" w14:textId="6BF2E983" w:rsidR="00510617" w:rsidRDefault="00510617" w:rsidP="00510617">
      <w:pPr>
        <w:pStyle w:val="ListParagraph"/>
        <w:numPr>
          <w:ilvl w:val="1"/>
          <w:numId w:val="10"/>
        </w:numPr>
        <w:spacing w:line="360" w:lineRule="auto"/>
        <w:jc w:val="both"/>
      </w:pPr>
      <w:r>
        <w:t>Eye Irritation:</w:t>
      </w:r>
    </w:p>
    <w:p w14:paraId="392E6D20" w14:textId="2889A059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Test organisms (species): Rabbit</w:t>
      </w:r>
    </w:p>
    <w:p w14:paraId="451D37A5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Endpoint: Primary Irritation Index</w:t>
      </w:r>
    </w:p>
    <w:p w14:paraId="0CEC98AD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Type of method: in Vivo</w:t>
      </w:r>
    </w:p>
    <w:p w14:paraId="6BA9CF41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Prediction approach: QSAR</w:t>
      </w:r>
    </w:p>
    <w:p w14:paraId="3C5C0EE9" w14:textId="6C80E978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SAR/QSAR: Severe Skin Irritation in Rabbit - Danish QSAR DB CASE Ultra model"</w:t>
      </w:r>
    </w:p>
    <w:p w14:paraId="242ACD93" w14:textId="67D3DA02" w:rsidR="00510617" w:rsidRDefault="00510617" w:rsidP="00510617">
      <w:pPr>
        <w:pStyle w:val="ListParagraph"/>
        <w:numPr>
          <w:ilvl w:val="1"/>
          <w:numId w:val="10"/>
        </w:numPr>
        <w:spacing w:line="360" w:lineRule="auto"/>
        <w:jc w:val="both"/>
      </w:pPr>
      <w:r>
        <w:t>Skin Irritation/Corrosion:</w:t>
      </w:r>
    </w:p>
    <w:p w14:paraId="5D09CA6F" w14:textId="3A8BC206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Test organisms (species): Rabbit</w:t>
      </w:r>
    </w:p>
    <w:p w14:paraId="5BA7EEDF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Endpoint: Primary Irritation Index</w:t>
      </w:r>
    </w:p>
    <w:p w14:paraId="5483C617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Type of method: in Vivo</w:t>
      </w:r>
    </w:p>
    <w:p w14:paraId="5E533B77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Prediction approach: QSAR</w:t>
      </w:r>
    </w:p>
    <w:p w14:paraId="78596760" w14:textId="0F1F304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SAR/QSAR: Severe Skin Irritation in Rabbit - Danish QSAR DB battery model</w:t>
      </w:r>
    </w:p>
    <w:p w14:paraId="5DEBFEB4" w14:textId="20480027" w:rsidR="00510617" w:rsidRDefault="00510617" w:rsidP="00510617">
      <w:pPr>
        <w:pStyle w:val="ListParagraph"/>
        <w:numPr>
          <w:ilvl w:val="1"/>
          <w:numId w:val="10"/>
        </w:numPr>
        <w:spacing w:line="360" w:lineRule="auto"/>
        <w:jc w:val="both"/>
      </w:pPr>
      <w:r>
        <w:t>Skin Sensitization</w:t>
      </w:r>
    </w:p>
    <w:p w14:paraId="5B5B16D8" w14:textId="073F1D45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 xml:space="preserve">Endpoint: EC3 &lt;OR&gt; S M W N &lt;OR&gt; Skin </w:t>
      </w:r>
      <w:proofErr w:type="spellStart"/>
      <w:r>
        <w:t>sensitisation</w:t>
      </w:r>
      <w:proofErr w:type="spellEnd"/>
    </w:p>
    <w:p w14:paraId="50883568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Type of method: in Vivo</w:t>
      </w:r>
    </w:p>
    <w:p w14:paraId="1475C7ED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Assay: GPMT &lt;OR&gt; LLNA</w:t>
      </w:r>
    </w:p>
    <w:p w14:paraId="05838D38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 xml:space="preserve">Prediction approach: </w:t>
      </w:r>
    </w:p>
    <w:p w14:paraId="35E03E84" w14:textId="373855C4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SAR/QSAR: Skin sensitization for DASS</w:t>
      </w:r>
    </w:p>
    <w:p w14:paraId="055B9524" w14:textId="51C72CFC" w:rsidR="00510617" w:rsidRDefault="00510617" w:rsidP="00510617">
      <w:pPr>
        <w:pStyle w:val="ListParagraph"/>
        <w:numPr>
          <w:ilvl w:val="1"/>
          <w:numId w:val="10"/>
        </w:numPr>
        <w:spacing w:line="360" w:lineRule="auto"/>
        <w:jc w:val="both"/>
      </w:pPr>
      <w:r>
        <w:t>Acute oral:</w:t>
      </w:r>
    </w:p>
    <w:p w14:paraId="7F92FB51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Test organisms (species): Rat</w:t>
      </w:r>
    </w:p>
    <w:p w14:paraId="44C05FF7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Endpoint: LD50</w:t>
      </w:r>
    </w:p>
    <w:p w14:paraId="232E6538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lastRenderedPageBreak/>
        <w:t>Duration: 48 h</w:t>
      </w:r>
    </w:p>
    <w:p w14:paraId="45EDCAB1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Prediction approach: QSAR</w:t>
      </w:r>
    </w:p>
    <w:p w14:paraId="3D20E5FE" w14:textId="4E85CEBA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 xml:space="preserve">SAR/QSAR: Acute toxicity in Rat, Oral - Danish QSAR DB </w:t>
      </w:r>
      <w:proofErr w:type="spellStart"/>
      <w:r>
        <w:t>ACDLabs</w:t>
      </w:r>
      <w:proofErr w:type="spellEnd"/>
      <w:r>
        <w:t xml:space="preserve"> model</w:t>
      </w:r>
    </w:p>
    <w:p w14:paraId="47A2E7CF" w14:textId="64211B86" w:rsidR="00510617" w:rsidRPr="00510617" w:rsidRDefault="00510617" w:rsidP="00510617">
      <w:pPr>
        <w:pStyle w:val="ListParagraph"/>
        <w:numPr>
          <w:ilvl w:val="0"/>
          <w:numId w:val="10"/>
        </w:numPr>
        <w:spacing w:line="360" w:lineRule="auto"/>
        <w:jc w:val="both"/>
      </w:pPr>
      <w:r>
        <w:t>Predictions were compared to the or</w:t>
      </w:r>
      <w:r w:rsidR="007C3AD1">
        <w:t>i</w:t>
      </w:r>
      <w:r>
        <w:t>ginal calls assigned and evaluated using CCR, SE, SP, PPV, and NPV</w:t>
      </w:r>
      <w:r w:rsidR="000A30ED">
        <w:t xml:space="preserve"> formulas</w:t>
      </w:r>
      <w:r>
        <w:t>.</w:t>
      </w:r>
    </w:p>
    <w:sectPr w:rsidR="00510617" w:rsidRPr="0051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thor" w:date="2025-02-08T05:44:00Z" w:initials="A">
    <w:p w14:paraId="5485DF4B" w14:textId="77777777" w:rsidR="00FF1D00" w:rsidRDefault="00FF1D00" w:rsidP="00FF1D00">
      <w:pPr>
        <w:pStyle w:val="CommentText"/>
      </w:pPr>
      <w:r>
        <w:rPr>
          <w:rStyle w:val="CommentReference"/>
        </w:rPr>
        <w:annotationRef/>
      </w:r>
      <w:r>
        <w:t xml:space="preserve">Title revised to remove conclusions – please see editor comments regarding the term ‘novel’.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485DF4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E300F42" w16cex:dateUtc="2025-02-08T1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485DF4B" w16cid:durableId="7E300F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0D40"/>
    <w:multiLevelType w:val="hybridMultilevel"/>
    <w:tmpl w:val="C6D4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151F"/>
    <w:multiLevelType w:val="hybridMultilevel"/>
    <w:tmpl w:val="B2AA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5214"/>
    <w:multiLevelType w:val="hybridMultilevel"/>
    <w:tmpl w:val="0EC85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14845"/>
    <w:multiLevelType w:val="hybridMultilevel"/>
    <w:tmpl w:val="D2827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25CB3"/>
    <w:multiLevelType w:val="hybridMultilevel"/>
    <w:tmpl w:val="8E84D6A2"/>
    <w:lvl w:ilvl="0" w:tplc="84B47B8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57B04"/>
    <w:multiLevelType w:val="hybridMultilevel"/>
    <w:tmpl w:val="4DD44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23EAF"/>
    <w:multiLevelType w:val="hybridMultilevel"/>
    <w:tmpl w:val="3D508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1F25"/>
    <w:multiLevelType w:val="hybridMultilevel"/>
    <w:tmpl w:val="AD0A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2724F"/>
    <w:multiLevelType w:val="hybridMultilevel"/>
    <w:tmpl w:val="26F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84B2C"/>
    <w:multiLevelType w:val="hybridMultilevel"/>
    <w:tmpl w:val="0F2EA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947644">
    <w:abstractNumId w:val="5"/>
  </w:num>
  <w:num w:numId="2" w16cid:durableId="837229654">
    <w:abstractNumId w:val="6"/>
  </w:num>
  <w:num w:numId="3" w16cid:durableId="462238613">
    <w:abstractNumId w:val="9"/>
  </w:num>
  <w:num w:numId="4" w16cid:durableId="1012996761">
    <w:abstractNumId w:val="2"/>
  </w:num>
  <w:num w:numId="5" w16cid:durableId="168909488">
    <w:abstractNumId w:val="7"/>
  </w:num>
  <w:num w:numId="6" w16cid:durableId="292370808">
    <w:abstractNumId w:val="8"/>
  </w:num>
  <w:num w:numId="7" w16cid:durableId="1412310857">
    <w:abstractNumId w:val="1"/>
  </w:num>
  <w:num w:numId="8" w16cid:durableId="1033001174">
    <w:abstractNumId w:val="4"/>
  </w:num>
  <w:num w:numId="9" w16cid:durableId="1092555339">
    <w:abstractNumId w:val="3"/>
  </w:num>
  <w:num w:numId="10" w16cid:durableId="20887284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cheufen Tieghi, Ricardo (NIH/NIEHS) [F]">
    <w15:presenceInfo w15:providerId="AD" w15:userId="S::scheufentieghr2@nih.gov::50722ed5-0fe4-4c54-869c-fee23b91c4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00"/>
    <w:rsid w:val="00007B00"/>
    <w:rsid w:val="00016463"/>
    <w:rsid w:val="00064750"/>
    <w:rsid w:val="000A30ED"/>
    <w:rsid w:val="000E4860"/>
    <w:rsid w:val="00162C88"/>
    <w:rsid w:val="0023389A"/>
    <w:rsid w:val="00392E6C"/>
    <w:rsid w:val="00463647"/>
    <w:rsid w:val="004751F3"/>
    <w:rsid w:val="004C1819"/>
    <w:rsid w:val="004F0D98"/>
    <w:rsid w:val="004F6072"/>
    <w:rsid w:val="004F71EF"/>
    <w:rsid w:val="00510617"/>
    <w:rsid w:val="006427F2"/>
    <w:rsid w:val="006B0D41"/>
    <w:rsid w:val="006C6611"/>
    <w:rsid w:val="006D5DD9"/>
    <w:rsid w:val="00737322"/>
    <w:rsid w:val="0074211C"/>
    <w:rsid w:val="007C3AD1"/>
    <w:rsid w:val="007E61DF"/>
    <w:rsid w:val="007F7EFA"/>
    <w:rsid w:val="0081068F"/>
    <w:rsid w:val="00813E9C"/>
    <w:rsid w:val="008173BA"/>
    <w:rsid w:val="008642FB"/>
    <w:rsid w:val="00881A9F"/>
    <w:rsid w:val="00890346"/>
    <w:rsid w:val="008933A2"/>
    <w:rsid w:val="008B475A"/>
    <w:rsid w:val="00915822"/>
    <w:rsid w:val="0094615C"/>
    <w:rsid w:val="00BA72B1"/>
    <w:rsid w:val="00CE33E2"/>
    <w:rsid w:val="00D364CC"/>
    <w:rsid w:val="00E628F6"/>
    <w:rsid w:val="00FC2CAE"/>
    <w:rsid w:val="00FF1D00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5E745"/>
  <w15:chartTrackingRefBased/>
  <w15:docId w15:val="{883C6864-D038-3D46-B632-A7C3EC55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D00"/>
    <w:pPr>
      <w:spacing w:after="160" w:line="279" w:lineRule="auto"/>
    </w:pPr>
    <w:rPr>
      <w:rFonts w:asciiTheme="minorHAnsi" w:eastAsiaTheme="minorEastAsia" w:hAnsiTheme="minorHAnsi" w:cstheme="minorBidi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D00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D00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D00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D00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D00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D00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D00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D00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D00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D0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D0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D0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D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D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D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D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F1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D00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F1D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D00"/>
    <w:pPr>
      <w:spacing w:before="160" w:line="240" w:lineRule="auto"/>
      <w:jc w:val="center"/>
    </w:pPr>
    <w:rPr>
      <w:rFonts w:ascii="Times New Roman" w:eastAsiaTheme="minorHAnsi" w:hAnsi="Times New Roman" w:cs="Times New Roman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FF1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D00"/>
    <w:pPr>
      <w:spacing w:after="0" w:line="240" w:lineRule="auto"/>
      <w:ind w:left="720"/>
      <w:contextualSpacing/>
    </w:pPr>
    <w:rPr>
      <w:rFonts w:ascii="Times New Roman" w:eastAsiaTheme="minorHAnsi" w:hAnsi="Times New Roman" w:cs="Times New Roman"/>
      <w:lang w:eastAsia="en-US"/>
    </w:rPr>
  </w:style>
  <w:style w:type="character" w:styleId="IntenseEmphasis">
    <w:name w:val="Intense Emphasis"/>
    <w:basedOn w:val="DefaultParagraphFont"/>
    <w:uiPriority w:val="21"/>
    <w:qFormat/>
    <w:rsid w:val="00FF1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 w:cs="Times New Roman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D00"/>
    <w:rPr>
      <w:b/>
      <w:bCs/>
      <w:smallCaps/>
      <w:color w:val="0F4761" w:themeColor="accent1" w:themeShade="BF"/>
      <w:spacing w:val="5"/>
    </w:rPr>
  </w:style>
  <w:style w:type="paragraph" w:customStyle="1" w:styleId="TAMainText">
    <w:name w:val="TA_Main_Text"/>
    <w:basedOn w:val="Normal"/>
    <w:link w:val="TAMainTextChar"/>
    <w:rsid w:val="00FF1D00"/>
    <w:pPr>
      <w:spacing w:line="480" w:lineRule="auto"/>
      <w:ind w:firstLine="202"/>
      <w:jc w:val="both"/>
    </w:pPr>
    <w:rPr>
      <w:lang w:val="pt-BR" w:eastAsia="en-US"/>
    </w:rPr>
  </w:style>
  <w:style w:type="character" w:customStyle="1" w:styleId="TAMainTextChar">
    <w:name w:val="TA_Main_Text Char"/>
    <w:basedOn w:val="DefaultParagraphFont"/>
    <w:link w:val="TAMainText"/>
    <w:rsid w:val="00FF1D00"/>
    <w:rPr>
      <w:rFonts w:asciiTheme="minorHAnsi" w:eastAsiaTheme="minorEastAsia" w:hAnsiTheme="minorHAnsi" w:cstheme="minorBidi"/>
      <w:lang w:val="pt-BR"/>
    </w:rPr>
  </w:style>
  <w:style w:type="character" w:styleId="Hyperlink">
    <w:name w:val="Hyperlink"/>
    <w:basedOn w:val="DefaultParagraphFont"/>
    <w:uiPriority w:val="99"/>
    <w:unhideWhenUsed/>
    <w:rsid w:val="00FF1D00"/>
    <w:rPr>
      <w:color w:val="467886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FF1D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1D00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F1D00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F1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D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qsartoolbox.org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ice.ntp.niehs.nih.gov/DATASETDESCRIP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mailto:murik@email.unc.edu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hyperlink" Target="mailto:alex_tropsha@un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cole.kleinstreuer@nih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Scheufen Tieghi, Ricardo (NIH/NIEHS) [F]</dc:creator>
  <cp:keywords/>
  <dc:description/>
  <cp:lastModifiedBy>Scheufen Tieghi, Ricardo (NIH/NIEHS) [F]</cp:lastModifiedBy>
  <cp:revision>41</cp:revision>
  <dcterms:created xsi:type="dcterms:W3CDTF">2025-02-25T20:10:00Z</dcterms:created>
  <dcterms:modified xsi:type="dcterms:W3CDTF">2025-03-02T04:22:00Z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zotero-version="7.0.9"&gt;&lt;session id="eqoryGVf"/&gt;&lt;style id="http://www.zotero.org/styles/american-chemical-society" hasBibliography="1" bibliographyStyleHasBeenSet="0"/&gt;&lt;prefs&gt;&lt;pref name="fieldType" value="Field"/&gt;&lt;pref name="automati</vt:lpwstr>
  </property>
  <property fmtid="{D5CDD505-2E9C-101B-9397-08002B2CF9AE}" pid="3" name="ZOTERO_PREF_2">
    <vt:lpwstr>cJournalAbbreviations" value="true"/&gt;&lt;/prefs&gt;&lt;/data&gt;</vt:lpwstr>
  </property>
</Properties>
</file>