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091" w:rsidRPr="004A22DD" w:rsidRDefault="004E1903" w:rsidP="00F52917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4A22DD">
        <w:rPr>
          <w:rFonts w:ascii="Times New Roman" w:hAnsiTheme="minorEastAsia" w:cs="Times New Roman"/>
          <w:szCs w:val="21"/>
          <w:shd w:val="clear" w:color="auto" w:fill="FFFFFF"/>
        </w:rPr>
        <w:t>田立达</w:t>
      </w:r>
      <w:r w:rsidRPr="004A22DD">
        <w:rPr>
          <w:rFonts w:ascii="Times New Roman" w:hAnsi="Times New Roman" w:cs="Times New Roman"/>
          <w:szCs w:val="21"/>
          <w:shd w:val="clear" w:color="auto" w:fill="FFFFFF"/>
        </w:rPr>
        <w:t xml:space="preserve">, </w:t>
      </w:r>
      <w:r w:rsidRPr="004A22DD">
        <w:rPr>
          <w:rFonts w:ascii="Times New Roman" w:hAnsiTheme="minorEastAsia" w:cs="Times New Roman"/>
          <w:szCs w:val="21"/>
          <w:shd w:val="clear" w:color="auto" w:fill="FFFFFF"/>
        </w:rPr>
        <w:t>沈本贤</w:t>
      </w:r>
      <w:r w:rsidRPr="004A22DD">
        <w:rPr>
          <w:rFonts w:ascii="Times New Roman" w:hAnsi="Times New Roman" w:cs="Times New Roman"/>
          <w:szCs w:val="21"/>
          <w:shd w:val="clear" w:color="auto" w:fill="FFFFFF"/>
        </w:rPr>
        <w:t xml:space="preserve">, </w:t>
      </w:r>
      <w:r w:rsidRPr="004A22DD">
        <w:rPr>
          <w:rFonts w:ascii="Times New Roman" w:hAnsiTheme="minorEastAsia" w:cs="Times New Roman"/>
          <w:szCs w:val="21"/>
          <w:shd w:val="clear" w:color="auto" w:fill="FFFFFF"/>
        </w:rPr>
        <w:t>刘纪昌</w:t>
      </w:r>
      <w:r w:rsidRPr="004A22DD">
        <w:rPr>
          <w:rFonts w:ascii="Times New Roman" w:hAnsi="Times New Roman" w:cs="Times New Roman"/>
          <w:szCs w:val="21"/>
          <w:shd w:val="clear" w:color="auto" w:fill="FFFFFF"/>
        </w:rPr>
        <w:t xml:space="preserve">. </w:t>
      </w:r>
      <w:r w:rsidRPr="004A22DD">
        <w:rPr>
          <w:rFonts w:ascii="Times New Roman" w:hAnsiTheme="minorEastAsia" w:cs="Times New Roman"/>
          <w:szCs w:val="21"/>
          <w:shd w:val="clear" w:color="auto" w:fill="FFFFFF"/>
        </w:rPr>
        <w:t>一种基于结构导向集总的延迟焦化动力学模型</w:t>
      </w:r>
      <w:r w:rsidRPr="004A22DD">
        <w:rPr>
          <w:rFonts w:ascii="Times New Roman" w:hAnsi="Times New Roman" w:cs="Times New Roman"/>
          <w:szCs w:val="21"/>
          <w:shd w:val="clear" w:color="auto" w:fill="FFFFFF"/>
        </w:rPr>
        <w:t xml:space="preserve">[J]. </w:t>
      </w:r>
      <w:r w:rsidRPr="004A22DD">
        <w:rPr>
          <w:rFonts w:ascii="Times New Roman" w:hAnsiTheme="minorEastAsia" w:cs="Times New Roman"/>
          <w:szCs w:val="21"/>
          <w:shd w:val="clear" w:color="auto" w:fill="FFFFFF"/>
        </w:rPr>
        <w:t>石化技术与应用</w:t>
      </w:r>
      <w:r w:rsidRPr="004A22DD">
        <w:rPr>
          <w:rFonts w:ascii="Times New Roman" w:hAnsi="Times New Roman" w:cs="Times New Roman"/>
          <w:szCs w:val="21"/>
          <w:shd w:val="clear" w:color="auto" w:fill="FFFFFF"/>
        </w:rPr>
        <w:t>, 2012, 30(4):285-293.</w:t>
      </w:r>
    </w:p>
    <w:p w:rsidR="004E1903" w:rsidRDefault="004E1903" w:rsidP="00F52917">
      <w:pPr>
        <w:rPr>
          <w:rFonts w:ascii="Times New Roman" w:hAnsi="Times New Roman" w:cs="Times New Roman"/>
          <w:szCs w:val="21"/>
          <w:shd w:val="clear" w:color="auto" w:fill="FFFFFF"/>
        </w:rPr>
      </w:pPr>
      <w:r w:rsidRPr="004A22DD">
        <w:rPr>
          <w:rFonts w:ascii="Times New Roman" w:hAnsiTheme="minorEastAsia" w:cs="Times New Roman"/>
          <w:szCs w:val="21"/>
          <w:shd w:val="clear" w:color="auto" w:fill="FFFFFF"/>
        </w:rPr>
        <w:t>摘要：采用</w:t>
      </w:r>
      <w:r w:rsidRPr="004A22DD">
        <w:rPr>
          <w:rFonts w:ascii="Times New Roman" w:hAnsi="Times New Roman" w:cs="Times New Roman"/>
          <w:szCs w:val="21"/>
          <w:shd w:val="clear" w:color="auto" w:fill="FFFFFF"/>
        </w:rPr>
        <w:t>22</w:t>
      </w:r>
      <w:r w:rsidRPr="004A22DD">
        <w:rPr>
          <w:rFonts w:ascii="Times New Roman" w:hAnsiTheme="minorEastAsia" w:cs="Times New Roman"/>
          <w:szCs w:val="21"/>
          <w:shd w:val="clear" w:color="auto" w:fill="FFFFFF"/>
        </w:rPr>
        <w:t>个新结构向量描述渣油分子</w:t>
      </w:r>
      <w:r w:rsidRPr="004A22DD">
        <w:rPr>
          <w:rFonts w:ascii="Times New Roman" w:hAnsi="Times New Roman" w:cs="Times New Roman"/>
          <w:szCs w:val="21"/>
          <w:shd w:val="clear" w:color="auto" w:fill="FFFFFF"/>
        </w:rPr>
        <w:t>,</w:t>
      </w:r>
      <w:r w:rsidRPr="004A22DD">
        <w:rPr>
          <w:rFonts w:ascii="Times New Roman" w:hAnsiTheme="minorEastAsia" w:cs="Times New Roman"/>
          <w:szCs w:val="21"/>
          <w:shd w:val="clear" w:color="auto" w:fill="FFFFFF"/>
        </w:rPr>
        <w:t>构建了</w:t>
      </w:r>
      <w:r w:rsidRPr="004A22DD">
        <w:rPr>
          <w:rFonts w:ascii="Times New Roman" w:hAnsi="Times New Roman" w:cs="Times New Roman"/>
          <w:szCs w:val="21"/>
          <w:shd w:val="clear" w:color="auto" w:fill="FFFFFF"/>
        </w:rPr>
        <w:t>7 004</w:t>
      </w:r>
      <w:r w:rsidRPr="004A22DD">
        <w:rPr>
          <w:rFonts w:ascii="Times New Roman" w:hAnsiTheme="minorEastAsia" w:cs="Times New Roman"/>
          <w:szCs w:val="21"/>
          <w:shd w:val="clear" w:color="auto" w:fill="FFFFFF"/>
        </w:rPr>
        <w:t>种渣油分子集总</w:t>
      </w:r>
      <w:r w:rsidRPr="004A22DD">
        <w:rPr>
          <w:rFonts w:ascii="Times New Roman" w:hAnsi="Times New Roman" w:cs="Times New Roman"/>
          <w:szCs w:val="21"/>
          <w:shd w:val="clear" w:color="auto" w:fill="FFFFFF"/>
        </w:rPr>
        <w:t>,</w:t>
      </w:r>
      <w:r w:rsidRPr="004A22DD">
        <w:rPr>
          <w:rFonts w:ascii="Times New Roman" w:hAnsiTheme="minorEastAsia" w:cs="Times New Roman"/>
          <w:szCs w:val="21"/>
          <w:shd w:val="clear" w:color="auto" w:fill="FFFFFF"/>
        </w:rPr>
        <w:t>结合模拟退火算法提出了一种模拟计算渣油分子组成的方法</w:t>
      </w:r>
      <w:r w:rsidRPr="004A22DD">
        <w:rPr>
          <w:rFonts w:ascii="Times New Roman" w:hAnsi="Times New Roman" w:cs="Times New Roman"/>
          <w:szCs w:val="21"/>
          <w:shd w:val="clear" w:color="auto" w:fill="FFFFFF"/>
        </w:rPr>
        <w:t>.</w:t>
      </w:r>
      <w:r w:rsidRPr="004A22DD">
        <w:rPr>
          <w:rFonts w:ascii="Times New Roman" w:hAnsiTheme="minorEastAsia" w:cs="Times New Roman"/>
          <w:szCs w:val="21"/>
          <w:shd w:val="clear" w:color="auto" w:fill="FFFFFF"/>
        </w:rPr>
        <w:t>制定了</w:t>
      </w:r>
      <w:r w:rsidRPr="00F70141">
        <w:rPr>
          <w:rFonts w:ascii="Times New Roman" w:hAnsi="Times New Roman" w:cs="Times New Roman"/>
          <w:color w:val="FF0000"/>
          <w:szCs w:val="21"/>
          <w:shd w:val="clear" w:color="auto" w:fill="FFFFFF"/>
        </w:rPr>
        <w:t>92</w:t>
      </w:r>
      <w:r w:rsidRPr="00F70141">
        <w:rPr>
          <w:rFonts w:ascii="Times New Roman" w:hAnsiTheme="minorEastAsia" w:cs="Times New Roman"/>
          <w:color w:val="FF0000"/>
          <w:szCs w:val="21"/>
          <w:shd w:val="clear" w:color="auto" w:fill="FFFFFF"/>
        </w:rPr>
        <w:t>条反应规则</w:t>
      </w:r>
      <w:r w:rsidRPr="004A22DD">
        <w:rPr>
          <w:rFonts w:ascii="Times New Roman" w:hAnsiTheme="minorEastAsia" w:cs="Times New Roman"/>
          <w:szCs w:val="21"/>
          <w:shd w:val="clear" w:color="auto" w:fill="FFFFFF"/>
        </w:rPr>
        <w:t>用以描述渣油延迟焦化的分子反应行为</w:t>
      </w:r>
      <w:r w:rsidRPr="004A22DD">
        <w:rPr>
          <w:rFonts w:ascii="Times New Roman" w:hAnsi="Times New Roman" w:cs="Times New Roman"/>
          <w:szCs w:val="21"/>
          <w:shd w:val="clear" w:color="auto" w:fill="FFFFFF"/>
        </w:rPr>
        <w:t>.</w:t>
      </w:r>
      <w:r w:rsidRPr="004A22DD">
        <w:rPr>
          <w:rFonts w:ascii="Times New Roman" w:hAnsiTheme="minorEastAsia" w:cs="Times New Roman"/>
          <w:szCs w:val="21"/>
          <w:shd w:val="clear" w:color="auto" w:fill="FFFFFF"/>
        </w:rPr>
        <w:t>在对工业化延</w:t>
      </w:r>
      <w:r w:rsidRPr="004A22DD"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r w:rsidRPr="004A22DD">
        <w:rPr>
          <w:rFonts w:ascii="Times New Roman" w:hAnsiTheme="minorEastAsia" w:cs="Times New Roman"/>
          <w:szCs w:val="21"/>
          <w:shd w:val="clear" w:color="auto" w:fill="FFFFFF"/>
        </w:rPr>
        <w:t>迟焦化工艺进行一定程度简化和假设的基础上</w:t>
      </w:r>
      <w:r w:rsidRPr="004A22DD">
        <w:rPr>
          <w:rFonts w:ascii="Times New Roman" w:hAnsi="Times New Roman" w:cs="Times New Roman"/>
          <w:szCs w:val="21"/>
          <w:shd w:val="clear" w:color="auto" w:fill="FFFFFF"/>
        </w:rPr>
        <w:t>,</w:t>
      </w:r>
      <w:r w:rsidRPr="004A22DD">
        <w:rPr>
          <w:rFonts w:ascii="Times New Roman" w:hAnsiTheme="minorEastAsia" w:cs="Times New Roman"/>
          <w:szCs w:val="21"/>
          <w:shd w:val="clear" w:color="auto" w:fill="FFFFFF"/>
        </w:rPr>
        <w:t>建立了一个用以</w:t>
      </w:r>
      <w:r w:rsidRPr="00371B70">
        <w:rPr>
          <w:rFonts w:ascii="Times New Roman" w:hAnsiTheme="minorEastAsia" w:cs="Times New Roman"/>
          <w:color w:val="FF0000"/>
          <w:szCs w:val="21"/>
          <w:shd w:val="clear" w:color="auto" w:fill="FFFFFF"/>
        </w:rPr>
        <w:t>预测延迟焦化产物分布</w:t>
      </w:r>
      <w:r w:rsidRPr="004A22DD">
        <w:rPr>
          <w:rFonts w:ascii="Times New Roman" w:hAnsiTheme="minorEastAsia" w:cs="Times New Roman"/>
          <w:szCs w:val="21"/>
          <w:shd w:val="clear" w:color="auto" w:fill="FFFFFF"/>
        </w:rPr>
        <w:t>的结构导向集总模型</w:t>
      </w:r>
      <w:r w:rsidRPr="004A22DD">
        <w:rPr>
          <w:rFonts w:ascii="Times New Roman" w:hAnsi="Times New Roman" w:cs="Times New Roman"/>
          <w:szCs w:val="21"/>
          <w:shd w:val="clear" w:color="auto" w:fill="FFFFFF"/>
        </w:rPr>
        <w:t>.</w:t>
      </w:r>
      <w:r w:rsidRPr="004A22DD">
        <w:rPr>
          <w:rFonts w:ascii="Times New Roman" w:hAnsiTheme="minorEastAsia" w:cs="Times New Roman"/>
          <w:szCs w:val="21"/>
          <w:shd w:val="clear" w:color="auto" w:fill="FFFFFF"/>
        </w:rPr>
        <w:t>比对模型预测结果与小试试验结果发现</w:t>
      </w:r>
      <w:r w:rsidRPr="004A22DD">
        <w:rPr>
          <w:rFonts w:ascii="Times New Roman" w:hAnsi="Times New Roman" w:cs="Times New Roman"/>
          <w:szCs w:val="21"/>
          <w:shd w:val="clear" w:color="auto" w:fill="FFFFFF"/>
        </w:rPr>
        <w:t>,</w:t>
      </w:r>
      <w:r w:rsidRPr="004A22DD">
        <w:rPr>
          <w:rFonts w:ascii="Times New Roman" w:hAnsiTheme="minorEastAsia" w:cs="Times New Roman"/>
          <w:szCs w:val="21"/>
          <w:shd w:val="clear" w:color="auto" w:fill="FFFFFF"/>
        </w:rPr>
        <w:t>用建立的模型</w:t>
      </w:r>
      <w:r w:rsidRPr="004A22DD"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r w:rsidRPr="004A22DD">
        <w:rPr>
          <w:rFonts w:ascii="Times New Roman" w:hAnsiTheme="minorEastAsia" w:cs="Times New Roman"/>
          <w:szCs w:val="21"/>
          <w:shd w:val="clear" w:color="auto" w:fill="FFFFFF"/>
        </w:rPr>
        <w:t>预测不同原料在不同工艺条件下的延迟焦化产物分布可靠性较好</w:t>
      </w:r>
      <w:r w:rsidRPr="004A22DD">
        <w:rPr>
          <w:rFonts w:ascii="Times New Roman" w:hAnsi="Times New Roman" w:cs="Times New Roman"/>
          <w:szCs w:val="21"/>
          <w:shd w:val="clear" w:color="auto" w:fill="FFFFFF"/>
        </w:rPr>
        <w:t>.</w:t>
      </w:r>
      <w:r w:rsidRPr="004A22DD">
        <w:rPr>
          <w:rFonts w:ascii="Times New Roman" w:hAnsiTheme="minorEastAsia" w:cs="Times New Roman"/>
          <w:szCs w:val="21"/>
          <w:shd w:val="clear" w:color="auto" w:fill="FFFFFF"/>
        </w:rPr>
        <w:t>模型计算结果表明</w:t>
      </w:r>
      <w:r w:rsidRPr="004A22DD">
        <w:rPr>
          <w:rFonts w:ascii="Times New Roman" w:hAnsi="Times New Roman" w:cs="Times New Roman"/>
          <w:szCs w:val="21"/>
          <w:shd w:val="clear" w:color="auto" w:fill="FFFFFF"/>
        </w:rPr>
        <w:t>,</w:t>
      </w:r>
      <w:r w:rsidRPr="004A22DD">
        <w:rPr>
          <w:rFonts w:ascii="Times New Roman" w:hAnsiTheme="minorEastAsia" w:cs="Times New Roman"/>
          <w:szCs w:val="21"/>
          <w:shd w:val="clear" w:color="auto" w:fill="FFFFFF"/>
        </w:rPr>
        <w:t>焦化温度上升</w:t>
      </w:r>
      <w:r w:rsidRPr="004A22DD">
        <w:rPr>
          <w:rFonts w:ascii="Times New Roman" w:hAnsi="Times New Roman" w:cs="Times New Roman"/>
          <w:szCs w:val="21"/>
          <w:shd w:val="clear" w:color="auto" w:fill="FFFFFF"/>
        </w:rPr>
        <w:t>10</w:t>
      </w:r>
      <w:r w:rsidRPr="004A22DD">
        <w:rPr>
          <w:rFonts w:ascii="Times New Roman" w:hAnsiTheme="minorEastAsia" w:cs="Times New Roman"/>
          <w:szCs w:val="21"/>
          <w:shd w:val="clear" w:color="auto" w:fill="FFFFFF"/>
        </w:rPr>
        <w:t>℃</w:t>
      </w:r>
      <w:r w:rsidRPr="004A22DD">
        <w:rPr>
          <w:rFonts w:ascii="Times New Roman" w:hAnsi="Times New Roman" w:cs="Times New Roman"/>
          <w:szCs w:val="21"/>
          <w:shd w:val="clear" w:color="auto" w:fill="FFFFFF"/>
        </w:rPr>
        <w:t>,</w:t>
      </w:r>
      <w:r w:rsidRPr="004A22DD">
        <w:rPr>
          <w:rFonts w:ascii="Times New Roman" w:hAnsiTheme="minorEastAsia" w:cs="Times New Roman"/>
          <w:szCs w:val="21"/>
          <w:shd w:val="clear" w:color="auto" w:fill="FFFFFF"/>
        </w:rPr>
        <w:t>液体收率平均提高</w:t>
      </w:r>
      <w:r w:rsidRPr="004A22DD">
        <w:rPr>
          <w:rFonts w:ascii="Times New Roman" w:hAnsi="Times New Roman" w:cs="Times New Roman"/>
          <w:szCs w:val="21"/>
          <w:shd w:val="clear" w:color="auto" w:fill="FFFFFF"/>
        </w:rPr>
        <w:t>2.5</w:t>
      </w:r>
      <w:r w:rsidRPr="004A22DD">
        <w:rPr>
          <w:rFonts w:ascii="Times New Roman" w:hAnsiTheme="minorEastAsia" w:cs="Times New Roman"/>
          <w:szCs w:val="21"/>
          <w:shd w:val="clear" w:color="auto" w:fill="FFFFFF"/>
        </w:rPr>
        <w:t>个百分点</w:t>
      </w:r>
      <w:r w:rsidRPr="004A22DD">
        <w:rPr>
          <w:rFonts w:ascii="Times New Roman" w:hAnsi="Times New Roman" w:cs="Times New Roman"/>
          <w:szCs w:val="21"/>
          <w:shd w:val="clear" w:color="auto" w:fill="FFFFFF"/>
        </w:rPr>
        <w:t>,</w:t>
      </w:r>
      <w:r w:rsidRPr="004A22DD">
        <w:rPr>
          <w:rFonts w:ascii="Times New Roman" w:hAnsiTheme="minorEastAsia" w:cs="Times New Roman"/>
          <w:szCs w:val="21"/>
          <w:shd w:val="clear" w:color="auto" w:fill="FFFFFF"/>
        </w:rPr>
        <w:t>相当于原料</w:t>
      </w:r>
      <w:r w:rsidRPr="004A22DD">
        <w:rPr>
          <w:rFonts w:ascii="Times New Roman" w:hAnsi="Times New Roman" w:cs="Times New Roman"/>
          <w:szCs w:val="21"/>
          <w:shd w:val="clear" w:color="auto" w:fill="FFFFFF"/>
        </w:rPr>
        <w:t xml:space="preserve"> n(H)/n(C)</w:t>
      </w:r>
      <w:r w:rsidRPr="004A22DD">
        <w:rPr>
          <w:rFonts w:ascii="Times New Roman" w:hAnsiTheme="minorEastAsia" w:cs="Times New Roman"/>
          <w:szCs w:val="21"/>
          <w:shd w:val="clear" w:color="auto" w:fill="FFFFFF"/>
        </w:rPr>
        <w:t>提高</w:t>
      </w:r>
      <w:r w:rsidRPr="004A22DD">
        <w:rPr>
          <w:rFonts w:ascii="Times New Roman" w:hAnsi="Times New Roman" w:cs="Times New Roman"/>
          <w:szCs w:val="21"/>
          <w:shd w:val="clear" w:color="auto" w:fill="FFFFFF"/>
        </w:rPr>
        <w:t>0.15;</w:t>
      </w:r>
      <w:r w:rsidRPr="004A22DD">
        <w:rPr>
          <w:rFonts w:ascii="Times New Roman" w:hAnsiTheme="minorEastAsia" w:cs="Times New Roman"/>
          <w:szCs w:val="21"/>
          <w:shd w:val="clear" w:color="auto" w:fill="FFFFFF"/>
        </w:rPr>
        <w:t>循环比下降</w:t>
      </w:r>
      <w:r w:rsidRPr="004A22DD">
        <w:rPr>
          <w:rFonts w:ascii="Times New Roman" w:hAnsi="Times New Roman" w:cs="Times New Roman"/>
          <w:szCs w:val="21"/>
          <w:shd w:val="clear" w:color="auto" w:fill="FFFFFF"/>
        </w:rPr>
        <w:t>0.15,</w:t>
      </w:r>
      <w:r w:rsidRPr="004A22DD">
        <w:rPr>
          <w:rFonts w:ascii="Times New Roman" w:hAnsiTheme="minorEastAsia" w:cs="Times New Roman"/>
          <w:szCs w:val="21"/>
          <w:shd w:val="clear" w:color="auto" w:fill="FFFFFF"/>
        </w:rPr>
        <w:t>液体收率平均提高</w:t>
      </w:r>
      <w:r w:rsidRPr="004A22DD">
        <w:rPr>
          <w:rFonts w:ascii="Times New Roman" w:hAnsi="Times New Roman" w:cs="Times New Roman"/>
          <w:szCs w:val="21"/>
          <w:shd w:val="clear" w:color="auto" w:fill="FFFFFF"/>
        </w:rPr>
        <w:t>3.5</w:t>
      </w:r>
      <w:r w:rsidRPr="004A22DD">
        <w:rPr>
          <w:rFonts w:ascii="Times New Roman" w:hAnsiTheme="minorEastAsia" w:cs="Times New Roman"/>
          <w:szCs w:val="21"/>
          <w:shd w:val="clear" w:color="auto" w:fill="FFFFFF"/>
        </w:rPr>
        <w:t>个百分点</w:t>
      </w:r>
      <w:r w:rsidRPr="004A22DD">
        <w:rPr>
          <w:rFonts w:ascii="Times New Roman" w:hAnsi="Times New Roman" w:cs="Times New Roman"/>
          <w:szCs w:val="21"/>
          <w:shd w:val="clear" w:color="auto" w:fill="FFFFFF"/>
        </w:rPr>
        <w:t>,</w:t>
      </w:r>
      <w:r w:rsidRPr="004A22DD">
        <w:rPr>
          <w:rFonts w:ascii="Times New Roman" w:hAnsiTheme="minorEastAsia" w:cs="Times New Roman"/>
          <w:szCs w:val="21"/>
          <w:shd w:val="clear" w:color="auto" w:fill="FFFFFF"/>
        </w:rPr>
        <w:t>相当于原料残炭值下降</w:t>
      </w:r>
      <w:r w:rsidRPr="004A22DD">
        <w:rPr>
          <w:rFonts w:ascii="Times New Roman" w:hAnsi="Times New Roman" w:cs="Times New Roman"/>
          <w:szCs w:val="21"/>
          <w:shd w:val="clear" w:color="auto" w:fill="FFFFFF"/>
        </w:rPr>
        <w:t>5</w:t>
      </w:r>
      <w:r w:rsidRPr="004A22DD">
        <w:rPr>
          <w:rFonts w:ascii="Times New Roman" w:hAnsiTheme="minorEastAsia" w:cs="Times New Roman"/>
          <w:szCs w:val="21"/>
          <w:shd w:val="clear" w:color="auto" w:fill="FFFFFF"/>
        </w:rPr>
        <w:t>个百分点；反应压力下降</w:t>
      </w:r>
      <w:r w:rsidRPr="004A22DD">
        <w:rPr>
          <w:rFonts w:ascii="Times New Roman" w:hAnsi="Times New Roman" w:cs="Times New Roman"/>
          <w:szCs w:val="21"/>
          <w:shd w:val="clear" w:color="auto" w:fill="FFFFFF"/>
        </w:rPr>
        <w:t>0.03 MPa,</w:t>
      </w:r>
      <w:r w:rsidRPr="004A22DD">
        <w:rPr>
          <w:rFonts w:ascii="Times New Roman" w:hAnsiTheme="minorEastAsia" w:cs="Times New Roman"/>
          <w:szCs w:val="21"/>
          <w:shd w:val="clear" w:color="auto" w:fill="FFFFFF"/>
        </w:rPr>
        <w:t>液体收率平均提高</w:t>
      </w:r>
      <w:r w:rsidRPr="004A22DD">
        <w:rPr>
          <w:rFonts w:ascii="Times New Roman" w:hAnsi="Times New Roman" w:cs="Times New Roman"/>
          <w:szCs w:val="21"/>
          <w:shd w:val="clear" w:color="auto" w:fill="FFFFFF"/>
        </w:rPr>
        <w:t>0.6</w:t>
      </w:r>
      <w:r w:rsidRPr="004A22DD">
        <w:rPr>
          <w:rFonts w:ascii="Times New Roman" w:hAnsiTheme="minorEastAsia" w:cs="Times New Roman"/>
          <w:szCs w:val="21"/>
          <w:shd w:val="clear" w:color="auto" w:fill="FFFFFF"/>
        </w:rPr>
        <w:t>个百分点</w:t>
      </w:r>
      <w:r w:rsidRPr="004A22DD">
        <w:rPr>
          <w:rFonts w:ascii="Times New Roman" w:hAnsi="Times New Roman" w:cs="Times New Roman"/>
          <w:szCs w:val="21"/>
          <w:shd w:val="clear" w:color="auto" w:fill="FFFFFF"/>
        </w:rPr>
        <w:t>.</w:t>
      </w:r>
    </w:p>
    <w:p w:rsidR="00B1427F" w:rsidRDefault="00B1427F" w:rsidP="00F52917">
      <w:pPr>
        <w:rPr>
          <w:rFonts w:ascii="Times New Roman" w:hAnsi="Times New Roman" w:cs="Times New Roman"/>
          <w:szCs w:val="21"/>
          <w:shd w:val="clear" w:color="auto" w:fill="FFFFFF"/>
        </w:rPr>
      </w:pPr>
    </w:p>
    <w:p w:rsidR="00922795" w:rsidRDefault="00922795" w:rsidP="00F52917">
      <w:pPr>
        <w:rPr>
          <w:rFonts w:ascii="Times New Roman" w:hAnsi="Times New Roman" w:cs="Times New Roman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szCs w:val="21"/>
          <w:shd w:val="clear" w:color="auto" w:fill="FFFFFF"/>
        </w:rPr>
        <w:t>假设条件</w:t>
      </w:r>
    </w:p>
    <w:p w:rsidR="00922795" w:rsidRDefault="009126EC" w:rsidP="00F6137A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szCs w:val="21"/>
          <w:shd w:val="clear" w:color="auto" w:fill="FFFFFF"/>
        </w:rPr>
        <w:t>渣油分子组成采用模拟方法（因为分析困难）</w:t>
      </w:r>
    </w:p>
    <w:p w:rsidR="00A27AC4" w:rsidRDefault="00BE65A3" w:rsidP="00F6137A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szCs w:val="21"/>
          <w:shd w:val="clear" w:color="auto" w:fill="FFFFFF"/>
        </w:rPr>
        <w:t>忽略侧链碳数</w:t>
      </w:r>
      <w:r w:rsidR="006003A0">
        <w:rPr>
          <w:rFonts w:ascii="Times New Roman" w:hAnsi="Times New Roman" w:cs="Times New Roman" w:hint="eastAsia"/>
          <w:szCs w:val="21"/>
          <w:shd w:val="clear" w:color="auto" w:fill="FFFFFF"/>
        </w:rPr>
        <w:t>，渣油分子由</w:t>
      </w:r>
      <w:r w:rsidR="006003A0">
        <w:rPr>
          <w:rFonts w:ascii="Times New Roman" w:hAnsi="Times New Roman" w:cs="Times New Roman" w:hint="eastAsia"/>
          <w:szCs w:val="21"/>
          <w:shd w:val="clear" w:color="auto" w:fill="FFFFFF"/>
        </w:rPr>
        <w:t>92</w:t>
      </w:r>
      <w:r w:rsidR="006003A0">
        <w:rPr>
          <w:rFonts w:ascii="Times New Roman" w:hAnsi="Times New Roman" w:cs="Times New Roman" w:hint="eastAsia"/>
          <w:szCs w:val="21"/>
          <w:shd w:val="clear" w:color="auto" w:fill="FFFFFF"/>
        </w:rPr>
        <w:t>种单核种子分子和</w:t>
      </w:r>
      <w:r w:rsidR="006003A0">
        <w:rPr>
          <w:rFonts w:ascii="Times New Roman" w:hAnsi="Times New Roman" w:cs="Times New Roman" w:hint="eastAsia"/>
          <w:szCs w:val="21"/>
          <w:shd w:val="clear" w:color="auto" w:fill="FFFFFF"/>
        </w:rPr>
        <w:t>46</w:t>
      </w:r>
      <w:r w:rsidR="006003A0">
        <w:rPr>
          <w:rFonts w:ascii="Times New Roman" w:hAnsi="Times New Roman" w:cs="Times New Roman" w:hint="eastAsia"/>
          <w:szCs w:val="21"/>
          <w:shd w:val="clear" w:color="auto" w:fill="FFFFFF"/>
        </w:rPr>
        <w:t>种多核种子分子组成。</w:t>
      </w:r>
    </w:p>
    <w:p w:rsidR="00E51F77" w:rsidRDefault="00E51F77" w:rsidP="00F6137A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szCs w:val="21"/>
          <w:shd w:val="clear" w:color="auto" w:fill="FFFFFF"/>
        </w:rPr>
        <w:t>在每种种子分子上添加</w:t>
      </w:r>
      <w:r>
        <w:rPr>
          <w:rFonts w:ascii="Times New Roman" w:hAnsi="Times New Roman" w:cs="Times New Roman" w:hint="eastAsia"/>
          <w:szCs w:val="21"/>
          <w:shd w:val="clear" w:color="auto" w:fill="FFFFFF"/>
        </w:rPr>
        <w:t>0~50</w:t>
      </w:r>
      <w:r>
        <w:rPr>
          <w:rFonts w:ascii="Times New Roman" w:hAnsi="Times New Roman" w:cs="Times New Roman" w:hint="eastAsia"/>
          <w:szCs w:val="21"/>
          <w:shd w:val="clear" w:color="auto" w:fill="FFFFFF"/>
        </w:rPr>
        <w:t>个侧链亚甲基（排除一些不现实的集总分子）</w:t>
      </w:r>
    </w:p>
    <w:p w:rsidR="00126DD9" w:rsidRDefault="00126DD9" w:rsidP="00F6137A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szCs w:val="21"/>
          <w:shd w:val="clear" w:color="auto" w:fill="FFFFFF"/>
        </w:rPr>
        <w:t>分子总数</w:t>
      </w:r>
      <w:r>
        <w:rPr>
          <w:rFonts w:ascii="Times New Roman" w:hAnsi="Times New Roman" w:cs="Times New Roman" w:hint="eastAsia"/>
          <w:szCs w:val="21"/>
          <w:shd w:val="clear" w:color="auto" w:fill="FFFFFF"/>
        </w:rPr>
        <w:t>7004</w:t>
      </w:r>
      <w:r>
        <w:rPr>
          <w:rFonts w:ascii="Times New Roman" w:hAnsi="Times New Roman" w:cs="Times New Roman" w:hint="eastAsia"/>
          <w:szCs w:val="21"/>
          <w:shd w:val="clear" w:color="auto" w:fill="FFFFFF"/>
        </w:rPr>
        <w:t>，任何渣油均由这</w:t>
      </w:r>
      <w:r>
        <w:rPr>
          <w:rFonts w:ascii="Times New Roman" w:hAnsi="Times New Roman" w:cs="Times New Roman" w:hint="eastAsia"/>
          <w:szCs w:val="21"/>
          <w:shd w:val="clear" w:color="auto" w:fill="FFFFFF"/>
        </w:rPr>
        <w:t>7004</w:t>
      </w:r>
      <w:r>
        <w:rPr>
          <w:rFonts w:ascii="Times New Roman" w:hAnsi="Times New Roman" w:cs="Times New Roman" w:hint="eastAsia"/>
          <w:szCs w:val="21"/>
          <w:shd w:val="clear" w:color="auto" w:fill="FFFFFF"/>
        </w:rPr>
        <w:t>种分子组成。</w:t>
      </w:r>
    </w:p>
    <w:p w:rsidR="00C2070A" w:rsidRDefault="00A222CF" w:rsidP="00A222CF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szCs w:val="21"/>
          <w:shd w:val="clear" w:color="auto" w:fill="FFFFFF"/>
        </w:rPr>
        <w:t>制定</w:t>
      </w:r>
      <w:r>
        <w:rPr>
          <w:rFonts w:ascii="Times New Roman" w:hAnsi="Times New Roman" w:cs="Times New Roman" w:hint="eastAsia"/>
          <w:szCs w:val="21"/>
          <w:shd w:val="clear" w:color="auto" w:fill="FFFFFF"/>
        </w:rPr>
        <w:t>92</w:t>
      </w:r>
      <w:r>
        <w:rPr>
          <w:rFonts w:ascii="Times New Roman" w:hAnsi="Times New Roman" w:cs="Times New Roman" w:hint="eastAsia"/>
          <w:szCs w:val="21"/>
          <w:shd w:val="clear" w:color="auto" w:fill="FFFFFF"/>
        </w:rPr>
        <w:t>条反应规则</w:t>
      </w:r>
    </w:p>
    <w:p w:rsidR="002C1158" w:rsidRDefault="002C1158" w:rsidP="00A222CF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szCs w:val="21"/>
          <w:shd w:val="clear" w:color="auto" w:fill="FFFFFF"/>
        </w:rPr>
        <w:t>反应速率常数基于过渡态假设</w:t>
      </w:r>
    </w:p>
    <w:p w:rsidR="00725EE8" w:rsidRDefault="00725EE8" w:rsidP="00A222CF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szCs w:val="21"/>
          <w:shd w:val="clear" w:color="auto" w:fill="FFFFFF"/>
        </w:rPr>
        <w:t>延迟焦化过程采用多个间歇串联组成</w:t>
      </w:r>
    </w:p>
    <w:p w:rsidR="000873B9" w:rsidRPr="00A222CF" w:rsidRDefault="00926731" w:rsidP="00A222CF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szCs w:val="21"/>
          <w:shd w:val="clear" w:color="auto" w:fill="FFFFFF"/>
        </w:rPr>
        <w:t>各流股分子组成分布均匀</w:t>
      </w:r>
    </w:p>
    <w:p w:rsidR="00C2070A" w:rsidRDefault="00C2070A" w:rsidP="00C2070A">
      <w:pPr>
        <w:rPr>
          <w:rFonts w:ascii="Times New Roman" w:hAnsi="Times New Roman" w:cs="Times New Roman" w:hint="eastAsia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szCs w:val="21"/>
          <w:shd w:val="clear" w:color="auto" w:fill="FFFFFF"/>
        </w:rPr>
        <w:t>方法</w:t>
      </w:r>
    </w:p>
    <w:p w:rsidR="00C2070A" w:rsidRDefault="005F70D3" w:rsidP="005F70D3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 w:hint="eastAsia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szCs w:val="21"/>
          <w:shd w:val="clear" w:color="auto" w:fill="FFFFFF"/>
        </w:rPr>
        <w:t>分子集总含量根据密度、馏程等宏观性质采用模拟退火算法优化。</w:t>
      </w:r>
    </w:p>
    <w:p w:rsidR="00E85140" w:rsidRPr="005F70D3" w:rsidRDefault="00E85140" w:rsidP="005F70D3">
      <w:pPr>
        <w:pStyle w:val="a5"/>
        <w:numPr>
          <w:ilvl w:val="0"/>
          <w:numId w:val="4"/>
        </w:numPr>
        <w:ind w:firstLineChars="0"/>
        <w:rPr>
          <w:rFonts w:ascii="Times New Roman" w:hAnsi="Times New Roman" w:cs="Times New Roman"/>
          <w:szCs w:val="21"/>
          <w:shd w:val="clear" w:color="auto" w:fill="FFFFFF"/>
        </w:rPr>
      </w:pPr>
    </w:p>
    <w:p w:rsidR="00B1427F" w:rsidRDefault="00B1427F" w:rsidP="00F52917">
      <w:pPr>
        <w:rPr>
          <w:rFonts w:ascii="Times New Roman" w:hAnsi="Times New Roman" w:cs="Times New Roman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szCs w:val="21"/>
          <w:shd w:val="clear" w:color="auto" w:fill="FFFFFF"/>
        </w:rPr>
        <w:t>要点详解</w:t>
      </w:r>
    </w:p>
    <w:p w:rsidR="00B1427F" w:rsidRDefault="0065774F" w:rsidP="00B1427F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传统集总方法依据分子的性质归类集总。结构导向集总依据相同分子片段</w:t>
      </w:r>
      <w:r w:rsidR="00F00358">
        <w:rPr>
          <w:rFonts w:ascii="Times New Roman" w:hAnsi="Times New Roman" w:cs="Times New Roman" w:hint="eastAsia"/>
          <w:szCs w:val="21"/>
        </w:rPr>
        <w:t>划分</w:t>
      </w:r>
    </w:p>
    <w:p w:rsidR="00E27664" w:rsidRDefault="00E27664" w:rsidP="00E27664">
      <w:pPr>
        <w:rPr>
          <w:rFonts w:ascii="Times New Roman" w:hAnsi="Times New Roman" w:cs="Times New Roman"/>
          <w:szCs w:val="21"/>
        </w:rPr>
      </w:pPr>
    </w:p>
    <w:p w:rsidR="00E27664" w:rsidRDefault="00E27664" w:rsidP="00E27664">
      <w:pPr>
        <w:rPr>
          <w:rFonts w:ascii="Times New Roman" w:hAnsi="Times New Roman" w:cs="Times New Roman"/>
          <w:szCs w:val="21"/>
        </w:rPr>
      </w:pPr>
    </w:p>
    <w:p w:rsidR="00E27664" w:rsidRDefault="00E27664" w:rsidP="00E27664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总结</w:t>
      </w:r>
    </w:p>
    <w:p w:rsidR="00E27664" w:rsidRDefault="00E27664" w:rsidP="00E27664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构建反应动力学模型的步骤</w:t>
      </w:r>
    </w:p>
    <w:p w:rsidR="00E27664" w:rsidRPr="00F91B40" w:rsidRDefault="00552BA7" w:rsidP="00F91B4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1.1 </w:t>
      </w:r>
      <w:r>
        <w:rPr>
          <w:rFonts w:ascii="Times New Roman" w:hAnsi="Times New Roman" w:cs="Times New Roman" w:hint="eastAsia"/>
          <w:szCs w:val="21"/>
        </w:rPr>
        <w:t>根据结构分子片段描述分子组成</w:t>
      </w:r>
      <w:r w:rsidR="00A92E3C">
        <w:rPr>
          <w:rFonts w:ascii="Times New Roman" w:hAnsi="Times New Roman" w:cs="Times New Roman" w:hint="eastAsia"/>
          <w:szCs w:val="21"/>
        </w:rPr>
        <w:t>，包括反应物分子和生成物分子。</w:t>
      </w:r>
    </w:p>
    <w:sectPr w:rsidR="00E27664" w:rsidRPr="00F91B40" w:rsidSect="00DC7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64C" w:rsidRDefault="0073664C" w:rsidP="004E1903">
      <w:r>
        <w:separator/>
      </w:r>
    </w:p>
  </w:endnote>
  <w:endnote w:type="continuationSeparator" w:id="1">
    <w:p w:rsidR="0073664C" w:rsidRDefault="0073664C" w:rsidP="004E19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64C" w:rsidRDefault="0073664C" w:rsidP="004E1903">
      <w:r>
        <w:separator/>
      </w:r>
    </w:p>
  </w:footnote>
  <w:footnote w:type="continuationSeparator" w:id="1">
    <w:p w:rsidR="0073664C" w:rsidRDefault="0073664C" w:rsidP="004E19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16B6D"/>
    <w:multiLevelType w:val="hybridMultilevel"/>
    <w:tmpl w:val="740682C4"/>
    <w:lvl w:ilvl="0" w:tplc="F26A67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462993"/>
    <w:multiLevelType w:val="hybridMultilevel"/>
    <w:tmpl w:val="6CD46C9A"/>
    <w:lvl w:ilvl="0" w:tplc="87449C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396415"/>
    <w:multiLevelType w:val="hybridMultilevel"/>
    <w:tmpl w:val="F7E00E86"/>
    <w:lvl w:ilvl="0" w:tplc="1A709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726F69"/>
    <w:multiLevelType w:val="hybridMultilevel"/>
    <w:tmpl w:val="59C8CC96"/>
    <w:lvl w:ilvl="0" w:tplc="B0461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1903"/>
    <w:rsid w:val="000873B9"/>
    <w:rsid w:val="000C4BD3"/>
    <w:rsid w:val="00126DD9"/>
    <w:rsid w:val="00137974"/>
    <w:rsid w:val="002A068E"/>
    <w:rsid w:val="002C1158"/>
    <w:rsid w:val="00371B70"/>
    <w:rsid w:val="00393199"/>
    <w:rsid w:val="00450A64"/>
    <w:rsid w:val="004A22DD"/>
    <w:rsid w:val="004E1903"/>
    <w:rsid w:val="00552BA7"/>
    <w:rsid w:val="005A1788"/>
    <w:rsid w:val="005F70D3"/>
    <w:rsid w:val="006003A0"/>
    <w:rsid w:val="0065774F"/>
    <w:rsid w:val="006B5DB0"/>
    <w:rsid w:val="006B5E5F"/>
    <w:rsid w:val="00725EE8"/>
    <w:rsid w:val="0073664C"/>
    <w:rsid w:val="0074467C"/>
    <w:rsid w:val="00895F88"/>
    <w:rsid w:val="009126EC"/>
    <w:rsid w:val="00922795"/>
    <w:rsid w:val="00926731"/>
    <w:rsid w:val="00A222CF"/>
    <w:rsid w:val="00A27AC4"/>
    <w:rsid w:val="00A50BE7"/>
    <w:rsid w:val="00A92E3C"/>
    <w:rsid w:val="00B1427F"/>
    <w:rsid w:val="00BE65A3"/>
    <w:rsid w:val="00C2070A"/>
    <w:rsid w:val="00C874D4"/>
    <w:rsid w:val="00CD04C0"/>
    <w:rsid w:val="00D439B9"/>
    <w:rsid w:val="00D70FA6"/>
    <w:rsid w:val="00DB4ACD"/>
    <w:rsid w:val="00DC7091"/>
    <w:rsid w:val="00E27664"/>
    <w:rsid w:val="00E51F77"/>
    <w:rsid w:val="00E700E1"/>
    <w:rsid w:val="00E85140"/>
    <w:rsid w:val="00F00358"/>
    <w:rsid w:val="00F52917"/>
    <w:rsid w:val="00F6137A"/>
    <w:rsid w:val="00F70141"/>
    <w:rsid w:val="00F91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0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19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19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19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1903"/>
    <w:rPr>
      <w:sz w:val="18"/>
      <w:szCs w:val="18"/>
    </w:rPr>
  </w:style>
  <w:style w:type="paragraph" w:styleId="a5">
    <w:name w:val="List Paragraph"/>
    <w:basedOn w:val="a"/>
    <w:uiPriority w:val="34"/>
    <w:qFormat/>
    <w:rsid w:val="00B1427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49</cp:revision>
  <dcterms:created xsi:type="dcterms:W3CDTF">2017-07-26T01:30:00Z</dcterms:created>
  <dcterms:modified xsi:type="dcterms:W3CDTF">2017-07-26T05:16:00Z</dcterms:modified>
</cp:coreProperties>
</file>