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bookmarkStart w:id="0" w:name="_Toc400977389"/>
      <w:r>
        <w:rPr>
          <w:rFonts w:hint="eastAsia" w:hAnsi="宋体"/>
        </w:rPr>
        <w:t>文档编号：TE-2017-0002</w:t>
      </w:r>
    </w:p>
    <w:p>
      <w:r>
        <w:rPr>
          <w:rFonts w:hint="eastAsia" w:hAnsi="宋体"/>
        </w:rPr>
        <w:t>版</w:t>
      </w:r>
      <w:r>
        <w:t xml:space="preserve"> </w:t>
      </w:r>
      <w:r>
        <w:rPr>
          <w:rFonts w:hint="eastAsia" w:hAnsi="宋体"/>
        </w:rPr>
        <w:t>本</w:t>
      </w:r>
      <w:r>
        <w:t xml:space="preserve"> </w:t>
      </w:r>
      <w:r>
        <w:rPr>
          <w:rFonts w:hint="eastAsia" w:hAnsi="宋体"/>
        </w:rPr>
        <w:t>号：1.</w:t>
      </w:r>
      <w:r>
        <w:rPr>
          <w:rFonts w:hint="eastAsia" w:hAnsi="宋体"/>
          <w:lang w:val="en-US" w:eastAsia="zh-CN"/>
        </w:rPr>
        <w:t>1</w:t>
      </w:r>
    </w:p>
    <w:p/>
    <w:p/>
    <w:p>
      <w:pPr>
        <w:pStyle w:val="10"/>
      </w:pPr>
    </w:p>
    <w:p/>
    <w:p/>
    <w:p/>
    <w:p/>
    <w:p/>
    <w:p>
      <w:pPr>
        <w:pStyle w:val="30"/>
        <w:spacing w:line="360" w:lineRule="auto"/>
        <w:ind w:firstLine="883"/>
        <w:jc w:val="right"/>
        <w:rPr>
          <w:rFonts w:ascii="Times New Roman" w:hAnsi="Times New Roman"/>
          <w:b/>
          <w:bCs/>
          <w:sz w:val="44"/>
        </w:rPr>
      </w:pPr>
    </w:p>
    <w:p>
      <w:pPr>
        <w:pStyle w:val="30"/>
        <w:spacing w:line="360" w:lineRule="auto"/>
        <w:ind w:firstLine="883"/>
        <w:jc w:val="right"/>
        <w:rPr>
          <w:rFonts w:ascii="Times New Roman" w:hAnsi="Times New Roman"/>
          <w:b/>
          <w:bCs/>
          <w:sz w:val="44"/>
        </w:rPr>
      </w:pPr>
    </w:p>
    <w:p>
      <w:pPr>
        <w:pStyle w:val="31"/>
        <w:rPr>
          <w:rFonts w:ascii="Times New Roman" w:hAnsi="宋体" w:eastAsia="宋体"/>
          <w:sz w:val="40"/>
          <w:szCs w:val="40"/>
        </w:rPr>
      </w:pPr>
      <w:bookmarkStart w:id="1" w:name="_Toc26243"/>
      <w:bookmarkStart w:id="2" w:name="_Toc23926"/>
      <w:bookmarkStart w:id="3" w:name="_Toc14542"/>
      <w:bookmarkStart w:id="4" w:name="_Toc9"/>
      <w:bookmarkStart w:id="5" w:name="_Toc22900"/>
      <w:bookmarkStart w:id="6" w:name="_Toc5238"/>
      <w:bookmarkStart w:id="7" w:name="_Toc27938"/>
      <w:bookmarkStart w:id="8" w:name="_Toc20635"/>
      <w:bookmarkStart w:id="9" w:name="_Toc7976"/>
      <w:bookmarkStart w:id="10" w:name="_Toc21547"/>
      <w:bookmarkStart w:id="11" w:name="_Toc7896"/>
      <w:bookmarkStart w:id="12" w:name="_Toc296"/>
      <w:bookmarkStart w:id="13" w:name="_Toc29807"/>
      <w:bookmarkStart w:id="14" w:name="_Toc23103"/>
      <w:bookmarkStart w:id="15" w:name="_Toc28753"/>
      <w:bookmarkStart w:id="16" w:name="_Toc29841"/>
      <w:bookmarkStart w:id="17" w:name="_Toc5790"/>
      <w:bookmarkStart w:id="18" w:name="_Toc26751"/>
      <w:bookmarkStart w:id="19" w:name="_Toc6100"/>
      <w:bookmarkStart w:id="20" w:name="_Toc19065"/>
      <w:bookmarkStart w:id="21" w:name="_Toc9649"/>
      <w:bookmarkStart w:id="22" w:name="_Toc1234"/>
      <w:bookmarkStart w:id="23" w:name="_Toc27325"/>
      <w:r>
        <w:rPr>
          <w:rFonts w:hint="eastAsia" w:ascii="Times New Roman" w:hAnsi="宋体" w:eastAsia="宋体"/>
          <w:sz w:val="40"/>
          <w:szCs w:val="40"/>
        </w:rPr>
        <w:t>辛孚原油评价系统软件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jc w:val="center"/>
        <w:rPr>
          <w:sz w:val="32"/>
        </w:rPr>
      </w:pPr>
    </w:p>
    <w:p>
      <w:pPr>
        <w:pStyle w:val="31"/>
        <w:rPr>
          <w:sz w:val="32"/>
        </w:rPr>
      </w:pPr>
      <w:bookmarkStart w:id="24" w:name="_Toc23174"/>
      <w:bookmarkStart w:id="25" w:name="_Toc11911"/>
      <w:bookmarkStart w:id="26" w:name="_Toc31257"/>
      <w:bookmarkStart w:id="27" w:name="_Toc2009"/>
      <w:bookmarkStart w:id="28" w:name="_Toc30055"/>
      <w:bookmarkStart w:id="29" w:name="_Toc22439"/>
      <w:bookmarkStart w:id="30" w:name="_Toc14981"/>
      <w:bookmarkStart w:id="31" w:name="_Toc6153"/>
      <w:bookmarkStart w:id="32" w:name="_Toc13019"/>
      <w:bookmarkStart w:id="33" w:name="_Toc25673"/>
      <w:bookmarkStart w:id="34" w:name="_Toc446"/>
      <w:bookmarkStart w:id="35" w:name="_Toc29150"/>
      <w:bookmarkStart w:id="36" w:name="_Toc14691"/>
      <w:bookmarkStart w:id="37" w:name="_Toc17177"/>
      <w:bookmarkStart w:id="38" w:name="_Toc1955"/>
      <w:bookmarkStart w:id="39" w:name="_Toc9502"/>
      <w:bookmarkStart w:id="40" w:name="_Toc30064"/>
      <w:bookmarkStart w:id="41" w:name="_Toc5160"/>
      <w:bookmarkStart w:id="42" w:name="_Toc228627451"/>
      <w:bookmarkStart w:id="43" w:name="_Toc11826"/>
      <w:bookmarkStart w:id="44" w:name="_Toc25196"/>
      <w:bookmarkStart w:id="45" w:name="_Toc23268"/>
      <w:bookmarkStart w:id="46" w:name="_Toc30938"/>
      <w:bookmarkStart w:id="47" w:name="_Toc28821"/>
      <w:r>
        <w:rPr>
          <w:rFonts w:hint="eastAsia" w:ascii="Times New Roman" w:hAnsi="宋体" w:eastAsia="宋体"/>
        </w:rPr>
        <w:t>用户手册</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jc w:val="center"/>
        <w:rPr>
          <w:sz w:val="32"/>
        </w:rPr>
      </w:pPr>
    </w:p>
    <w:p>
      <w:pPr>
        <w:jc w:val="center"/>
        <w:rPr>
          <w:sz w:val="32"/>
        </w:rPr>
      </w:pPr>
    </w:p>
    <w:p>
      <w:pPr>
        <w:jc w:val="center"/>
        <w:rPr>
          <w:sz w:val="32"/>
        </w:rPr>
      </w:pPr>
    </w:p>
    <w:p>
      <w:pPr>
        <w:rPr>
          <w:sz w:val="32"/>
        </w:rPr>
      </w:pPr>
    </w:p>
    <w:p>
      <w:pPr>
        <w:jc w:val="center"/>
        <w:rPr>
          <w:sz w:val="32"/>
        </w:rPr>
      </w:pPr>
    </w:p>
    <w:p>
      <w:pPr>
        <w:jc w:val="center"/>
        <w:rPr>
          <w:sz w:val="32"/>
        </w:rPr>
      </w:pPr>
    </w:p>
    <w:p>
      <w:pPr>
        <w:jc w:val="center"/>
        <w:rPr>
          <w:sz w:val="32"/>
        </w:rPr>
      </w:pPr>
    </w:p>
    <w:p>
      <w:pPr>
        <w:jc w:val="center"/>
        <w:rPr>
          <w:sz w:val="32"/>
        </w:rPr>
      </w:pPr>
    </w:p>
    <w:p>
      <w:pPr>
        <w:spacing w:line="360" w:lineRule="auto"/>
        <w:jc w:val="center"/>
        <w:rPr>
          <w:sz w:val="28"/>
          <w:szCs w:val="28"/>
        </w:rPr>
      </w:pPr>
      <w:r>
        <w:rPr>
          <w:rFonts w:hint="eastAsia" w:hAnsi="宋体"/>
          <w:sz w:val="28"/>
          <w:szCs w:val="28"/>
        </w:rPr>
        <w:t>杭州辛孚能源科技有限公司</w:t>
      </w:r>
    </w:p>
    <w:p>
      <w:pPr>
        <w:spacing w:line="360" w:lineRule="auto"/>
        <w:jc w:val="center"/>
        <w:rPr>
          <w:sz w:val="28"/>
          <w:szCs w:val="28"/>
        </w:rPr>
      </w:pPr>
      <w:bookmarkStart w:id="48" w:name="_Toc121408218"/>
      <w:r>
        <w:rPr>
          <w:rFonts w:hint="eastAsia" w:hAnsi="宋体"/>
          <w:sz w:val="28"/>
          <w:szCs w:val="28"/>
        </w:rPr>
        <w:t>二</w:t>
      </w:r>
      <w:r>
        <w:rPr>
          <w:rFonts w:hint="eastAsia"/>
          <w:sz w:val="28"/>
        </w:rPr>
        <w:t>○一七</w:t>
      </w:r>
      <w:r>
        <w:rPr>
          <w:rFonts w:hint="eastAsia" w:hAnsi="宋体"/>
          <w:sz w:val="28"/>
          <w:szCs w:val="28"/>
        </w:rPr>
        <w:t>年七月</w:t>
      </w:r>
      <w:bookmarkEnd w:id="48"/>
    </w:p>
    <w:p>
      <w:pPr>
        <w:adjustRightInd w:val="0"/>
        <w:jc w:val="center"/>
        <w:rPr>
          <w:b/>
          <w:kern w:val="0"/>
          <w:sz w:val="32"/>
          <w:szCs w:val="32"/>
        </w:rPr>
      </w:pPr>
    </w:p>
    <w:p>
      <w:pPr>
        <w:adjustRightInd w:val="0"/>
        <w:rPr>
          <w:b/>
          <w:kern w:val="0"/>
          <w:sz w:val="32"/>
          <w:szCs w:val="32"/>
        </w:rPr>
      </w:pPr>
    </w:p>
    <w:p>
      <w:pPr>
        <w:autoSpaceDE w:val="0"/>
        <w:autoSpaceDN w:val="0"/>
        <w:adjustRightInd w:val="0"/>
        <w:spacing w:before="100" w:beforeAutospacing="1" w:after="100" w:afterAutospacing="1"/>
        <w:jc w:val="center"/>
        <w:rPr>
          <w:rFonts w:eastAsia="黑体"/>
          <w:b/>
          <w:spacing w:val="30"/>
          <w:sz w:val="44"/>
        </w:rPr>
      </w:pPr>
      <w:r>
        <w:rPr>
          <w:rFonts w:eastAsia="黑体"/>
          <w:b/>
          <w:spacing w:val="30"/>
          <w:sz w:val="44"/>
        </w:rPr>
        <w:t>版权声明</w:t>
      </w:r>
    </w:p>
    <w:p>
      <w:pPr>
        <w:autoSpaceDE w:val="0"/>
        <w:autoSpaceDN w:val="0"/>
        <w:adjustRightInd w:val="0"/>
        <w:spacing w:line="360" w:lineRule="auto"/>
        <w:ind w:firstLine="480"/>
        <w:rPr>
          <w:b/>
          <w:sz w:val="24"/>
        </w:rPr>
      </w:pPr>
      <w:r>
        <w:rPr>
          <w:rFonts w:hint="eastAsia" w:ascii="Verdana"/>
          <w:sz w:val="24"/>
        </w:rPr>
        <w:t xml:space="preserve">版权所有 </w:t>
      </w:r>
      <w:r>
        <w:rPr>
          <w:rFonts w:ascii="Arial" w:hAnsi="Arial"/>
          <w:sz w:val="24"/>
        </w:rPr>
        <w:t xml:space="preserve">Copyright </w:t>
      </w:r>
      <w:r>
        <w:rPr>
          <w:rFonts w:hint="eastAsia"/>
          <w:sz w:val="24"/>
        </w:rPr>
        <w:t>2017</w:t>
      </w:r>
      <w:r>
        <w:rPr>
          <w:rFonts w:hint="eastAsia"/>
          <w:b/>
          <w:sz w:val="24"/>
        </w:rPr>
        <w:t xml:space="preserve">  杭州辛孚能源科技</w:t>
      </w:r>
      <w:r>
        <w:rPr>
          <w:b/>
          <w:sz w:val="24"/>
        </w:rPr>
        <w:t>有限公司</w:t>
      </w:r>
      <w:r>
        <w:rPr>
          <w:rFonts w:hint="eastAsia"/>
          <w:b/>
          <w:sz w:val="24"/>
        </w:rPr>
        <w:t>。</w:t>
      </w:r>
    </w:p>
    <w:p>
      <w:pPr>
        <w:autoSpaceDE w:val="0"/>
        <w:autoSpaceDN w:val="0"/>
        <w:adjustRightInd w:val="0"/>
        <w:spacing w:line="360" w:lineRule="auto"/>
        <w:ind w:firstLine="480"/>
        <w:rPr>
          <w:b/>
          <w:sz w:val="24"/>
        </w:rPr>
      </w:pPr>
      <w:r>
        <w:rPr>
          <w:sz w:val="24"/>
        </w:rPr>
        <w:t>保留所有权利</w:t>
      </w:r>
      <w:r>
        <w:rPr>
          <w:rFonts w:hint="eastAsia"/>
          <w:sz w:val="24"/>
        </w:rPr>
        <w:t>。</w:t>
      </w:r>
    </w:p>
    <w:p>
      <w:pPr>
        <w:autoSpaceDE w:val="0"/>
        <w:autoSpaceDN w:val="0"/>
        <w:adjustRightInd w:val="0"/>
        <w:spacing w:line="360" w:lineRule="auto"/>
        <w:ind w:firstLine="472" w:firstLineChars="196"/>
      </w:pPr>
      <w:r>
        <w:rPr>
          <w:rFonts w:hint="eastAsia"/>
          <w:b/>
          <w:sz w:val="24"/>
        </w:rPr>
        <w:t>杭州辛孚能源科技</w:t>
      </w:r>
      <w:r>
        <w:rPr>
          <w:b/>
          <w:sz w:val="24"/>
        </w:rPr>
        <w:t>有限公司</w:t>
      </w:r>
      <w:r>
        <w:rPr>
          <w:sz w:val="24"/>
        </w:rPr>
        <w:t>拥有该软件</w:t>
      </w:r>
      <w:r>
        <w:rPr>
          <w:rFonts w:hint="eastAsia"/>
          <w:sz w:val="24"/>
        </w:rPr>
        <w:t>的知识产权和其它所有权利。</w:t>
      </w:r>
      <w:r>
        <w:rPr>
          <w:sz w:val="24"/>
        </w:rPr>
        <w:t>没有经过</w:t>
      </w:r>
      <w:r>
        <w:rPr>
          <w:rFonts w:hint="eastAsia"/>
          <w:b/>
          <w:sz w:val="24"/>
        </w:rPr>
        <w:t>杭州辛孚能源科技</w:t>
      </w:r>
      <w:r>
        <w:rPr>
          <w:b/>
          <w:sz w:val="24"/>
        </w:rPr>
        <w:t>有限公司</w:t>
      </w:r>
      <w:r>
        <w:rPr>
          <w:sz w:val="24"/>
        </w:rPr>
        <w:t>预先明确的书面许可，凡是含有</w:t>
      </w:r>
      <w:r>
        <w:rPr>
          <w:rFonts w:hint="eastAsia"/>
          <w:b/>
          <w:sz w:val="24"/>
        </w:rPr>
        <w:t>杭州辛孚能源科技</w:t>
      </w:r>
      <w:r>
        <w:rPr>
          <w:b/>
          <w:sz w:val="24"/>
        </w:rPr>
        <w:t>有限公司</w:t>
      </w:r>
      <w:r>
        <w:rPr>
          <w:sz w:val="24"/>
        </w:rPr>
        <w:t>版权标志或既含有</w:t>
      </w:r>
      <w:r>
        <w:rPr>
          <w:rFonts w:hint="eastAsia"/>
          <w:b/>
          <w:sz w:val="24"/>
        </w:rPr>
        <w:t>杭州辛孚能源科技</w:t>
      </w:r>
      <w:r>
        <w:rPr>
          <w:b/>
          <w:sz w:val="24"/>
        </w:rPr>
        <w:t>有限公司</w:t>
      </w:r>
      <w:r>
        <w:rPr>
          <w:sz w:val="24"/>
        </w:rPr>
        <w:t>版权标志又同时含有本版权声明的所有文档资料或公司名称(</w:t>
      </w:r>
      <w:r>
        <w:rPr>
          <w:rFonts w:hint="eastAsia"/>
          <w:b/>
          <w:sz w:val="24"/>
        </w:rPr>
        <w:t>杭州辛孚能源科技</w:t>
      </w:r>
      <w:r>
        <w:rPr>
          <w:b/>
          <w:sz w:val="24"/>
        </w:rPr>
        <w:t>有限公司</w:t>
      </w:r>
      <w:r>
        <w:rPr>
          <w:sz w:val="24"/>
        </w:rPr>
        <w:t>)不得被擅自用于任何软件销售的广告和公开场合</w:t>
      </w:r>
      <w:r>
        <w:rPr>
          <w:rFonts w:hint="eastAsia"/>
          <w:sz w:val="24"/>
        </w:rPr>
        <w:t>, 否则将视为非法侵害，我公司保留依法追究其责任的权利。</w:t>
      </w:r>
    </w:p>
    <w:p>
      <w:pPr>
        <w:spacing w:line="360" w:lineRule="auto"/>
        <w:ind w:firstLine="472" w:firstLineChars="196"/>
        <w:rPr>
          <w:b/>
          <w:sz w:val="24"/>
        </w:rPr>
      </w:pPr>
      <w:r>
        <w:rPr>
          <w:b/>
          <w:sz w:val="24"/>
        </w:rPr>
        <w:t>本软件所提供的所有材料只是提供给</w:t>
      </w:r>
      <w:r>
        <w:rPr>
          <w:rFonts w:hint="eastAsia"/>
          <w:b/>
          <w:sz w:val="24"/>
        </w:rPr>
        <w:t>授权</w:t>
      </w:r>
      <w:r>
        <w:rPr>
          <w:b/>
          <w:sz w:val="24"/>
        </w:rPr>
        <w:t>客户使用。</w:t>
      </w:r>
      <w:r>
        <w:rPr>
          <w:rFonts w:hint="eastAsia"/>
          <w:b/>
          <w:sz w:val="24"/>
        </w:rPr>
        <w:t>杭州辛孚能源科技</w:t>
      </w:r>
      <w:r>
        <w:rPr>
          <w:b/>
          <w:sz w:val="24"/>
        </w:rPr>
        <w:t>有限公司将不承担对</w:t>
      </w:r>
      <w:r>
        <w:rPr>
          <w:rFonts w:hint="eastAsia"/>
          <w:b/>
          <w:sz w:val="24"/>
        </w:rPr>
        <w:t>非授权</w:t>
      </w:r>
      <w:r>
        <w:rPr>
          <w:b/>
          <w:sz w:val="24"/>
        </w:rPr>
        <w:t>客户和第三者使用或执行本软件而产生</w:t>
      </w:r>
      <w:r>
        <w:rPr>
          <w:rFonts w:hint="eastAsia"/>
          <w:b/>
          <w:sz w:val="24"/>
        </w:rPr>
        <w:t>的任何</w:t>
      </w:r>
      <w:r>
        <w:rPr>
          <w:b/>
          <w:sz w:val="24"/>
        </w:rPr>
        <w:t>直接或间接损失</w:t>
      </w:r>
      <w:r>
        <w:rPr>
          <w:rFonts w:hint="eastAsia"/>
          <w:b/>
          <w:sz w:val="24"/>
        </w:rPr>
        <w:t>。</w:t>
      </w:r>
    </w:p>
    <w:p>
      <w:pPr>
        <w:pStyle w:val="30"/>
        <w:spacing w:line="240" w:lineRule="auto"/>
        <w:ind w:firstLine="420"/>
        <w:rPr>
          <w:rFonts w:ascii="Times New Roman" w:hAnsi="Times New Roman"/>
          <w:sz w:val="21"/>
        </w:rPr>
      </w:pPr>
    </w:p>
    <w:tbl>
      <w:tblPr>
        <w:tblStyle w:val="29"/>
        <w:tblW w:w="7764" w:type="dxa"/>
        <w:tblInd w:w="283" w:type="dxa"/>
        <w:tblLayout w:type="fixed"/>
        <w:tblCellMar>
          <w:top w:w="0" w:type="dxa"/>
          <w:left w:w="108" w:type="dxa"/>
          <w:bottom w:w="0" w:type="dxa"/>
          <w:right w:w="108" w:type="dxa"/>
        </w:tblCellMar>
      </w:tblPr>
      <w:tblGrid>
        <w:gridCol w:w="4361"/>
        <w:gridCol w:w="3403"/>
      </w:tblGrid>
      <w:tr>
        <w:tblPrEx>
          <w:tblLayout w:type="fixed"/>
          <w:tblCellMar>
            <w:top w:w="0" w:type="dxa"/>
            <w:left w:w="108" w:type="dxa"/>
            <w:bottom w:w="0" w:type="dxa"/>
            <w:right w:w="108" w:type="dxa"/>
          </w:tblCellMar>
        </w:tblPrEx>
        <w:tc>
          <w:tcPr>
            <w:tcW w:w="4361" w:type="dxa"/>
          </w:tcPr>
          <w:p>
            <w:pPr>
              <w:rPr>
                <w:rFonts w:ascii="Arial" w:hAnsi="Arial"/>
                <w:b/>
              </w:rPr>
            </w:pPr>
            <w:r>
              <w:rPr>
                <w:rFonts w:hint="eastAsia" w:ascii="Arial" w:hAnsi="Arial"/>
                <w:b/>
              </w:rPr>
              <w:t>HANGZHOU SYSPETRO ENERGY TECHNOLOGY CO., LTD.</w:t>
            </w:r>
            <w:r>
              <w:rPr>
                <w:rFonts w:ascii="Arial" w:hAnsi="Arial"/>
                <w:b/>
              </w:rPr>
              <w:t xml:space="preserve"> </w:t>
            </w:r>
          </w:p>
        </w:tc>
        <w:tc>
          <w:tcPr>
            <w:tcW w:w="3403" w:type="dxa"/>
          </w:tcPr>
          <w:p>
            <w:pPr>
              <w:pStyle w:val="30"/>
              <w:spacing w:line="240" w:lineRule="auto"/>
              <w:ind w:firstLine="0" w:firstLineChars="0"/>
              <w:rPr>
                <w:rFonts w:ascii="宋体" w:hAnsi="宋体"/>
                <w:b/>
                <w:sz w:val="21"/>
              </w:rPr>
            </w:pPr>
            <w:r>
              <w:rPr>
                <w:rFonts w:hint="eastAsia" w:ascii="宋体" w:hAnsi="宋体"/>
                <w:b/>
                <w:sz w:val="21"/>
              </w:rPr>
              <w:t>杭州辛孚能源科技有限公司</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rFonts w:hint="eastAsia"/>
                <w:sz w:val="21"/>
              </w:rPr>
              <w:t xml:space="preserve">368 </w:t>
            </w:r>
            <w:r>
              <w:rPr>
                <w:sz w:val="21"/>
              </w:rPr>
              <w:t>Liuhe Road,</w:t>
            </w:r>
          </w:p>
        </w:tc>
        <w:tc>
          <w:tcPr>
            <w:tcW w:w="3403" w:type="dxa"/>
          </w:tcPr>
          <w:p>
            <w:pPr>
              <w:pStyle w:val="30"/>
              <w:spacing w:line="240" w:lineRule="auto"/>
              <w:ind w:firstLine="0" w:firstLineChars="0"/>
              <w:rPr>
                <w:rFonts w:ascii="宋体" w:hAnsi="宋体"/>
                <w:b/>
                <w:sz w:val="21"/>
              </w:rPr>
            </w:pPr>
            <w:r>
              <w:rPr>
                <w:rFonts w:hint="eastAsia" w:ascii="宋体" w:hAnsi="宋体"/>
                <w:sz w:val="21"/>
              </w:rPr>
              <w:t>浙江省杭州市滨江区六和路368号</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Binjiang District,</w:t>
            </w:r>
            <w:r>
              <w:rPr>
                <w:rFonts w:hint="eastAsia"/>
                <w:sz w:val="21"/>
              </w:rPr>
              <w:t xml:space="preserve"> </w:t>
            </w:r>
            <w:r>
              <w:rPr>
                <w:sz w:val="21"/>
              </w:rPr>
              <w:t>Hangzhou,</w:t>
            </w:r>
            <w:r>
              <w:rPr>
                <w:rFonts w:hint="eastAsia"/>
                <w:sz w:val="21"/>
              </w:rPr>
              <w:t xml:space="preserve"> </w:t>
            </w:r>
            <w:r>
              <w:rPr>
                <w:sz w:val="21"/>
              </w:rPr>
              <w:t>Zhejiang,</w:t>
            </w:r>
            <w:r>
              <w:rPr>
                <w:rFonts w:hint="eastAsia"/>
                <w:sz w:val="21"/>
              </w:rPr>
              <w:t xml:space="preserve"> </w:t>
            </w:r>
            <w:r>
              <w:rPr>
                <w:sz w:val="21"/>
              </w:rPr>
              <w:t>China</w:t>
            </w:r>
          </w:p>
        </w:tc>
        <w:tc>
          <w:tcPr>
            <w:tcW w:w="3403" w:type="dxa"/>
          </w:tcPr>
          <w:p>
            <w:pPr>
              <w:pStyle w:val="30"/>
              <w:spacing w:line="240" w:lineRule="auto"/>
              <w:ind w:firstLine="0" w:firstLineChars="0"/>
              <w:rPr>
                <w:rFonts w:ascii="宋体" w:hAnsi="宋体"/>
                <w:sz w:val="21"/>
              </w:rPr>
            </w:pPr>
            <w:r>
              <w:rPr>
                <w:rFonts w:hint="eastAsia" w:ascii="宋体" w:hAnsi="宋体"/>
                <w:sz w:val="21"/>
              </w:rPr>
              <w:t>海创基地北楼</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rFonts w:ascii="Times New Roman" w:hAnsi="Times New Roman"/>
                <w:sz w:val="21"/>
              </w:rPr>
            </w:pPr>
          </w:p>
        </w:tc>
        <w:tc>
          <w:tcPr>
            <w:tcW w:w="3403" w:type="dxa"/>
          </w:tcPr>
          <w:p>
            <w:pPr>
              <w:pStyle w:val="30"/>
              <w:spacing w:line="240" w:lineRule="auto"/>
              <w:ind w:firstLine="0" w:firstLineChars="0"/>
              <w:rPr>
                <w:rFonts w:ascii="宋体" w:hAnsi="宋体"/>
                <w:sz w:val="21"/>
              </w:rPr>
            </w:pP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Post code:  310053</w:t>
            </w:r>
          </w:p>
        </w:tc>
        <w:tc>
          <w:tcPr>
            <w:tcW w:w="3403" w:type="dxa"/>
          </w:tcPr>
          <w:p>
            <w:pPr>
              <w:pStyle w:val="30"/>
              <w:spacing w:line="240" w:lineRule="auto"/>
              <w:ind w:firstLine="0" w:firstLineChars="0"/>
              <w:rPr>
                <w:rFonts w:ascii="宋体" w:hAnsi="宋体"/>
                <w:sz w:val="21"/>
              </w:rPr>
            </w:pPr>
            <w:r>
              <w:rPr>
                <w:rFonts w:hint="eastAsia" w:ascii="宋体" w:hAnsi="宋体"/>
                <w:sz w:val="21"/>
              </w:rPr>
              <w:t>邮编：</w:t>
            </w:r>
            <w:r>
              <w:rPr>
                <w:sz w:val="21"/>
              </w:rPr>
              <w:t>310053</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Tel.:</w:t>
            </w:r>
            <w:r>
              <w:rPr>
                <w:sz w:val="21"/>
              </w:rPr>
              <w:tab/>
            </w:r>
            <w:r>
              <w:rPr>
                <w:sz w:val="21"/>
              </w:rPr>
              <w:tab/>
            </w:r>
            <w:r>
              <w:rPr>
                <w:sz w:val="21"/>
              </w:rPr>
              <w:t xml:space="preserve">  +86-571-</w:t>
            </w:r>
            <w:r>
              <w:rPr>
                <w:rFonts w:hint="eastAsia"/>
                <w:sz w:val="21"/>
              </w:rPr>
              <w:t>87239236</w:t>
            </w:r>
            <w:r>
              <w:rPr>
                <w:sz w:val="21"/>
              </w:rPr>
              <w:t xml:space="preserve">  </w:t>
            </w:r>
          </w:p>
        </w:tc>
        <w:tc>
          <w:tcPr>
            <w:tcW w:w="3403" w:type="dxa"/>
          </w:tcPr>
          <w:p>
            <w:pPr>
              <w:pStyle w:val="30"/>
              <w:spacing w:line="240" w:lineRule="auto"/>
              <w:ind w:firstLine="0" w:firstLineChars="0"/>
              <w:rPr>
                <w:rFonts w:ascii="宋体" w:hAnsi="宋体"/>
                <w:sz w:val="21"/>
              </w:rPr>
            </w:pPr>
            <w:r>
              <w:rPr>
                <w:rFonts w:hint="eastAsia" w:ascii="宋体" w:hAnsi="宋体"/>
                <w:sz w:val="21"/>
              </w:rPr>
              <w:t>电话：</w:t>
            </w:r>
            <w:r>
              <w:rPr>
                <w:sz w:val="21"/>
              </w:rPr>
              <w:t>0571-</w:t>
            </w:r>
            <w:r>
              <w:rPr>
                <w:rFonts w:hint="eastAsia"/>
                <w:sz w:val="21"/>
              </w:rPr>
              <w:t>87239236</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Fax:</w:t>
            </w:r>
            <w:r>
              <w:rPr>
                <w:sz w:val="21"/>
              </w:rPr>
              <w:tab/>
            </w:r>
            <w:r>
              <w:rPr>
                <w:sz w:val="21"/>
              </w:rPr>
              <w:tab/>
            </w:r>
            <w:r>
              <w:rPr>
                <w:sz w:val="21"/>
              </w:rPr>
              <w:t xml:space="preserve">  +86-571-8</w:t>
            </w:r>
            <w:r>
              <w:rPr>
                <w:rFonts w:hint="eastAsia"/>
                <w:sz w:val="21"/>
              </w:rPr>
              <w:t>7239236</w:t>
            </w:r>
          </w:p>
        </w:tc>
        <w:tc>
          <w:tcPr>
            <w:tcW w:w="3403" w:type="dxa"/>
          </w:tcPr>
          <w:p>
            <w:pPr>
              <w:pStyle w:val="30"/>
              <w:spacing w:line="240" w:lineRule="auto"/>
              <w:ind w:firstLine="0" w:firstLineChars="0"/>
              <w:rPr>
                <w:rFonts w:ascii="宋体" w:hAnsi="宋体"/>
                <w:sz w:val="21"/>
              </w:rPr>
            </w:pPr>
            <w:r>
              <w:rPr>
                <w:rFonts w:hint="eastAsia" w:ascii="宋体" w:hAnsi="宋体"/>
                <w:sz w:val="21"/>
              </w:rPr>
              <w:t>传真：</w:t>
            </w:r>
            <w:r>
              <w:rPr>
                <w:sz w:val="21"/>
              </w:rPr>
              <w:t>0571-</w:t>
            </w:r>
            <w:r>
              <w:rPr>
                <w:rFonts w:hint="eastAsia"/>
                <w:sz w:val="21"/>
              </w:rPr>
              <w:t>87239236</w:t>
            </w:r>
          </w:p>
        </w:tc>
      </w:tr>
      <w:tr>
        <w:tblPrEx>
          <w:tblLayout w:type="fixed"/>
          <w:tblCellMar>
            <w:top w:w="0" w:type="dxa"/>
            <w:left w:w="108" w:type="dxa"/>
            <w:bottom w:w="0" w:type="dxa"/>
            <w:right w:w="108" w:type="dxa"/>
          </w:tblCellMar>
        </w:tblPrEx>
        <w:tc>
          <w:tcPr>
            <w:tcW w:w="7764" w:type="dxa"/>
            <w:gridSpan w:val="2"/>
          </w:tcPr>
          <w:p>
            <w:pPr>
              <w:pStyle w:val="30"/>
              <w:spacing w:line="240" w:lineRule="auto"/>
              <w:ind w:firstLine="0" w:firstLineChars="0"/>
            </w:pPr>
            <w:r>
              <w:t>E-mail：</w:t>
            </w:r>
            <w:r>
              <w:rPr>
                <w:rFonts w:hint="eastAsia"/>
              </w:rPr>
              <w:t>heyiyuan@syspetro.com</w:t>
            </w:r>
          </w:p>
        </w:tc>
      </w:tr>
      <w:tr>
        <w:tblPrEx>
          <w:tblLayout w:type="fixed"/>
          <w:tblCellMar>
            <w:top w:w="0" w:type="dxa"/>
            <w:left w:w="108" w:type="dxa"/>
            <w:bottom w:w="0" w:type="dxa"/>
            <w:right w:w="108" w:type="dxa"/>
          </w:tblCellMar>
        </w:tblPrEx>
        <w:tc>
          <w:tcPr>
            <w:tcW w:w="7764" w:type="dxa"/>
            <w:gridSpan w:val="2"/>
          </w:tcPr>
          <w:p>
            <w:pPr>
              <w:pStyle w:val="30"/>
              <w:spacing w:line="240" w:lineRule="auto"/>
              <w:ind w:firstLine="0" w:firstLineChars="0"/>
              <w:rPr>
                <w:highlight w:val="yellow"/>
              </w:rPr>
            </w:pPr>
          </w:p>
        </w:tc>
      </w:tr>
    </w:tbl>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keepNext/>
        <w:keepLines/>
        <w:tabs>
          <w:tab w:val="right" w:leader="dot" w:pos="8306"/>
        </w:tabs>
        <w:spacing w:line="288" w:lineRule="auto"/>
        <w:ind w:firstLine="3855" w:firstLineChars="1200"/>
        <w:outlineLvl w:val="0"/>
        <w:rPr>
          <w:rFonts w:hint="eastAsia" w:ascii="仿宋" w:hAnsi="仿宋" w:eastAsia="仿宋" w:cs="仿宋"/>
          <w:kern w:val="44"/>
          <w:sz w:val="21"/>
          <w:szCs w:val="24"/>
          <w:lang w:val="en-US" w:eastAsia="zh-CN" w:bidi="ar-SA"/>
        </w:rPr>
      </w:pPr>
      <w:bookmarkStart w:id="49" w:name="_Toc8348"/>
      <w:bookmarkStart w:id="50" w:name="_Toc1625"/>
      <w:bookmarkStart w:id="51" w:name="_Toc4375"/>
      <w:bookmarkStart w:id="52" w:name="_Toc23125"/>
      <w:bookmarkStart w:id="53" w:name="_Toc14044"/>
      <w:bookmarkStart w:id="54" w:name="_Toc16033"/>
      <w:bookmarkStart w:id="55" w:name="_Toc31309"/>
      <w:bookmarkStart w:id="56" w:name="_Toc5473"/>
      <w:bookmarkStart w:id="57" w:name="_Toc7218"/>
      <w:r>
        <w:rPr>
          <w:rFonts w:hint="eastAsia" w:ascii="Times New Roman" w:hAnsi="Times New Roman" w:cs="Times New Roman"/>
          <w:b/>
          <w:bCs/>
          <w:kern w:val="44"/>
          <w:sz w:val="32"/>
          <w:szCs w:val="32"/>
        </w:rPr>
        <w:t xml:space="preserve">目录   </w:t>
      </w:r>
      <w:r>
        <w:rPr>
          <w:rFonts w:hint="eastAsia" w:ascii="仿宋" w:hAnsi="仿宋" w:eastAsia="仿宋" w:cs="仿宋"/>
          <w:kern w:val="44"/>
          <w:sz w:val="24"/>
          <w:szCs w:val="24"/>
        </w:rPr>
        <w:t xml:space="preserve">                              </w:t>
      </w:r>
      <w:bookmarkEnd w:id="49"/>
      <w:bookmarkEnd w:id="50"/>
      <w:bookmarkEnd w:id="51"/>
      <w:bookmarkEnd w:id="52"/>
      <w:bookmarkEnd w:id="53"/>
      <w:bookmarkEnd w:id="54"/>
      <w:bookmarkEnd w:id="55"/>
      <w:bookmarkEnd w:id="56"/>
      <w:bookmarkEnd w:id="57"/>
      <w:r>
        <w:rPr>
          <w:rFonts w:hint="eastAsia" w:ascii="仿宋" w:hAnsi="仿宋" w:eastAsia="仿宋" w:cs="仿宋"/>
          <w:kern w:val="44"/>
          <w:sz w:val="24"/>
          <w:szCs w:val="24"/>
        </w:rPr>
        <w:fldChar w:fldCharType="begin"/>
      </w:r>
      <w:r>
        <w:rPr>
          <w:rFonts w:hint="eastAsia" w:ascii="仿宋" w:hAnsi="仿宋" w:eastAsia="仿宋" w:cs="仿宋"/>
          <w:kern w:val="44"/>
          <w:sz w:val="24"/>
          <w:szCs w:val="24"/>
        </w:rPr>
        <w:instrText xml:space="preserve">TOC \o "1-3" \h \u </w:instrText>
      </w:r>
      <w:r>
        <w:rPr>
          <w:rFonts w:hint="eastAsia" w:ascii="仿宋" w:hAnsi="仿宋" w:eastAsia="仿宋" w:cs="仿宋"/>
          <w:kern w:val="44"/>
          <w:sz w:val="24"/>
          <w:szCs w:val="24"/>
        </w:rPr>
        <w:fldChar w:fldCharType="separate"/>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_Toc27325 </w:instrText>
      </w:r>
      <w:r>
        <w:rPr>
          <w:rFonts w:hint="eastAsia" w:ascii="仿宋" w:hAnsi="仿宋" w:eastAsia="仿宋" w:cs="仿宋"/>
          <w:kern w:val="44"/>
          <w:szCs w:val="24"/>
        </w:rPr>
        <w:fldChar w:fldCharType="separate"/>
      </w:r>
      <w:r>
        <w:rPr>
          <w:rFonts w:hint="eastAsia" w:ascii="Times New Roman" w:hAnsi="宋体" w:eastAsia="宋体"/>
          <w:szCs w:val="40"/>
        </w:rPr>
        <w:t>辛孚原油评价系统软件</w:t>
      </w:r>
      <w:r>
        <w:tab/>
      </w:r>
      <w:r>
        <w:fldChar w:fldCharType="begin"/>
      </w:r>
      <w:r>
        <w:instrText xml:space="preserve"> PAGEREF _Toc27325 </w:instrText>
      </w:r>
      <w:r>
        <w:fldChar w:fldCharType="separate"/>
      </w:r>
      <w:r>
        <w:t>1</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_Toc28821 </w:instrText>
      </w:r>
      <w:r>
        <w:rPr>
          <w:rFonts w:hint="eastAsia" w:ascii="仿宋" w:hAnsi="仿宋" w:eastAsia="仿宋" w:cs="仿宋"/>
          <w:kern w:val="44"/>
          <w:szCs w:val="24"/>
        </w:rPr>
        <w:fldChar w:fldCharType="separate"/>
      </w:r>
      <w:r>
        <w:rPr>
          <w:rFonts w:hint="eastAsia" w:ascii="Times New Roman" w:hAnsi="宋体" w:eastAsia="宋体"/>
        </w:rPr>
        <w:t>用户手册</w:t>
      </w:r>
      <w:r>
        <w:tab/>
      </w:r>
      <w:r>
        <w:fldChar w:fldCharType="begin"/>
      </w:r>
      <w:r>
        <w:instrText xml:space="preserve"> PAGEREF _Toc28821 </w:instrText>
      </w:r>
      <w:r>
        <w:fldChar w:fldCharType="separate"/>
      </w:r>
      <w:r>
        <w:t>1</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_Toc7218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 xml:space="preserve">目录   </w:t>
      </w:r>
      <w:r>
        <w:rPr>
          <w:rFonts w:hint="eastAsia" w:ascii="仿宋" w:hAnsi="仿宋" w:eastAsia="仿宋" w:cs="仿宋"/>
          <w:kern w:val="44"/>
          <w:szCs w:val="24"/>
        </w:rPr>
        <w:t xml:space="preserve">                              </w:t>
      </w:r>
      <w:r>
        <w:tab/>
      </w:r>
      <w:r>
        <w:fldChar w:fldCharType="begin"/>
      </w:r>
      <w:r>
        <w:instrText xml:space="preserve"> PAGEREF _Toc7218 </w:instrText>
      </w:r>
      <w:r>
        <w:fldChar w:fldCharType="separate"/>
      </w:r>
      <w:r>
        <w:t>3</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_Toc1756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版本控制</w:t>
      </w:r>
      <w:r>
        <w:tab/>
      </w:r>
      <w:r>
        <w:fldChar w:fldCharType="begin"/>
      </w:r>
      <w:r>
        <w:instrText xml:space="preserve"> PAGEREF _Toc1756 </w:instrText>
      </w:r>
      <w:r>
        <w:fldChar w:fldCharType="separate"/>
      </w:r>
      <w:r>
        <w:t>4</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_Toc20359 </w:instrText>
      </w:r>
      <w:r>
        <w:rPr>
          <w:rFonts w:hint="eastAsia" w:ascii="仿宋" w:hAnsi="仿宋" w:eastAsia="仿宋" w:cs="仿宋"/>
          <w:kern w:val="44"/>
          <w:szCs w:val="24"/>
        </w:rPr>
        <w:fldChar w:fldCharType="separate"/>
      </w:r>
      <w:r>
        <w:rPr>
          <w:rFonts w:hint="eastAsia" w:ascii="Times New Roman" w:hAnsi="Times New Roman" w:cs="Times New Roman"/>
          <w:kern w:val="44"/>
          <w:szCs w:val="21"/>
        </w:rPr>
        <w:t>注：文档状态包括草稿(需要讨论)，定稿(正式发布)</w:t>
      </w:r>
      <w:r>
        <w:tab/>
      </w:r>
      <w:r>
        <w:fldChar w:fldCharType="begin"/>
      </w:r>
      <w:r>
        <w:instrText xml:space="preserve"> PAGEREF _Toc20359 </w:instrText>
      </w:r>
      <w:r>
        <w:fldChar w:fldCharType="separate"/>
      </w:r>
      <w:r>
        <w:t>4</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_Toc10238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第一章 概 述</w:t>
      </w:r>
      <w:r>
        <w:tab/>
      </w:r>
      <w:r>
        <w:fldChar w:fldCharType="begin"/>
      </w:r>
      <w:r>
        <w:instrText xml:space="preserve"> PAGEREF _Toc10238 </w:instrText>
      </w:r>
      <w:r>
        <w:fldChar w:fldCharType="separate"/>
      </w:r>
      <w:r>
        <w:t>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_Toc25059 </w:instrText>
      </w:r>
      <w:r>
        <w:rPr>
          <w:rFonts w:hint="eastAsia" w:ascii="仿宋" w:hAnsi="仿宋" w:eastAsia="仿宋" w:cs="仿宋"/>
          <w:kern w:val="44"/>
          <w:szCs w:val="24"/>
        </w:rPr>
        <w:fldChar w:fldCharType="separate"/>
      </w:r>
      <w:r>
        <w:rPr>
          <w:rFonts w:hint="eastAsia" w:ascii="Cambria" w:hAnsi="Cambria" w:cs="Times New Roman"/>
          <w:bCs/>
          <w:szCs w:val="24"/>
        </w:rPr>
        <w:t>1.1 软件概述</w:t>
      </w:r>
      <w:r>
        <w:tab/>
      </w:r>
      <w:r>
        <w:fldChar w:fldCharType="begin"/>
      </w:r>
      <w:r>
        <w:instrText xml:space="preserve"> PAGEREF _Toc25059 </w:instrText>
      </w:r>
      <w:r>
        <w:fldChar w:fldCharType="separate"/>
      </w:r>
      <w:r>
        <w:t>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_Toc6723 </w:instrText>
      </w:r>
      <w:r>
        <w:rPr>
          <w:rFonts w:hint="eastAsia" w:ascii="仿宋" w:hAnsi="仿宋" w:eastAsia="仿宋" w:cs="仿宋"/>
          <w:kern w:val="44"/>
          <w:szCs w:val="24"/>
        </w:rPr>
        <w:fldChar w:fldCharType="separate"/>
      </w:r>
      <w:r>
        <w:rPr>
          <w:rFonts w:hint="eastAsia" w:ascii="Cambria" w:hAnsi="Cambria" w:cs="Times New Roman"/>
          <w:bCs/>
          <w:szCs w:val="24"/>
        </w:rPr>
        <w:t>1.2 软件系统架构</w:t>
      </w:r>
      <w:r>
        <w:tab/>
      </w:r>
      <w:r>
        <w:fldChar w:fldCharType="begin"/>
      </w:r>
      <w:r>
        <w:instrText xml:space="preserve"> PAGEREF _Toc6723 </w:instrText>
      </w:r>
      <w:r>
        <w:fldChar w:fldCharType="separate"/>
      </w:r>
      <w:r>
        <w:t>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_Toc28456 </w:instrText>
      </w:r>
      <w:r>
        <w:rPr>
          <w:rFonts w:hint="eastAsia" w:ascii="仿宋" w:hAnsi="仿宋" w:eastAsia="仿宋" w:cs="仿宋"/>
          <w:kern w:val="44"/>
          <w:szCs w:val="24"/>
        </w:rPr>
        <w:fldChar w:fldCharType="separate"/>
      </w:r>
      <w:r>
        <w:rPr>
          <w:rFonts w:hint="eastAsia" w:ascii="Cambria" w:hAnsi="Cambria" w:cs="Times New Roman"/>
          <w:bCs/>
          <w:szCs w:val="24"/>
        </w:rPr>
        <w:t>1.3 软件算法模型</w:t>
      </w:r>
      <w:r>
        <w:tab/>
      </w:r>
      <w:r>
        <w:fldChar w:fldCharType="begin"/>
      </w:r>
      <w:r>
        <w:instrText xml:space="preserve"> PAGEREF _Toc28456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_Toc9691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第二章 软件简介</w:t>
      </w:r>
      <w:r>
        <w:tab/>
      </w:r>
      <w:r>
        <w:fldChar w:fldCharType="begin"/>
      </w:r>
      <w:r>
        <w:instrText xml:space="preserve"> PAGEREF _Toc9691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_Toc4944 </w:instrText>
      </w:r>
      <w:r>
        <w:rPr>
          <w:rFonts w:hint="eastAsia" w:ascii="仿宋" w:hAnsi="仿宋" w:eastAsia="仿宋" w:cs="仿宋"/>
          <w:kern w:val="44"/>
          <w:szCs w:val="24"/>
        </w:rPr>
        <w:fldChar w:fldCharType="separate"/>
      </w:r>
      <w:r>
        <w:rPr>
          <w:rFonts w:hint="eastAsia" w:ascii="Cambria" w:hAnsi="Cambria" w:cs="Times New Roman"/>
          <w:bCs/>
          <w:szCs w:val="24"/>
        </w:rPr>
        <w:t>2.1 软件登录</w:t>
      </w:r>
      <w:r>
        <w:tab/>
      </w:r>
      <w:r>
        <w:fldChar w:fldCharType="begin"/>
      </w:r>
      <w:r>
        <w:instrText xml:space="preserve"> PAGEREF _Toc4944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_Toc16693 </w:instrText>
      </w:r>
      <w:r>
        <w:rPr>
          <w:rFonts w:hint="eastAsia" w:ascii="仿宋" w:hAnsi="仿宋" w:eastAsia="仿宋" w:cs="仿宋"/>
          <w:kern w:val="44"/>
          <w:szCs w:val="24"/>
        </w:rPr>
        <w:fldChar w:fldCharType="separate"/>
      </w:r>
      <w:r>
        <w:rPr>
          <w:rFonts w:hint="eastAsia" w:ascii="Cambria" w:hAnsi="Cambria" w:cs="Times New Roman"/>
          <w:bCs/>
          <w:szCs w:val="24"/>
        </w:rPr>
        <w:t>2.2 软件主界面</w:t>
      </w:r>
      <w:r>
        <w:tab/>
      </w:r>
      <w:r>
        <w:fldChar w:fldCharType="begin"/>
      </w:r>
      <w:r>
        <w:instrText xml:space="preserve"> PAGEREF _Toc16693 </w:instrText>
      </w:r>
      <w:r>
        <w:fldChar w:fldCharType="separate"/>
      </w:r>
      <w:r>
        <w:t>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_Toc5094 </w:instrText>
      </w:r>
      <w:r>
        <w:rPr>
          <w:rFonts w:hint="eastAsia" w:ascii="仿宋" w:hAnsi="仿宋" w:eastAsia="仿宋" w:cs="仿宋"/>
          <w:kern w:val="44"/>
          <w:szCs w:val="24"/>
        </w:rPr>
        <w:fldChar w:fldCharType="separate"/>
      </w:r>
      <w:r>
        <w:rPr>
          <w:rFonts w:hint="eastAsia" w:ascii="Cambria" w:hAnsi="Cambria" w:cs="Times New Roman"/>
          <w:bCs/>
          <w:szCs w:val="24"/>
        </w:rPr>
        <w:t>2.3 软件客户端配置</w:t>
      </w:r>
      <w:r>
        <w:tab/>
      </w:r>
      <w:r>
        <w:fldChar w:fldCharType="begin"/>
      </w:r>
      <w:r>
        <w:instrText xml:space="preserve"> PAGEREF _Toc5094 </w:instrText>
      </w:r>
      <w:r>
        <w:fldChar w:fldCharType="separate"/>
      </w:r>
      <w:r>
        <w:t>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_Toc2346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第三章 原油评价编辑与上传</w:t>
      </w:r>
      <w:r>
        <w:tab/>
      </w:r>
      <w:r>
        <w:fldChar w:fldCharType="begin"/>
      </w:r>
      <w:r>
        <w:instrText xml:space="preserve"> PAGEREF _Toc2346 </w:instrText>
      </w:r>
      <w:r>
        <w:fldChar w:fldCharType="separate"/>
      </w:r>
      <w:r>
        <w:t>8</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_Toc10879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第四章 原油</w:t>
      </w:r>
      <w:r>
        <w:rPr>
          <w:rFonts w:hint="eastAsia" w:ascii="Times New Roman" w:hAnsi="Times New Roman" w:cs="Times New Roman"/>
          <w:bCs/>
          <w:kern w:val="44"/>
          <w:szCs w:val="32"/>
          <w:lang w:val="en-US" w:eastAsia="zh-CN"/>
        </w:rPr>
        <w:t>基础数据</w:t>
      </w:r>
      <w:r>
        <w:tab/>
      </w:r>
      <w:r>
        <w:fldChar w:fldCharType="begin"/>
      </w:r>
      <w:r>
        <w:instrText xml:space="preserve"> PAGEREF _Toc10879 </w:instrText>
      </w:r>
      <w:r>
        <w:fldChar w:fldCharType="separate"/>
      </w:r>
      <w:r>
        <w:t>13</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_Toc160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第五章 原油切割模拟功能</w:t>
      </w:r>
      <w:r>
        <w:tab/>
      </w:r>
      <w:r>
        <w:fldChar w:fldCharType="begin"/>
      </w:r>
      <w:r>
        <w:instrText xml:space="preserve"> PAGEREF _Toc160 </w:instrText>
      </w:r>
      <w:r>
        <w:fldChar w:fldCharType="separate"/>
      </w:r>
      <w:r>
        <w:t>13</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_Toc10561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第六章 原油</w:t>
      </w:r>
      <w:r>
        <w:rPr>
          <w:rFonts w:hint="eastAsia" w:ascii="Times New Roman" w:hAnsi="Times New Roman" w:cs="Times New Roman"/>
          <w:bCs/>
          <w:kern w:val="44"/>
          <w:szCs w:val="32"/>
          <w:lang w:val="en-US" w:eastAsia="zh-CN"/>
        </w:rPr>
        <w:t>混合</w:t>
      </w:r>
      <w:r>
        <w:rPr>
          <w:rFonts w:hint="eastAsia" w:ascii="Times New Roman" w:hAnsi="Times New Roman" w:cs="Times New Roman"/>
          <w:bCs/>
          <w:kern w:val="44"/>
          <w:szCs w:val="32"/>
        </w:rPr>
        <w:t>模拟功能</w:t>
      </w:r>
      <w:r>
        <w:tab/>
      </w:r>
      <w:r>
        <w:fldChar w:fldCharType="begin"/>
      </w:r>
      <w:r>
        <w:instrText xml:space="preserve"> PAGEREF _Toc10561 </w:instrText>
      </w:r>
      <w:r>
        <w:fldChar w:fldCharType="separate"/>
      </w:r>
      <w:r>
        <w:t>14</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_Toc9924 </w:instrText>
      </w:r>
      <w:r>
        <w:rPr>
          <w:rFonts w:hint="eastAsia" w:ascii="仿宋" w:hAnsi="仿宋" w:eastAsia="仿宋" w:cs="仿宋"/>
          <w:kern w:val="44"/>
          <w:szCs w:val="24"/>
        </w:rPr>
        <w:fldChar w:fldCharType="separate"/>
      </w:r>
      <w:r>
        <w:rPr>
          <w:rFonts w:hint="eastAsia" w:ascii="Times New Roman" w:hAnsi="宋体" w:cs="Times New Roman"/>
          <w:bCs/>
          <w:kern w:val="32"/>
          <w:szCs w:val="44"/>
        </w:rPr>
        <w:t>声明</w:t>
      </w:r>
      <w:r>
        <w:tab/>
      </w:r>
      <w:r>
        <w:fldChar w:fldCharType="begin"/>
      </w:r>
      <w:r>
        <w:instrText xml:space="preserve"> PAGEREF _Toc9924 </w:instrText>
      </w:r>
      <w:r>
        <w:fldChar w:fldCharType="separate"/>
      </w:r>
      <w:r>
        <w:t>17</w:t>
      </w:r>
      <w:r>
        <w:fldChar w:fldCharType="end"/>
      </w:r>
      <w:r>
        <w:rPr>
          <w:rFonts w:hint="eastAsia" w:ascii="仿宋" w:hAnsi="仿宋" w:eastAsia="仿宋" w:cs="仿宋"/>
          <w:kern w:val="44"/>
          <w:szCs w:val="24"/>
        </w:rPr>
        <w:fldChar w:fldCharType="end"/>
      </w:r>
    </w:p>
    <w:p>
      <w:pPr>
        <w:pStyle w:val="10"/>
        <w:keepNext/>
        <w:keepLines/>
        <w:tabs>
          <w:tab w:val="right" w:leader="dot" w:pos="8306"/>
        </w:tabs>
        <w:spacing w:line="288" w:lineRule="auto"/>
        <w:ind w:firstLine="2520" w:firstLineChars="1200"/>
        <w:outlineLvl w:val="0"/>
        <w:rPr>
          <w:rFonts w:ascii="仿宋" w:hAnsi="仿宋" w:eastAsia="仿宋" w:cs="仿宋"/>
          <w:kern w:val="44"/>
          <w:szCs w:val="24"/>
        </w:rPr>
      </w:pPr>
      <w:r>
        <w:rPr>
          <w:rFonts w:hint="eastAsia" w:ascii="仿宋" w:hAnsi="仿宋" w:eastAsia="仿宋" w:cs="仿宋"/>
          <w:kern w:val="44"/>
          <w:szCs w:val="24"/>
        </w:rPr>
        <w:fldChar w:fldCharType="end"/>
      </w:r>
    </w:p>
    <w:p>
      <w:pPr>
        <w:rPr>
          <w:rFonts w:ascii="仿宋" w:hAnsi="仿宋" w:eastAsia="仿宋" w:cs="仿宋"/>
          <w:kern w:val="44"/>
          <w:szCs w:val="24"/>
        </w:rPr>
      </w:pPr>
    </w:p>
    <w:p>
      <w:pPr>
        <w:rPr>
          <w:rFonts w:ascii="仿宋" w:hAnsi="仿宋" w:eastAsia="仿宋" w:cs="仿宋"/>
          <w:kern w:val="44"/>
          <w:szCs w:val="24"/>
        </w:rPr>
      </w:pPr>
      <w:r>
        <w:rPr>
          <w:rFonts w:hint="eastAsia" w:ascii="仿宋" w:hAnsi="仿宋" w:eastAsia="仿宋" w:cs="仿宋"/>
          <w:kern w:val="44"/>
          <w:szCs w:val="24"/>
        </w:rPr>
        <w:br w:type="page"/>
      </w:r>
    </w:p>
    <w:p>
      <w:pPr>
        <w:keepNext/>
        <w:keepLines/>
        <w:spacing w:before="340" w:after="330" w:line="360" w:lineRule="auto"/>
        <w:jc w:val="center"/>
        <w:outlineLvl w:val="0"/>
        <w:rPr>
          <w:rFonts w:ascii="Times New Roman" w:hAnsi="Times New Roman" w:cs="Times New Roman"/>
          <w:b/>
          <w:bCs/>
          <w:kern w:val="44"/>
          <w:sz w:val="32"/>
          <w:szCs w:val="32"/>
        </w:rPr>
      </w:pPr>
      <w:bookmarkStart w:id="58" w:name="_Toc10834"/>
      <w:bookmarkStart w:id="59" w:name="_Toc22652"/>
      <w:bookmarkStart w:id="60" w:name="_Toc19230"/>
      <w:bookmarkStart w:id="61" w:name="_Toc21162"/>
      <w:bookmarkStart w:id="62" w:name="_Toc7532"/>
      <w:bookmarkStart w:id="63" w:name="_Toc8941"/>
      <w:bookmarkStart w:id="64" w:name="_Toc10184"/>
      <w:bookmarkStart w:id="65" w:name="_Toc1756"/>
      <w:r>
        <w:rPr>
          <w:rFonts w:hint="eastAsia" w:ascii="Times New Roman" w:hAnsi="Times New Roman" w:cs="Times New Roman"/>
          <w:b/>
          <w:bCs/>
          <w:kern w:val="44"/>
          <w:sz w:val="32"/>
          <w:szCs w:val="32"/>
        </w:rPr>
        <w:t>版本控制</w:t>
      </w:r>
      <w:bookmarkEnd w:id="58"/>
      <w:bookmarkEnd w:id="59"/>
      <w:bookmarkEnd w:id="60"/>
      <w:bookmarkEnd w:id="61"/>
      <w:bookmarkEnd w:id="62"/>
      <w:bookmarkEnd w:id="63"/>
      <w:bookmarkEnd w:id="64"/>
      <w:bookmarkEnd w:id="65"/>
    </w:p>
    <w:tbl>
      <w:tblPr>
        <w:tblStyle w:val="29"/>
        <w:tblW w:w="8181" w:type="dxa"/>
        <w:tblInd w:w="0" w:type="dxa"/>
        <w:tblLayout w:type="fixed"/>
        <w:tblCellMar>
          <w:top w:w="15" w:type="dxa"/>
          <w:left w:w="15" w:type="dxa"/>
          <w:bottom w:w="15" w:type="dxa"/>
          <w:right w:w="15" w:type="dxa"/>
        </w:tblCellMar>
      </w:tblPr>
      <w:tblGrid>
        <w:gridCol w:w="969"/>
        <w:gridCol w:w="1270"/>
        <w:gridCol w:w="1846"/>
        <w:gridCol w:w="991"/>
        <w:gridCol w:w="3105"/>
      </w:tblGrid>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sz w:val="22"/>
              </w:rPr>
            </w:pPr>
            <w:r>
              <w:rPr>
                <w:rFonts w:hint="eastAsia" w:ascii="等线" w:hAnsi="等线" w:eastAsia="等线" w:cs="等线"/>
                <w:color w:val="F2F2F2"/>
                <w:kern w:val="0"/>
                <w:sz w:val="22"/>
                <w:lang w:bidi="ar"/>
              </w:rPr>
              <w:t>版本号</w:t>
            </w:r>
          </w:p>
        </w:tc>
        <w:tc>
          <w:tcPr>
            <w:tcW w:w="1270"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修订日期</w:t>
            </w:r>
          </w:p>
        </w:tc>
        <w:tc>
          <w:tcPr>
            <w:tcW w:w="1846"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修订人员</w:t>
            </w:r>
          </w:p>
        </w:tc>
        <w:tc>
          <w:tcPr>
            <w:tcW w:w="991"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文档状态</w:t>
            </w:r>
          </w:p>
        </w:tc>
        <w:tc>
          <w:tcPr>
            <w:tcW w:w="3105"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备注</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0.9</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2016-12-12</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马欢</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草稿</w:t>
            </w:r>
          </w:p>
        </w:tc>
        <w:tc>
          <w:tcPr>
            <w:tcW w:w="31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创建初始版本</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1.0</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2017-07-12</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草稿</w:t>
            </w:r>
          </w:p>
        </w:tc>
        <w:tc>
          <w:tcPr>
            <w:tcW w:w="31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完善第五章和第六章内容</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1.1</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bidi="ar"/>
              </w:rPr>
              <w:t>2017-07-1</w:t>
            </w:r>
            <w:r>
              <w:rPr>
                <w:rFonts w:hint="eastAsia" w:ascii="等线" w:hAnsi="等线" w:eastAsia="等线" w:cs="等线"/>
                <w:kern w:val="0"/>
                <w:sz w:val="22"/>
                <w:lang w:val="en-US" w:eastAsia="zh-CN" w:bidi="ar"/>
              </w:rPr>
              <w:t>8</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val="en-US" w:eastAsia="zh-CN" w:bidi="ar"/>
              </w:rPr>
              <w:t xml:space="preserve">何恺源 马欢 </w:t>
            </w:r>
            <w:r>
              <w:rPr>
                <w:rFonts w:hint="eastAsia" w:ascii="等线" w:hAnsi="等线" w:eastAsia="等线" w:cs="等线"/>
                <w:kern w:val="0"/>
                <w:sz w:val="22"/>
                <w:lang w:bidi="ar"/>
              </w:rPr>
              <w:t>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val="en-US" w:eastAsia="zh-CN" w:bidi="ar"/>
              </w:rPr>
              <w:t>定</w:t>
            </w:r>
            <w:r>
              <w:rPr>
                <w:rFonts w:hint="eastAsia" w:ascii="等线" w:hAnsi="等线" w:eastAsia="等线" w:cs="等线"/>
                <w:kern w:val="0"/>
                <w:sz w:val="22"/>
                <w:lang w:bidi="ar"/>
              </w:rPr>
              <w:t>稿</w:t>
            </w:r>
          </w:p>
        </w:tc>
        <w:tc>
          <w:tcPr>
            <w:tcW w:w="31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更新软件算法模型描述</w:t>
            </w:r>
          </w:p>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根据软件改版更新截图</w:t>
            </w:r>
          </w:p>
        </w:tc>
      </w:tr>
    </w:tbl>
    <w:p>
      <w:pPr>
        <w:keepNext/>
        <w:keepLines/>
        <w:spacing w:before="340" w:after="330" w:line="360" w:lineRule="auto"/>
        <w:outlineLvl w:val="0"/>
        <w:rPr>
          <w:rFonts w:ascii="Times New Roman" w:hAnsi="Times New Roman" w:cs="Times New Roman"/>
          <w:b/>
          <w:bCs/>
          <w:kern w:val="44"/>
          <w:sz w:val="32"/>
          <w:szCs w:val="32"/>
        </w:rPr>
      </w:pPr>
      <w:bookmarkStart w:id="66" w:name="_Toc15527"/>
      <w:bookmarkStart w:id="67" w:name="_Toc11008"/>
      <w:bookmarkStart w:id="68" w:name="_Toc3915"/>
      <w:bookmarkStart w:id="69" w:name="_Toc29961"/>
      <w:bookmarkStart w:id="70" w:name="_Toc32032"/>
      <w:bookmarkStart w:id="71" w:name="_Toc21187"/>
      <w:bookmarkStart w:id="72" w:name="_Toc5623"/>
      <w:bookmarkStart w:id="73" w:name="_Toc20359"/>
      <w:r>
        <w:rPr>
          <w:rFonts w:hint="eastAsia" w:ascii="Times New Roman" w:hAnsi="Times New Roman" w:cs="Times New Roman"/>
          <w:kern w:val="44"/>
          <w:szCs w:val="21"/>
        </w:rPr>
        <w:t>注：文档状态包括草稿(需要讨论)，定稿(正式发布)</w:t>
      </w:r>
      <w:r>
        <w:rPr>
          <w:rFonts w:hint="eastAsia" w:ascii="Times New Roman" w:hAnsi="Times New Roman" w:cs="Times New Roman"/>
          <w:b/>
          <w:bCs/>
          <w:kern w:val="44"/>
          <w:sz w:val="32"/>
          <w:szCs w:val="32"/>
        </w:rPr>
        <w:br w:type="page"/>
      </w:r>
      <w:bookmarkEnd w:id="66"/>
      <w:bookmarkEnd w:id="67"/>
      <w:bookmarkEnd w:id="68"/>
      <w:bookmarkEnd w:id="69"/>
      <w:bookmarkEnd w:id="70"/>
      <w:bookmarkEnd w:id="71"/>
      <w:bookmarkEnd w:id="72"/>
      <w:bookmarkEnd w:id="73"/>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74" w:name="_Toc10238"/>
      <w:r>
        <w:rPr>
          <w:rFonts w:hint="eastAsia" w:ascii="Times New Roman" w:hAnsi="Times New Roman" w:cs="Times New Roman"/>
          <w:b/>
          <w:bCs/>
          <w:kern w:val="44"/>
          <w:sz w:val="32"/>
          <w:szCs w:val="32"/>
        </w:rPr>
        <w:t>概 述</w:t>
      </w:r>
      <w:bookmarkEnd w:id="0"/>
      <w:bookmarkEnd w:id="74"/>
    </w:p>
    <w:p>
      <w:pPr>
        <w:spacing w:before="240" w:after="60" w:line="360" w:lineRule="auto"/>
        <w:jc w:val="left"/>
        <w:outlineLvl w:val="0"/>
        <w:rPr>
          <w:rFonts w:ascii="Cambria" w:hAnsi="Cambria" w:cs="Times New Roman"/>
          <w:b/>
          <w:bCs/>
          <w:sz w:val="24"/>
          <w:szCs w:val="24"/>
        </w:rPr>
      </w:pPr>
      <w:bookmarkStart w:id="75" w:name="_Toc400977390"/>
      <w:bookmarkStart w:id="76" w:name="_Toc400977259"/>
      <w:bookmarkStart w:id="77" w:name="_Toc25059"/>
      <w:r>
        <w:rPr>
          <w:rFonts w:hint="eastAsia" w:ascii="Cambria" w:hAnsi="Cambria" w:cs="Times New Roman"/>
          <w:b/>
          <w:bCs/>
          <w:sz w:val="24"/>
          <w:szCs w:val="24"/>
        </w:rPr>
        <w:t>1.1 软件概述</w:t>
      </w:r>
      <w:bookmarkEnd w:id="75"/>
      <w:bookmarkEnd w:id="76"/>
      <w:bookmarkEnd w:id="7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辛孚原油评价系统软件基于辛孚能源十余年积累的3000多种原油分子级数据，用户提交原油评价报告后系统通过先进的拟合算法生成详细的评价数据，可以有效指导石化企业精细化生产，帮助企业提升利润。软件包括四大功能：原油评价报告上传和管理，详细数据图表展示，自定义馏分段切割，自定义原油混合。</w:t>
      </w:r>
    </w:p>
    <w:p>
      <w:pPr>
        <w:spacing w:before="240" w:after="60" w:line="360" w:lineRule="auto"/>
        <w:jc w:val="left"/>
        <w:outlineLvl w:val="0"/>
        <w:rPr>
          <w:rFonts w:ascii="Cambria" w:hAnsi="Cambria" w:cs="Times New Roman"/>
          <w:b/>
          <w:bCs/>
          <w:sz w:val="24"/>
          <w:szCs w:val="24"/>
        </w:rPr>
      </w:pPr>
      <w:bookmarkStart w:id="78" w:name="_Toc400977260"/>
      <w:bookmarkStart w:id="79" w:name="_Toc400977391"/>
      <w:bookmarkStart w:id="80" w:name="_Toc6723"/>
      <w:r>
        <w:rPr>
          <w:rFonts w:hint="eastAsia" w:ascii="Cambria" w:hAnsi="Cambria" w:cs="Times New Roman"/>
          <w:b/>
          <w:bCs/>
          <w:sz w:val="24"/>
          <w:szCs w:val="24"/>
        </w:rPr>
        <w:t>1.2 软件</w:t>
      </w:r>
      <w:bookmarkEnd w:id="78"/>
      <w:bookmarkEnd w:id="79"/>
      <w:r>
        <w:rPr>
          <w:rFonts w:hint="eastAsia" w:ascii="Cambria" w:hAnsi="Cambria" w:cs="Times New Roman"/>
          <w:b/>
          <w:bCs/>
          <w:sz w:val="24"/>
          <w:szCs w:val="24"/>
        </w:rPr>
        <w:t>系统架构</w:t>
      </w:r>
      <w:bookmarkEnd w:id="80"/>
    </w:p>
    <w:p>
      <w:pPr>
        <w:spacing w:line="360" w:lineRule="auto"/>
        <w:ind w:firstLine="420" w:firstLineChars="200"/>
        <w:rPr>
          <w:rFonts w:ascii="Times New Roman" w:hAnsi="Times New Roman" w:cs="Times New Roman"/>
          <w:sz w:val="24"/>
          <w:szCs w:val="24"/>
        </w:rPr>
      </w:pPr>
      <w:r>
        <w:rPr>
          <w:rFonts w:hint="eastAsia" w:ascii="宋体" w:hAnsi="宋体"/>
        </w:rPr>
        <w:t xml:space="preserve"> </w:t>
      </w:r>
      <w:r>
        <w:rPr>
          <w:rFonts w:hint="eastAsia" w:ascii="Times New Roman" w:hAnsi="Times New Roman" w:cs="Times New Roman"/>
          <w:sz w:val="24"/>
          <w:szCs w:val="24"/>
        </w:rPr>
        <w:t>辛孚原油评价系统软件采用先进的云服务模式，算法模块的计算以及后台数据库放置在安全设置严格、性能出色的云服务器上，用户通过访问辛孚能源提供的网址并登录即可使用原油评价系统的相关功能。该系统可靠性强，扩展性好，同时也支持台式机/笔记本/PAD等多种类型终端访问。其结构图如图 1-1 所示。</w:t>
      </w:r>
    </w:p>
    <w:p>
      <w:pPr>
        <w:spacing w:line="360" w:lineRule="auto"/>
        <w:rPr>
          <w:rFonts w:ascii="宋体" w:hAnsi="宋体"/>
        </w:rPr>
      </w:pPr>
      <w:r>
        <w:rPr>
          <w:rFonts w:hint="eastAsia" w:ascii="宋体" w:hAnsi="宋体"/>
        </w:rPr>
        <w:drawing>
          <wp:inline distT="0" distB="0" distL="114300" distR="114300">
            <wp:extent cx="5182235" cy="4376420"/>
            <wp:effectExtent l="0" t="0" r="18415" b="5080"/>
            <wp:docPr id="4" name="图片 4" descr="原油评价系统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原油评价系统方案"/>
                    <pic:cNvPicPr>
                      <a:picLocks noChangeAspect="1"/>
                    </pic:cNvPicPr>
                  </pic:nvPicPr>
                  <pic:blipFill>
                    <a:blip r:embed="rId6"/>
                    <a:stretch>
                      <a:fillRect/>
                    </a:stretch>
                  </pic:blipFill>
                  <pic:spPr>
                    <a:xfrm>
                      <a:off x="0" y="0"/>
                      <a:ext cx="5182235" cy="4376420"/>
                    </a:xfrm>
                    <a:prstGeom prst="rect">
                      <a:avLst/>
                    </a:prstGeom>
                  </pic:spPr>
                </pic:pic>
              </a:graphicData>
            </a:graphic>
          </wp:inline>
        </w:drawing>
      </w:r>
    </w:p>
    <w:p>
      <w:pPr>
        <w:spacing w:line="360" w:lineRule="auto"/>
        <w:rPr>
          <w:rFonts w:ascii="Times New Roman" w:hAnsi="Times New Roman" w:cs="Times New Roman"/>
          <w:sz w:val="24"/>
          <w:szCs w:val="24"/>
        </w:rPr>
      </w:pPr>
      <w:r>
        <w:rPr>
          <w:rFonts w:hint="eastAsia" w:ascii="宋体" w:hAnsi="宋体"/>
        </w:rPr>
        <w:t xml:space="preserve">                          </w:t>
      </w:r>
      <w:r>
        <w:rPr>
          <w:rFonts w:ascii="宋体" w:hAnsi="宋体"/>
        </w:rPr>
        <w:t xml:space="preserve">图 </w:t>
      </w:r>
      <w:r>
        <w:rPr>
          <w:rFonts w:hint="eastAsia" w:ascii="宋体" w:hAnsi="宋体"/>
        </w:rPr>
        <w:t>1-</w:t>
      </w:r>
      <w:r>
        <w:rPr>
          <w:rFonts w:ascii="宋体" w:hAnsi="宋体"/>
        </w:rPr>
        <w:t>1</w:t>
      </w:r>
      <w:r>
        <w:rPr>
          <w:rFonts w:hint="eastAsia"/>
        </w:rPr>
        <w:t xml:space="preserve"> </w:t>
      </w:r>
      <w:r>
        <w:rPr>
          <w:rFonts w:ascii="宋体" w:hAnsi="宋体"/>
        </w:rPr>
        <w:t>辛孚</w:t>
      </w:r>
      <w:r>
        <w:rPr>
          <w:rFonts w:hint="eastAsia" w:ascii="宋体" w:hAnsi="宋体"/>
        </w:rPr>
        <w:t>原油评价系统IT架构</w:t>
      </w:r>
    </w:p>
    <w:p>
      <w:pPr>
        <w:pStyle w:val="2"/>
        <w:spacing w:line="360" w:lineRule="auto"/>
        <w:rPr>
          <w:b w:val="0"/>
          <w:bCs w:val="0"/>
        </w:rPr>
      </w:pPr>
      <w:bookmarkStart w:id="81" w:name="_Toc23725"/>
      <w:bookmarkStart w:id="82" w:name="_Toc21223"/>
      <w:bookmarkStart w:id="83" w:name="_Toc16879"/>
      <w:bookmarkStart w:id="84" w:name="_Toc3992"/>
      <w:bookmarkStart w:id="85" w:name="_Toc23189"/>
      <w:bookmarkStart w:id="86" w:name="_Toc400977265"/>
      <w:bookmarkStart w:id="87" w:name="_Toc400977396"/>
      <w:r>
        <w:rPr>
          <w:rFonts w:hint="eastAsia"/>
        </w:rPr>
        <w:br w:type="page"/>
      </w:r>
      <w:bookmarkEnd w:id="81"/>
      <w:bookmarkEnd w:id="82"/>
      <w:bookmarkEnd w:id="83"/>
      <w:bookmarkEnd w:id="84"/>
      <w:bookmarkEnd w:id="85"/>
    </w:p>
    <w:p>
      <w:pPr>
        <w:spacing w:before="240" w:after="60" w:line="360" w:lineRule="auto"/>
        <w:jc w:val="left"/>
        <w:outlineLvl w:val="0"/>
        <w:rPr>
          <w:rFonts w:ascii="Cambria" w:hAnsi="Cambria" w:cs="Times New Roman"/>
          <w:b/>
          <w:bCs/>
          <w:sz w:val="24"/>
          <w:szCs w:val="24"/>
        </w:rPr>
      </w:pPr>
      <w:bookmarkStart w:id="88" w:name="_Toc28456"/>
      <w:r>
        <w:rPr>
          <w:rFonts w:hint="eastAsia" w:ascii="Cambria" w:hAnsi="Cambria" w:cs="Times New Roman"/>
          <w:b/>
          <w:bCs/>
          <w:sz w:val="24"/>
          <w:szCs w:val="24"/>
        </w:rPr>
        <w:t>1.3 软件算法模型</w:t>
      </w:r>
      <w:bookmarkEnd w:id="88"/>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    辛孚原油评价系统软件主要由辛孚研发的具有自主知识产权的四大核心算法构成，相关的算法模型介绍如下：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搜索算法：从辛孚3000多种原油评价数据库中找到与客户原油评价报告最接近的原油。搜索采用先进的模式识别算法，找出一个或若干个最具代表性的原油匹配。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拟合算法：运用辛孚能源针对收率分布、性质分布所开发的各种拟合模型，将最接近原油的详细数据与客户评价报告的数据进行微调，同时确保三点：a）确保性质与收率的连续性；b）确保宽馏分收率与性质与实测数据吻合；c）确保宽馏分内的收率与性质分布符合实际分布。</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 切割算法：采用辛孚自主开发的切割算法，充分考虑气液相平衡带来的馏分重叠，可根据用户输入的任意馏分段温度，计算馏分的收率、密度、硫含量等物性。并设置可调切割参数，用户可通过调节切割参数使得软件模拟切割与常减压装置实际数据相吻合，提高模拟准确性。</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4) 混合算法：采用辛孚自主开发的混合模型算法，充分考虑线性混合和非线性混合性质（如辛烷值、十六烷值、粘度等），准确预测混合原油的详细数据。</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89" w:name="_Toc9691"/>
      <w:r>
        <w:rPr>
          <w:rFonts w:hint="eastAsia" w:ascii="Times New Roman" w:hAnsi="Times New Roman" w:cs="Times New Roman"/>
          <w:b/>
          <w:bCs/>
          <w:kern w:val="44"/>
          <w:sz w:val="32"/>
          <w:szCs w:val="32"/>
        </w:rPr>
        <w:t>软件简介</w:t>
      </w:r>
      <w:bookmarkEnd w:id="89"/>
    </w:p>
    <w:p>
      <w:pPr>
        <w:spacing w:before="240" w:after="60" w:line="360" w:lineRule="auto"/>
        <w:jc w:val="left"/>
        <w:outlineLvl w:val="0"/>
        <w:rPr>
          <w:rFonts w:ascii="Cambria" w:hAnsi="Cambria" w:cs="Times New Roman"/>
          <w:b/>
          <w:bCs/>
          <w:sz w:val="24"/>
          <w:szCs w:val="24"/>
        </w:rPr>
      </w:pPr>
      <w:bookmarkStart w:id="90" w:name="_Toc4944"/>
      <w:r>
        <w:rPr>
          <w:rFonts w:hint="eastAsia" w:ascii="Cambria" w:hAnsi="Cambria" w:cs="Times New Roman"/>
          <w:b/>
          <w:bCs/>
          <w:sz w:val="24"/>
          <w:szCs w:val="24"/>
        </w:rPr>
        <w:t>2.1 软件登录</w:t>
      </w:r>
      <w:bookmarkEnd w:id="9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辛孚原油评价系统软件登录界面如图2-1所示，用户只需要登录网址输入用户名和密码，即可访问辛孚原油评价系统。</w:t>
      </w:r>
      <w:bookmarkStart w:id="91" w:name="_Toc2777"/>
    </w:p>
    <w:bookmarkEnd w:id="91"/>
    <w:p>
      <w:pPr>
        <w:spacing w:line="360" w:lineRule="auto"/>
      </w:pPr>
      <w:r>
        <w:rPr>
          <w:rFonts w:hint="eastAsia"/>
          <w:lang w:val="en-US" w:eastAsia="zh-CN"/>
        </w:rPr>
        <w:t xml:space="preserve">     </w:t>
      </w:r>
      <w:r>
        <w:drawing>
          <wp:inline distT="0" distB="0" distL="114300" distR="114300">
            <wp:extent cx="5268595" cy="2245360"/>
            <wp:effectExtent l="0" t="0" r="825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68595" cy="2245360"/>
                    </a:xfrm>
                    <a:prstGeom prst="rect">
                      <a:avLst/>
                    </a:prstGeom>
                    <a:noFill/>
                    <a:ln w="9525">
                      <a:noFill/>
                    </a:ln>
                  </pic:spPr>
                </pic:pic>
              </a:graphicData>
            </a:graphic>
          </wp:inline>
        </w:drawing>
      </w:r>
    </w:p>
    <w:p>
      <w:pPr>
        <w:ind w:firstLine="2730" w:firstLineChars="1300"/>
        <w:rPr>
          <w:rFonts w:ascii="宋体" w:hAnsi="宋体"/>
        </w:rPr>
      </w:pPr>
      <w:bookmarkStart w:id="92" w:name="_Toc22812"/>
      <w:r>
        <w:rPr>
          <w:rFonts w:ascii="宋体" w:hAnsi="宋体"/>
        </w:rPr>
        <w:t xml:space="preserve">图 </w:t>
      </w:r>
      <w:r>
        <w:rPr>
          <w:rFonts w:hint="eastAsia" w:ascii="宋体" w:hAnsi="宋体"/>
        </w:rPr>
        <w:t>2-</w:t>
      </w:r>
      <w:r>
        <w:rPr>
          <w:rFonts w:ascii="宋体" w:hAnsi="宋体"/>
        </w:rPr>
        <w:t>1</w:t>
      </w:r>
      <w:r>
        <w:rPr>
          <w:rFonts w:hint="eastAsia" w:ascii="宋体" w:hAnsi="宋体"/>
        </w:rPr>
        <w:t xml:space="preserve"> 辛孚原油评价系统软件登录</w:t>
      </w:r>
      <w:bookmarkEnd w:id="92"/>
    </w:p>
    <w:p>
      <w:pPr>
        <w:spacing w:before="240" w:after="60" w:line="360" w:lineRule="auto"/>
        <w:jc w:val="left"/>
        <w:outlineLvl w:val="0"/>
        <w:rPr>
          <w:rFonts w:ascii="Cambria" w:hAnsi="Cambria" w:cs="Times New Roman"/>
          <w:b/>
          <w:bCs/>
          <w:sz w:val="24"/>
          <w:szCs w:val="24"/>
        </w:rPr>
      </w:pPr>
      <w:bookmarkStart w:id="93" w:name="_Toc16693"/>
      <w:r>
        <w:rPr>
          <w:rFonts w:hint="eastAsia" w:ascii="Cambria" w:hAnsi="Cambria" w:cs="Times New Roman"/>
          <w:b/>
          <w:bCs/>
          <w:sz w:val="24"/>
          <w:szCs w:val="24"/>
        </w:rPr>
        <w:t>2.2 软件主界面</w:t>
      </w:r>
      <w:bookmarkEnd w:id="93"/>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辛孚原油评价系统软件主界面如图2-2所示，共有三大部分：左侧菜单栏、顶部信息栏以及中间操作区。菜单栏用来显示原油评价系统菜单选项，可以根据客户需要定制菜单；信息栏有窗口自动收放功能，显示系统通知以及原油评价操作提醒等信息；中间的操作区主要包括四大功能：原油评价报告上传与管理，原油详细数据图表展示，自定义馏分段切割以及自定义原油混合，具体介绍请参考第三章、第四章、第五章以及第六章。</w:t>
      </w:r>
    </w:p>
    <w:p>
      <w:pPr>
        <w:spacing w:line="360" w:lineRule="auto"/>
      </w:pPr>
      <w:r>
        <w:rPr>
          <w:rFonts w:hint="eastAsia"/>
          <w:lang w:val="en-US" w:eastAsia="zh-CN"/>
        </w:rPr>
        <w:t xml:space="preserve">  </w:t>
      </w:r>
      <w:r>
        <w:drawing>
          <wp:inline distT="0" distB="0" distL="114300" distR="114300">
            <wp:extent cx="5264150" cy="2681605"/>
            <wp:effectExtent l="0" t="0" r="1270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4150" cy="2681605"/>
                    </a:xfrm>
                    <a:prstGeom prst="rect">
                      <a:avLst/>
                    </a:prstGeom>
                    <a:noFill/>
                    <a:ln w="9525">
                      <a:noFill/>
                    </a:ln>
                  </pic:spPr>
                </pic:pic>
              </a:graphicData>
            </a:graphic>
          </wp:inline>
        </w:drawing>
      </w:r>
    </w:p>
    <w:p>
      <w:pPr>
        <w:rPr>
          <w:rFonts w:ascii="宋体" w:hAnsi="宋体"/>
        </w:rPr>
      </w:pPr>
      <w:r>
        <w:rPr>
          <w:rFonts w:hint="eastAsia" w:ascii="宋体" w:hAnsi="宋体"/>
        </w:rPr>
        <w:t xml:space="preserve">                          </w:t>
      </w:r>
      <w:r>
        <w:rPr>
          <w:rFonts w:ascii="宋体" w:hAnsi="宋体"/>
        </w:rPr>
        <w:t xml:space="preserve">图 </w:t>
      </w:r>
      <w:r>
        <w:rPr>
          <w:rFonts w:hint="eastAsia" w:ascii="宋体" w:hAnsi="宋体"/>
        </w:rPr>
        <w:t xml:space="preserve">2-2 </w:t>
      </w:r>
      <w:r>
        <w:rPr>
          <w:rFonts w:ascii="宋体" w:hAnsi="宋体"/>
        </w:rPr>
        <w:t>辛孚</w:t>
      </w:r>
      <w:r>
        <w:rPr>
          <w:rFonts w:hint="eastAsia" w:ascii="宋体" w:hAnsi="宋体"/>
        </w:rPr>
        <w:t>原油评价系统软件界面</w:t>
      </w:r>
    </w:p>
    <w:p>
      <w:pPr>
        <w:spacing w:before="240" w:after="60" w:line="360" w:lineRule="auto"/>
        <w:jc w:val="left"/>
        <w:outlineLvl w:val="0"/>
        <w:rPr>
          <w:rFonts w:ascii="Cambria" w:hAnsi="Cambria" w:cs="Times New Roman"/>
          <w:b/>
          <w:bCs/>
          <w:sz w:val="24"/>
          <w:szCs w:val="24"/>
        </w:rPr>
      </w:pPr>
      <w:bookmarkStart w:id="94" w:name="_Toc5094"/>
      <w:r>
        <w:rPr>
          <w:rFonts w:hint="eastAsia" w:ascii="Cambria" w:hAnsi="Cambria" w:cs="Times New Roman"/>
          <w:b/>
          <w:bCs/>
          <w:sz w:val="24"/>
          <w:szCs w:val="24"/>
        </w:rPr>
        <w:t>2.3 软件客户端配置</w:t>
      </w:r>
      <w:bookmarkEnd w:id="94"/>
    </w:p>
    <w:p>
      <w:pPr>
        <w:widowControl/>
        <w:numPr>
          <w:ilvl w:val="0"/>
          <w:numId w:val="2"/>
        </w:numPr>
        <w:tabs>
          <w:tab w:val="left" w:pos="540"/>
          <w:tab w:val="clear" w:pos="420"/>
        </w:tabs>
        <w:ind w:hanging="240"/>
        <w:jc w:val="left"/>
        <w:rPr>
          <w:rFonts w:ascii="宋体" w:hAnsi="宋体"/>
          <w:b/>
          <w:color w:val="000000"/>
        </w:rPr>
      </w:pPr>
      <w:r>
        <w:rPr>
          <w:rFonts w:hint="eastAsia" w:ascii="宋体" w:hAnsi="宋体"/>
          <w:b/>
          <w:color w:val="000000"/>
        </w:rPr>
        <w:t>硬件系统推荐配置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CPU：i5-6500或以上</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内存：2G或以上</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显卡：集成显卡或独立显卡</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LAN：100Mb以上</w:t>
      </w:r>
    </w:p>
    <w:p>
      <w:pPr>
        <w:widowControl/>
        <w:numPr>
          <w:ilvl w:val="0"/>
          <w:numId w:val="2"/>
        </w:numPr>
        <w:ind w:hanging="240"/>
        <w:jc w:val="left"/>
        <w:rPr>
          <w:rFonts w:ascii="宋体" w:hAnsi="宋体"/>
          <w:color w:val="000000"/>
        </w:rPr>
      </w:pPr>
      <w:r>
        <w:rPr>
          <w:rFonts w:hint="eastAsia" w:ascii="宋体" w:hAnsi="宋体"/>
          <w:b/>
          <w:color w:val="000000"/>
        </w:rPr>
        <w:t xml:space="preserve"> 软件系统推荐配置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操作系统：Win2000/Windows XP SP2/Windows Server2005/Win7及以上系统</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运行环境：Microsoft IE/Chrome/Firefox等主流浏览器</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95" w:name="_Toc2346"/>
      <w:r>
        <w:rPr>
          <w:rFonts w:hint="eastAsia" w:ascii="Times New Roman" w:hAnsi="Times New Roman" w:cs="Times New Roman"/>
          <w:b/>
          <w:bCs/>
          <w:kern w:val="44"/>
          <w:sz w:val="32"/>
          <w:szCs w:val="32"/>
        </w:rPr>
        <w:t>原油评价编辑与上传</w:t>
      </w:r>
      <w:bookmarkEnd w:id="95"/>
    </w:p>
    <w:p>
      <w:pPr>
        <w:pStyle w:val="17"/>
        <w:spacing w:before="0" w:after="0" w:line="360" w:lineRule="auto"/>
        <w:rPr>
          <w:sz w:val="24"/>
          <w:szCs w:val="24"/>
        </w:rPr>
      </w:pPr>
      <w:bookmarkStart w:id="96" w:name="_Toc6665"/>
      <w:r>
        <w:rPr>
          <w:rFonts w:hint="eastAsia"/>
          <w:sz w:val="24"/>
          <w:szCs w:val="24"/>
        </w:rPr>
        <w:t>3.1 原油评价报告模板编辑</w:t>
      </w:r>
      <w:bookmarkEnd w:id="96"/>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根据石化企业生产的实际情况，通常会生成原油全评报告、简评报告和快评报告。辛孚原油评价系统软件的数据输入基于用户生成的原油评价报告，主要提供两种类型的导入方式：</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模板输入方式：用户需要将全评报告/简评报告/快评报告填入《辛孚能源原油评价报告模板》，文件格式为Excel格式，然后上传模板到系统(见3.2说明)。</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自动输入方式：根据用户提供的输入格式，编写软件自动读取相关数据并上传到系统(需要根据用户</w:t>
      </w:r>
      <w:r>
        <w:rPr>
          <w:rFonts w:hint="eastAsia" w:ascii="Times New Roman" w:hAnsi="Times New Roman" w:cs="Times New Roman"/>
          <w:sz w:val="24"/>
          <w:szCs w:val="24"/>
          <w:lang w:val="en-US" w:eastAsia="zh-CN"/>
        </w:rPr>
        <w:t>具体</w:t>
      </w:r>
      <w:r>
        <w:rPr>
          <w:rFonts w:hint="eastAsia" w:ascii="Times New Roman" w:hAnsi="Times New Roman" w:cs="Times New Roman"/>
          <w:sz w:val="24"/>
          <w:szCs w:val="24"/>
        </w:rPr>
        <w:t>需求定制)。</w:t>
      </w:r>
    </w:p>
    <w:p>
      <w:pPr>
        <w:spacing w:before="240" w:after="60" w:line="360" w:lineRule="auto"/>
        <w:jc w:val="left"/>
        <w:outlineLvl w:val="0"/>
        <w:rPr>
          <w:rFonts w:ascii="Cambria" w:hAnsi="Cambria" w:cs="Times New Roman"/>
          <w:b/>
          <w:bCs/>
          <w:sz w:val="24"/>
          <w:szCs w:val="24"/>
        </w:rPr>
      </w:pPr>
      <w:bookmarkStart w:id="97" w:name="_Toc11093"/>
      <w:r>
        <w:rPr>
          <w:rFonts w:hint="eastAsia" w:ascii="Cambria" w:hAnsi="Cambria" w:cs="Times New Roman"/>
          <w:b/>
          <w:bCs/>
          <w:sz w:val="24"/>
          <w:szCs w:val="24"/>
        </w:rPr>
        <w:t>3.2 原油评价报告模板上传</w:t>
      </w:r>
      <w:bookmarkEnd w:id="97"/>
    </w:p>
    <w:p>
      <w:pPr>
        <w:spacing w:line="360" w:lineRule="auto"/>
        <w:ind w:firstLine="420" w:firstLineChars="0"/>
        <w:rPr>
          <w:rFonts w:ascii="Times New Roman" w:hAnsi="Times New Roman" w:cs="Times New Roman"/>
          <w:sz w:val="24"/>
          <w:szCs w:val="24"/>
        </w:rPr>
      </w:pPr>
      <w:r>
        <w:rPr>
          <w:rFonts w:hint="eastAsia" w:ascii="Times New Roman" w:hAnsi="Times New Roman" w:cs="Times New Roman"/>
          <w:sz w:val="24"/>
          <w:szCs w:val="24"/>
        </w:rPr>
        <w:t>点击左侧原油</w:t>
      </w:r>
      <w:r>
        <w:rPr>
          <w:rFonts w:hint="eastAsia" w:ascii="Times New Roman" w:hAnsi="Times New Roman" w:cs="Times New Roman"/>
          <w:sz w:val="24"/>
          <w:szCs w:val="24"/>
          <w:lang w:val="en-US" w:eastAsia="zh-CN"/>
        </w:rPr>
        <w:t>自建数据</w:t>
      </w:r>
      <w:r>
        <w:rPr>
          <w:rFonts w:hint="eastAsia" w:ascii="Times New Roman" w:hAnsi="Times New Roman" w:cs="Times New Roman"/>
          <w:sz w:val="24"/>
          <w:szCs w:val="24"/>
        </w:rPr>
        <w:t>主菜单&gt;&gt;</w:t>
      </w:r>
      <w:r>
        <w:rPr>
          <w:rFonts w:hint="eastAsia" w:ascii="Times New Roman" w:hAnsi="Times New Roman" w:cs="Times New Roman"/>
          <w:sz w:val="24"/>
          <w:szCs w:val="24"/>
          <w:lang w:val="en-US" w:eastAsia="zh-CN"/>
        </w:rPr>
        <w:t>报告管理</w:t>
      </w:r>
      <w:r>
        <w:rPr>
          <w:rFonts w:hint="eastAsia" w:ascii="Times New Roman" w:hAnsi="Times New Roman" w:cs="Times New Roman"/>
          <w:sz w:val="24"/>
          <w:szCs w:val="24"/>
        </w:rPr>
        <w:t>，然后选择上传原油评价报告模板，上传流程如图3-1所示，主要包括四大步骤：1.</w:t>
      </w:r>
      <w:r>
        <w:rPr>
          <w:rFonts w:hint="eastAsia" w:ascii="Times New Roman" w:hAnsi="Times New Roman" w:cs="Times New Roman"/>
          <w:sz w:val="24"/>
          <w:szCs w:val="24"/>
          <w:lang w:val="en-US" w:eastAsia="zh-CN"/>
        </w:rPr>
        <w:t>进入报告管理界面</w:t>
      </w:r>
      <w:r>
        <w:rPr>
          <w:rFonts w:hint="eastAsia" w:ascii="Times New Roman" w:hAnsi="Times New Roman" w:cs="Times New Roman"/>
          <w:sz w:val="24"/>
          <w:szCs w:val="24"/>
        </w:rPr>
        <w:t>，2.输入上传文件名称，3.选择辛孚原油全评模板文件，4.点击“上传”按钮。</w:t>
      </w:r>
    </w:p>
    <w:p>
      <w:pPr>
        <w:spacing w:line="360" w:lineRule="auto"/>
      </w:pPr>
      <w:r>
        <w:drawing>
          <wp:inline distT="0" distB="0" distL="114300" distR="114300">
            <wp:extent cx="5261610" cy="564515"/>
            <wp:effectExtent l="0" t="0" r="1524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9"/>
                    <a:stretch>
                      <a:fillRect/>
                    </a:stretch>
                  </pic:blipFill>
                  <pic:spPr>
                    <a:xfrm>
                      <a:off x="0" y="0"/>
                      <a:ext cx="5261610" cy="564515"/>
                    </a:xfrm>
                    <a:prstGeom prst="rect">
                      <a:avLst/>
                    </a:prstGeom>
                    <a:noFill/>
                    <a:ln w="9525">
                      <a:noFill/>
                    </a:ln>
                  </pic:spPr>
                </pic:pic>
              </a:graphicData>
            </a:graphic>
          </wp:inline>
        </w:drawing>
      </w:r>
    </w:p>
    <w:p>
      <w:pPr>
        <w:ind w:firstLine="2730" w:firstLineChars="1300"/>
        <w:rPr>
          <w:rFonts w:ascii="宋体" w:hAnsi="宋体"/>
        </w:rPr>
      </w:pPr>
      <w:r>
        <w:rPr>
          <w:rFonts w:ascii="宋体" w:hAnsi="宋体"/>
        </w:rPr>
        <w:t xml:space="preserve">图 </w:t>
      </w:r>
      <w:r>
        <w:rPr>
          <w:rFonts w:hint="eastAsia" w:ascii="宋体" w:hAnsi="宋体"/>
        </w:rPr>
        <w:t>3-1</w:t>
      </w:r>
      <w:r>
        <w:rPr>
          <w:rFonts w:hint="eastAsia"/>
        </w:rPr>
        <w:t xml:space="preserve"> </w:t>
      </w:r>
      <w:r>
        <w:rPr>
          <w:rFonts w:ascii="宋体" w:hAnsi="宋体"/>
        </w:rPr>
        <w:t>辛孚</w:t>
      </w:r>
      <w:r>
        <w:rPr>
          <w:rFonts w:hint="eastAsia" w:ascii="宋体" w:hAnsi="宋体"/>
        </w:rPr>
        <w:t>原油评价报告上传界面</w:t>
      </w:r>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 xml:space="preserve"> 上传成功</w:t>
      </w:r>
      <w:r>
        <w:rPr>
          <w:rFonts w:hint="eastAsia" w:ascii="Times New Roman" w:hAnsi="Times New Roman" w:cs="Times New Roman"/>
          <w:sz w:val="24"/>
          <w:szCs w:val="24"/>
          <w:lang w:val="en-US" w:eastAsia="zh-CN"/>
        </w:rPr>
        <w:t>后</w:t>
      </w:r>
      <w:r>
        <w:rPr>
          <w:rFonts w:hint="eastAsia" w:ascii="Times New Roman" w:hAnsi="Times New Roman" w:cs="Times New Roman"/>
          <w:sz w:val="24"/>
          <w:szCs w:val="24"/>
        </w:rPr>
        <w:t>，新上传的原油数据在</w:t>
      </w:r>
      <w:r>
        <w:rPr>
          <w:rFonts w:hint="eastAsia" w:ascii="Times New Roman" w:hAnsi="Times New Roman" w:cs="Times New Roman"/>
          <w:sz w:val="24"/>
          <w:szCs w:val="24"/>
          <w:lang w:val="en-US" w:eastAsia="zh-CN"/>
        </w:rPr>
        <w:t>报告</w:t>
      </w:r>
      <w:r>
        <w:rPr>
          <w:rFonts w:hint="eastAsia" w:ascii="Times New Roman" w:hAnsi="Times New Roman" w:cs="Times New Roman"/>
          <w:sz w:val="24"/>
          <w:szCs w:val="24"/>
        </w:rPr>
        <w:t>管理中出现</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点击数据扩充按钮，后台将自动在原油大数据库中搜索最匹配原油，并对搜索到的数据进行拟合操作，得出5℃间隔的窄馏分更具生产指导意义的数据</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如图3-2</w:t>
      </w:r>
      <w:r>
        <w:rPr>
          <w:rFonts w:hint="eastAsia" w:ascii="Times New Roman" w:hAnsi="Times New Roman" w:cs="Times New Roman"/>
          <w:sz w:val="24"/>
          <w:szCs w:val="24"/>
          <w:lang w:val="en-US" w:eastAsia="zh-CN"/>
        </w:rPr>
        <w:t>和3-3</w:t>
      </w:r>
      <w:r>
        <w:rPr>
          <w:rFonts w:hint="eastAsia" w:ascii="Times New Roman" w:hAnsi="Times New Roman" w:cs="Times New Roman"/>
          <w:sz w:val="24"/>
          <w:szCs w:val="24"/>
        </w:rPr>
        <w:t>所示</w:t>
      </w:r>
      <w:r>
        <w:rPr>
          <w:rFonts w:hint="eastAsia" w:ascii="Times New Roman" w:hAnsi="Times New Roman" w:cs="Times New Roman"/>
          <w:sz w:val="24"/>
          <w:szCs w:val="24"/>
          <w:lang w:eastAsia="zh-CN"/>
        </w:rPr>
        <w:t>。</w:t>
      </w:r>
    </w:p>
    <w:p>
      <w:r>
        <w:rPr>
          <w:rFonts w:hint="eastAsia"/>
          <w:lang w:val="en-US" w:eastAsia="zh-CN"/>
        </w:rPr>
        <w:t xml:space="preserve">   </w:t>
      </w:r>
      <w:r>
        <w:drawing>
          <wp:inline distT="0" distB="0" distL="114300" distR="114300">
            <wp:extent cx="5302250" cy="1442720"/>
            <wp:effectExtent l="0" t="0" r="12700" b="508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0"/>
                    <a:stretch>
                      <a:fillRect/>
                    </a:stretch>
                  </pic:blipFill>
                  <pic:spPr>
                    <a:xfrm>
                      <a:off x="0" y="0"/>
                      <a:ext cx="5302250" cy="1442720"/>
                    </a:xfrm>
                    <a:prstGeom prst="rect">
                      <a:avLst/>
                    </a:prstGeom>
                    <a:noFill/>
                    <a:ln w="9525">
                      <a:noFill/>
                    </a:ln>
                  </pic:spPr>
                </pic:pic>
              </a:graphicData>
            </a:graphic>
          </wp:inline>
        </w:drawing>
      </w:r>
    </w:p>
    <w:p>
      <w:pPr>
        <w:ind w:firstLine="2730" w:firstLineChars="1300"/>
        <w:rPr>
          <w:rFonts w:hint="eastAsia" w:ascii="宋体" w:hAnsi="宋体"/>
        </w:rPr>
      </w:pPr>
      <w:r>
        <w:rPr>
          <w:rFonts w:ascii="宋体" w:hAnsi="宋体"/>
        </w:rPr>
        <w:t xml:space="preserve">图 </w:t>
      </w:r>
      <w:r>
        <w:rPr>
          <w:rFonts w:hint="eastAsia" w:ascii="宋体" w:hAnsi="宋体"/>
        </w:rPr>
        <w:t>3-2</w:t>
      </w:r>
      <w:r>
        <w:rPr>
          <w:rFonts w:hint="eastAsia"/>
        </w:rPr>
        <w:t xml:space="preserve"> </w:t>
      </w:r>
      <w:r>
        <w:rPr>
          <w:rFonts w:ascii="宋体" w:hAnsi="宋体"/>
        </w:rPr>
        <w:t>辛孚</w:t>
      </w:r>
      <w:r>
        <w:rPr>
          <w:rFonts w:hint="eastAsia" w:ascii="宋体" w:hAnsi="宋体"/>
        </w:rPr>
        <w:t>原油评价报告上传成功</w:t>
      </w:r>
    </w:p>
    <w:p>
      <w:pPr>
        <w:spacing w:line="360" w:lineRule="auto"/>
        <w:ind w:firstLine="420" w:firstLineChars="200"/>
        <w:rPr>
          <w:rFonts w:hint="eastAsia" w:ascii="Times New Roman" w:hAnsi="Times New Roman" w:cs="Times New Roman"/>
          <w:sz w:val="24"/>
          <w:szCs w:val="24"/>
        </w:rPr>
      </w:pPr>
      <w:r>
        <w:rPr>
          <w:rFonts w:hint="eastAsia"/>
          <w:lang w:val="en-US" w:eastAsia="zh-CN"/>
        </w:rPr>
        <w:t xml:space="preserve">        </w:t>
      </w:r>
      <w:r>
        <w:drawing>
          <wp:inline distT="0" distB="0" distL="114300" distR="114300">
            <wp:extent cx="3776345" cy="2524760"/>
            <wp:effectExtent l="0" t="0" r="14605" b="889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1"/>
                    <a:stretch>
                      <a:fillRect/>
                    </a:stretch>
                  </pic:blipFill>
                  <pic:spPr>
                    <a:xfrm>
                      <a:off x="0" y="0"/>
                      <a:ext cx="3776345" cy="2524760"/>
                    </a:xfrm>
                    <a:prstGeom prst="rect">
                      <a:avLst/>
                    </a:prstGeom>
                    <a:noFill/>
                    <a:ln w="9525">
                      <a:noFill/>
                    </a:ln>
                  </pic:spPr>
                </pic:pic>
              </a:graphicData>
            </a:graphic>
          </wp:inline>
        </w:drawing>
      </w:r>
    </w:p>
    <w:p>
      <w:pPr>
        <w:ind w:firstLine="2730" w:firstLineChars="1300"/>
        <w:rPr>
          <w:rFonts w:hint="eastAsia" w:ascii="Times New Roman" w:hAnsi="Times New Roman" w:cs="Times New Roman"/>
          <w:sz w:val="24"/>
          <w:szCs w:val="24"/>
          <w:lang w:val="en-US" w:eastAsia="zh-CN"/>
        </w:rPr>
      </w:pPr>
      <w:r>
        <w:rPr>
          <w:rFonts w:ascii="宋体" w:hAnsi="宋体"/>
        </w:rPr>
        <w:t xml:space="preserve">图 </w:t>
      </w:r>
      <w:r>
        <w:rPr>
          <w:rFonts w:hint="eastAsia" w:ascii="宋体" w:hAnsi="宋体"/>
        </w:rPr>
        <w:t>3-</w:t>
      </w:r>
      <w:r>
        <w:rPr>
          <w:rFonts w:hint="eastAsia" w:ascii="宋体" w:hAnsi="宋体"/>
          <w:lang w:val="en-US" w:eastAsia="zh-CN"/>
        </w:rPr>
        <w:t>3</w:t>
      </w:r>
      <w:r>
        <w:rPr>
          <w:rFonts w:hint="eastAsia"/>
        </w:rPr>
        <w:t xml:space="preserve"> </w:t>
      </w:r>
      <w:r>
        <w:rPr>
          <w:rFonts w:ascii="宋体" w:hAnsi="宋体"/>
        </w:rPr>
        <w:t>辛孚</w:t>
      </w:r>
      <w:r>
        <w:rPr>
          <w:rFonts w:hint="eastAsia" w:ascii="宋体" w:hAnsi="宋体"/>
        </w:rPr>
        <w:t>原油评价</w:t>
      </w:r>
      <w:r>
        <w:rPr>
          <w:rFonts w:hint="eastAsia" w:ascii="宋体" w:hAnsi="宋体"/>
          <w:lang w:val="en-US" w:eastAsia="zh-CN"/>
        </w:rPr>
        <w:t>系统数据扩充</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全评管理提供以下几大功能：1.左上角文本框内输入文件名或上传时间可模糊搜索全评文件，2.右上角下拉框可设置当前页显示的文件数量，3.点击表格台头的箭头可升序或降序排序，4.点击右下角页码可翻页浏览，</w:t>
      </w:r>
      <w:r>
        <w:rPr>
          <w:rFonts w:hint="eastAsia" w:ascii="Times New Roman" w:hAnsi="Times New Roman" w:cs="Times New Roman"/>
          <w:sz w:val="24"/>
          <w:szCs w:val="24"/>
          <w:lang w:val="en-US" w:eastAsia="zh-CN"/>
        </w:rPr>
        <w:t>5.点击下载按钮下载已上传的报告文件,6.点击删除按钮删除已上传的报告文件,7.点击查看按钮查看原油详细数据。</w:t>
      </w:r>
      <w:r>
        <w:rPr>
          <w:rFonts w:hint="eastAsia" w:ascii="Times New Roman" w:hAnsi="Times New Roman" w:cs="Times New Roman"/>
          <w:sz w:val="24"/>
          <w:szCs w:val="24"/>
        </w:rPr>
        <w:t>如图3-</w:t>
      </w:r>
      <w:r>
        <w:rPr>
          <w:rFonts w:hint="eastAsia" w:ascii="Times New Roman" w:hAnsi="Times New Roman" w:cs="Times New Roman"/>
          <w:sz w:val="24"/>
          <w:szCs w:val="24"/>
          <w:lang w:val="en-US" w:eastAsia="zh-CN"/>
        </w:rPr>
        <w:t>4</w:t>
      </w:r>
      <w:r>
        <w:rPr>
          <w:rFonts w:hint="eastAsia" w:ascii="Times New Roman" w:hAnsi="Times New Roman" w:cs="Times New Roman"/>
          <w:sz w:val="24"/>
          <w:szCs w:val="24"/>
        </w:rPr>
        <w:t>所示：</w:t>
      </w:r>
    </w:p>
    <w:p>
      <w:pPr>
        <w:rPr>
          <w:rFonts w:ascii="Times New Roman" w:hAnsi="Times New Roman" w:cs="Times New Roman"/>
          <w:sz w:val="24"/>
          <w:szCs w:val="24"/>
        </w:rPr>
      </w:pPr>
      <w:r>
        <w:drawing>
          <wp:inline distT="0" distB="0" distL="114300" distR="114300">
            <wp:extent cx="5264785" cy="2185035"/>
            <wp:effectExtent l="0" t="0" r="12065"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5264785" cy="2185035"/>
                    </a:xfrm>
                    <a:prstGeom prst="rect">
                      <a:avLst/>
                    </a:prstGeom>
                    <a:noFill/>
                    <a:ln w="9525">
                      <a:noFill/>
                    </a:ln>
                  </pic:spPr>
                </pic:pic>
              </a:graphicData>
            </a:graphic>
          </wp:inline>
        </w:drawing>
      </w:r>
    </w:p>
    <w:p>
      <w:pPr>
        <w:jc w:val="center"/>
        <w:rPr>
          <w:rFonts w:ascii="Times New Roman" w:hAnsi="Times New Roman" w:cs="Times New Roman"/>
          <w:sz w:val="24"/>
          <w:szCs w:val="24"/>
        </w:rPr>
      </w:pPr>
      <w:r>
        <w:rPr>
          <w:rFonts w:ascii="宋体" w:hAnsi="宋体"/>
        </w:rPr>
        <w:t xml:space="preserve">图 </w:t>
      </w:r>
      <w:r>
        <w:rPr>
          <w:rFonts w:hint="eastAsia" w:ascii="宋体" w:hAnsi="宋体"/>
        </w:rPr>
        <w:t>3-</w:t>
      </w:r>
      <w:r>
        <w:rPr>
          <w:rFonts w:hint="eastAsia" w:ascii="宋体" w:hAnsi="宋体"/>
          <w:lang w:val="en-US" w:eastAsia="zh-CN"/>
        </w:rPr>
        <w:t>4</w:t>
      </w:r>
      <w:r>
        <w:rPr>
          <w:rFonts w:hint="eastAsia" w:ascii="宋体" w:hAnsi="宋体"/>
        </w:rPr>
        <w:t>原油全评管理功能</w:t>
      </w:r>
    </w:p>
    <w:p>
      <w:pPr>
        <w:spacing w:line="360" w:lineRule="auto"/>
        <w:ind w:firstLine="480" w:firstLineChars="200"/>
        <w:rPr>
          <w:sz w:val="24"/>
          <w:szCs w:val="24"/>
        </w:rPr>
      </w:pPr>
      <w:r>
        <w:rPr>
          <w:rFonts w:hint="eastAsia"/>
          <w:sz w:val="24"/>
          <w:szCs w:val="24"/>
        </w:rPr>
        <w:t>原油详细数据展示是</w:t>
      </w:r>
      <w:r>
        <w:rPr>
          <w:rFonts w:hint="eastAsia" w:ascii="Times New Roman" w:hAnsi="Times New Roman" w:cs="Times New Roman"/>
          <w:sz w:val="24"/>
          <w:szCs w:val="24"/>
        </w:rPr>
        <w:t>辛孚原油评价系统软件的核心功能，依托辛孚自主知识产权的原油大数据库，通过简单操作即可帮助用户提升原油生产加工效率，基本使用流程如下所示</w:t>
      </w:r>
      <w:r>
        <w:rPr>
          <w:rFonts w:hint="eastAsia"/>
          <w:sz w:val="24"/>
          <w:szCs w:val="24"/>
        </w:rPr>
        <w:t>。</w:t>
      </w:r>
    </w:p>
    <w:bookmarkEnd w:id="86"/>
    <w:bookmarkEnd w:id="87"/>
    <w:p>
      <w:pPr>
        <w:spacing w:line="360" w:lineRule="auto"/>
        <w:ind w:firstLine="480" w:firstLineChars="200"/>
      </w:pPr>
      <w:bookmarkStart w:id="98" w:name="_Toc400977279"/>
      <w:bookmarkStart w:id="99" w:name="_Toc400977410"/>
      <w:r>
        <w:rPr>
          <w:rFonts w:hint="eastAsia" w:ascii="Times New Roman" w:hAnsi="Times New Roman" w:cs="Times New Roman"/>
          <w:sz w:val="24"/>
          <w:szCs w:val="24"/>
          <w:lang w:val="en-US" w:eastAsia="zh-CN"/>
        </w:rPr>
        <w:t>进入原油自建数据&gt;&gt;报告管理界面,</w:t>
      </w:r>
      <w:r>
        <w:rPr>
          <w:rFonts w:hint="eastAsia" w:ascii="Times New Roman" w:hAnsi="Times New Roman" w:cs="Times New Roman"/>
          <w:sz w:val="24"/>
          <w:szCs w:val="24"/>
        </w:rPr>
        <w:t>在想要查看的</w:t>
      </w:r>
      <w:r>
        <w:rPr>
          <w:rFonts w:hint="eastAsia"/>
          <w:sz w:val="24"/>
          <w:szCs w:val="24"/>
        </w:rPr>
        <w:t>原油当前行点击</w:t>
      </w:r>
      <w:r>
        <w:rPr>
          <w:rFonts w:hint="eastAsia"/>
          <w:sz w:val="24"/>
          <w:szCs w:val="24"/>
          <w:lang w:val="en-US" w:eastAsia="zh-CN"/>
        </w:rPr>
        <w:t>查看图标</w:t>
      </w:r>
      <w:r>
        <w:rPr>
          <w:rFonts w:hint="eastAsia"/>
          <w:sz w:val="24"/>
          <w:szCs w:val="24"/>
        </w:rPr>
        <w:t>，如图</w:t>
      </w:r>
      <w:r>
        <w:rPr>
          <w:rFonts w:hint="eastAsia"/>
          <w:sz w:val="24"/>
          <w:szCs w:val="24"/>
          <w:lang w:val="en-US" w:eastAsia="zh-CN"/>
        </w:rPr>
        <w:t>3</w:t>
      </w:r>
      <w:r>
        <w:rPr>
          <w:rFonts w:hint="eastAsia"/>
          <w:sz w:val="24"/>
          <w:szCs w:val="24"/>
        </w:rPr>
        <w:t>-</w:t>
      </w:r>
      <w:r>
        <w:rPr>
          <w:rFonts w:hint="eastAsia"/>
          <w:sz w:val="24"/>
          <w:szCs w:val="24"/>
          <w:lang w:val="en-US" w:eastAsia="zh-CN"/>
        </w:rPr>
        <w:t>5</w:t>
      </w:r>
      <w:r>
        <w:rPr>
          <w:rFonts w:hint="eastAsia"/>
          <w:sz w:val="24"/>
          <w:szCs w:val="24"/>
        </w:rPr>
        <w:t>所示。</w:t>
      </w:r>
      <w:r>
        <w:rPr>
          <w:rFonts w:hint="eastAsia"/>
          <w:sz w:val="24"/>
          <w:szCs w:val="24"/>
        </w:rPr>
        <w:br w:type="textWrapping"/>
      </w:r>
      <w:r>
        <w:rPr>
          <w:rFonts w:hint="eastAsia"/>
          <w:sz w:val="24"/>
          <w:szCs w:val="24"/>
          <w:lang w:val="en-US" w:eastAsia="zh-CN"/>
        </w:rPr>
        <w:t xml:space="preserve">   </w:t>
      </w:r>
      <w:r>
        <w:drawing>
          <wp:inline distT="0" distB="0" distL="114300" distR="114300">
            <wp:extent cx="5273675" cy="1981835"/>
            <wp:effectExtent l="0" t="0" r="3175" b="184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3"/>
                    <a:stretch>
                      <a:fillRect/>
                    </a:stretch>
                  </pic:blipFill>
                  <pic:spPr>
                    <a:xfrm>
                      <a:off x="0" y="0"/>
                      <a:ext cx="5273675" cy="1981835"/>
                    </a:xfrm>
                    <a:prstGeom prst="rect">
                      <a:avLst/>
                    </a:prstGeom>
                    <a:noFill/>
                    <a:ln w="9525">
                      <a:noFill/>
                    </a:ln>
                  </pic:spPr>
                </pic:pic>
              </a:graphicData>
            </a:graphic>
          </wp:inline>
        </w:drawing>
      </w:r>
    </w:p>
    <w:p>
      <w:pPr>
        <w:ind w:firstLine="2520" w:firstLineChars="1200"/>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5</w:t>
      </w:r>
      <w:r>
        <w:rPr>
          <w:rFonts w:hint="eastAsia" w:ascii="宋体" w:hAnsi="宋体"/>
        </w:rPr>
        <w:t xml:space="preserve"> 辛孚原油评价系统查看详细数据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w:t>
      </w:r>
      <w:r>
        <w:rPr>
          <w:rFonts w:hint="eastAsia" w:ascii="Times New Roman" w:hAnsi="Times New Roman" w:cs="Times New Roman"/>
          <w:sz w:val="24"/>
          <w:szCs w:val="24"/>
          <w:lang w:val="en-US" w:eastAsia="zh-CN"/>
        </w:rPr>
        <w:t>查看图标</w:t>
      </w:r>
      <w:r>
        <w:rPr>
          <w:rFonts w:hint="eastAsia" w:ascii="Times New Roman" w:hAnsi="Times New Roman" w:cs="Times New Roman"/>
          <w:sz w:val="24"/>
          <w:szCs w:val="24"/>
        </w:rPr>
        <w:t>后系统后台会自动返回该原油详细数据信息并以图表展示，分别如图</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6</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7</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8</w:t>
      </w:r>
      <w:r>
        <w:rPr>
          <w:rFonts w:hint="eastAsia" w:ascii="Times New Roman" w:hAnsi="Times New Roman" w:cs="Times New Roman"/>
          <w:sz w:val="24"/>
          <w:szCs w:val="24"/>
        </w:rPr>
        <w:t>所示。</w:t>
      </w:r>
    </w:p>
    <w:p>
      <w:pPr>
        <w:jc w:val="center"/>
      </w:pPr>
      <w:r>
        <w:rPr>
          <w:rFonts w:hint="eastAsia"/>
          <w:lang w:val="en-US" w:eastAsia="zh-CN"/>
        </w:rPr>
        <w:t xml:space="preserve"> </w:t>
      </w:r>
      <w:r>
        <w:drawing>
          <wp:inline distT="0" distB="0" distL="114300" distR="114300">
            <wp:extent cx="5266690" cy="2763520"/>
            <wp:effectExtent l="0" t="0" r="10160" b="1778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4"/>
                    <a:stretch>
                      <a:fillRect/>
                    </a:stretch>
                  </pic:blipFill>
                  <pic:spPr>
                    <a:xfrm>
                      <a:off x="0" y="0"/>
                      <a:ext cx="5266690" cy="2763520"/>
                    </a:xfrm>
                    <a:prstGeom prst="rect">
                      <a:avLst/>
                    </a:prstGeom>
                    <a:noFill/>
                    <a:ln w="9525">
                      <a:noFill/>
                    </a:ln>
                  </pic:spPr>
                </pic:pic>
              </a:graphicData>
            </a:graphic>
          </wp:inline>
        </w:drawing>
      </w:r>
    </w:p>
    <w:p>
      <w:pPr>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6</w:t>
      </w:r>
      <w:r>
        <w:rPr>
          <w:rFonts w:hint="eastAsia" w:ascii="宋体" w:hAnsi="宋体"/>
        </w:rPr>
        <w:t xml:space="preserve"> 辛孚原油评价系统全油性质表</w:t>
      </w:r>
    </w:p>
    <w:p>
      <w:pPr>
        <w:jc w:val="center"/>
      </w:pPr>
      <w:r>
        <w:drawing>
          <wp:inline distT="0" distB="0" distL="114300" distR="114300">
            <wp:extent cx="5264150" cy="1809115"/>
            <wp:effectExtent l="0" t="0" r="12700" b="6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5"/>
                    <a:stretch>
                      <a:fillRect/>
                    </a:stretch>
                  </pic:blipFill>
                  <pic:spPr>
                    <a:xfrm>
                      <a:off x="0" y="0"/>
                      <a:ext cx="5264150" cy="1809115"/>
                    </a:xfrm>
                    <a:prstGeom prst="rect">
                      <a:avLst/>
                    </a:prstGeom>
                    <a:noFill/>
                    <a:ln w="9525">
                      <a:noFill/>
                    </a:ln>
                  </pic:spPr>
                </pic:pic>
              </a:graphicData>
            </a:graphic>
          </wp:inline>
        </w:drawing>
      </w:r>
    </w:p>
    <w:p>
      <w:pPr>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7</w:t>
      </w:r>
      <w:r>
        <w:rPr>
          <w:rFonts w:hint="eastAsia" w:ascii="宋体" w:hAnsi="宋体"/>
        </w:rPr>
        <w:t xml:space="preserve"> 辛孚原油评价系统馏分收率分布图</w:t>
      </w:r>
    </w:p>
    <w:p>
      <w:pPr>
        <w:spacing w:line="360" w:lineRule="auto"/>
        <w:ind w:firstLine="480" w:firstLineChars="200"/>
      </w:pPr>
      <w:r>
        <w:rPr>
          <w:rFonts w:hint="eastAsia" w:ascii="Times New Roman" w:hAnsi="Times New Roman" w:cs="Times New Roman"/>
          <w:sz w:val="24"/>
          <w:szCs w:val="24"/>
        </w:rPr>
        <w:t>注：馏分收率可通过左侧的滑动条自定义馏分段的温度调整。</w:t>
      </w:r>
    </w:p>
    <w:p>
      <w:pPr>
        <w:spacing w:line="0" w:lineRule="atLeast"/>
      </w:pPr>
      <w:r>
        <w:rPr>
          <w:rFonts w:hint="eastAsia"/>
          <w:lang w:val="en-US" w:eastAsia="zh-CN"/>
        </w:rPr>
        <w:t xml:space="preserve"> </w:t>
      </w:r>
      <w:r>
        <w:drawing>
          <wp:inline distT="0" distB="0" distL="114300" distR="114300">
            <wp:extent cx="5116195" cy="8237220"/>
            <wp:effectExtent l="0" t="0" r="8255"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rcRect l="193" t="102" r="-121" b="38200"/>
                    <a:stretch>
                      <a:fillRect/>
                    </a:stretch>
                  </pic:blipFill>
                  <pic:spPr>
                    <a:xfrm>
                      <a:off x="0" y="0"/>
                      <a:ext cx="5116195" cy="8237220"/>
                    </a:xfrm>
                    <a:prstGeom prst="rect">
                      <a:avLst/>
                    </a:prstGeom>
                    <a:noFill/>
                    <a:ln w="9525">
                      <a:noFill/>
                    </a:ln>
                  </pic:spPr>
                </pic:pic>
              </a:graphicData>
            </a:graphic>
          </wp:inline>
        </w:drawing>
      </w:r>
    </w:p>
    <w:p>
      <w:pPr>
        <w:spacing w:line="0" w:lineRule="atLeast"/>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8</w:t>
      </w:r>
      <w:r>
        <w:rPr>
          <w:rFonts w:hint="eastAsia" w:ascii="宋体" w:hAnsi="宋体"/>
        </w:rPr>
        <w:t xml:space="preserve"> 辛孚原油评价系统关键性质分布图</w:t>
      </w:r>
    </w:p>
    <w:p>
      <w:pPr>
        <w:pStyle w:val="17"/>
        <w:spacing w:before="0" w:after="0" w:line="360" w:lineRule="auto"/>
        <w:ind w:firstLine="480" w:firstLineChars="200"/>
        <w:rPr>
          <w:rFonts w:ascii="Times New Roman" w:hAnsi="Times New Roman"/>
          <w:b w:val="0"/>
          <w:bCs w:val="0"/>
          <w:sz w:val="24"/>
          <w:szCs w:val="24"/>
        </w:rPr>
      </w:pPr>
      <w:bookmarkStart w:id="100" w:name="_Toc14587"/>
      <w:bookmarkStart w:id="101" w:name="_Toc2851"/>
      <w:bookmarkStart w:id="102" w:name="_Toc8667"/>
      <w:bookmarkStart w:id="103" w:name="_Toc3705"/>
      <w:bookmarkStart w:id="104" w:name="_Toc28919"/>
      <w:bookmarkStart w:id="105" w:name="_Toc2995"/>
      <w:bookmarkStart w:id="106" w:name="_Toc19279"/>
      <w:bookmarkStart w:id="107" w:name="_Toc10206"/>
      <w:bookmarkStart w:id="108" w:name="_Toc10725"/>
      <w:r>
        <w:rPr>
          <w:rFonts w:hint="eastAsia" w:ascii="Times New Roman" w:hAnsi="Times New Roman"/>
          <w:b w:val="0"/>
          <w:bCs w:val="0"/>
          <w:sz w:val="24"/>
          <w:szCs w:val="24"/>
        </w:rPr>
        <w:t>关键性质分布图中，可用过右上角操作栏实现查看任意温度段的分布图、详细数据及将现有图保存为图片功能，如图</w:t>
      </w:r>
      <w:r>
        <w:rPr>
          <w:rFonts w:hint="eastAsia" w:ascii="Times New Roman" w:hAnsi="Times New Roman"/>
          <w:b w:val="0"/>
          <w:bCs w:val="0"/>
          <w:sz w:val="24"/>
          <w:szCs w:val="24"/>
          <w:lang w:val="en-US" w:eastAsia="zh-CN"/>
        </w:rPr>
        <w:t>3</w:t>
      </w:r>
      <w:r>
        <w:rPr>
          <w:rFonts w:hint="eastAsia" w:ascii="Times New Roman" w:hAnsi="Times New Roman"/>
          <w:b w:val="0"/>
          <w:bCs w:val="0"/>
          <w:sz w:val="24"/>
          <w:szCs w:val="24"/>
        </w:rPr>
        <w:t>-</w:t>
      </w:r>
      <w:bookmarkEnd w:id="100"/>
      <w:bookmarkEnd w:id="101"/>
      <w:r>
        <w:rPr>
          <w:rFonts w:hint="eastAsia" w:ascii="Times New Roman" w:hAnsi="Times New Roman"/>
          <w:b w:val="0"/>
          <w:bCs w:val="0"/>
          <w:sz w:val="24"/>
          <w:szCs w:val="24"/>
          <w:lang w:val="en-US" w:eastAsia="zh-CN"/>
        </w:rPr>
        <w:t>9</w:t>
      </w:r>
      <w:r>
        <w:rPr>
          <w:rFonts w:hint="eastAsia" w:ascii="Times New Roman" w:hAnsi="Times New Roman"/>
          <w:b w:val="0"/>
          <w:bCs w:val="0"/>
          <w:sz w:val="24"/>
          <w:szCs w:val="24"/>
        </w:rPr>
        <w:t>所示。</w:t>
      </w:r>
      <w:bookmarkEnd w:id="102"/>
      <w:bookmarkEnd w:id="103"/>
      <w:bookmarkEnd w:id="104"/>
      <w:bookmarkEnd w:id="105"/>
      <w:bookmarkEnd w:id="106"/>
      <w:bookmarkEnd w:id="107"/>
      <w:bookmarkEnd w:id="108"/>
    </w:p>
    <w:p>
      <w:pPr>
        <w:pStyle w:val="17"/>
        <w:spacing w:before="0" w:after="0" w:line="360" w:lineRule="auto"/>
      </w:pPr>
      <w:bookmarkStart w:id="109" w:name="_Toc7655"/>
      <w:bookmarkStart w:id="110" w:name="_Toc10107"/>
      <w:bookmarkStart w:id="111" w:name="_Toc14979"/>
      <w:bookmarkStart w:id="112" w:name="_Toc21832"/>
      <w:bookmarkStart w:id="113" w:name="_Toc30757"/>
      <w:bookmarkStart w:id="114" w:name="_Toc21636"/>
      <w:bookmarkStart w:id="115" w:name="_Toc32461"/>
      <w:bookmarkStart w:id="116" w:name="_Toc8563"/>
      <w:bookmarkStart w:id="117" w:name="_Toc23628"/>
      <w:r>
        <w:drawing>
          <wp:inline distT="0" distB="0" distL="114300" distR="114300">
            <wp:extent cx="5269865" cy="1950720"/>
            <wp:effectExtent l="0" t="0" r="6985"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69865" cy="1950720"/>
                    </a:xfrm>
                    <a:prstGeom prst="rect">
                      <a:avLst/>
                    </a:prstGeom>
                    <a:noFill/>
                    <a:ln w="9525">
                      <a:noFill/>
                    </a:ln>
                  </pic:spPr>
                </pic:pic>
              </a:graphicData>
            </a:graphic>
          </wp:inline>
        </w:drawing>
      </w:r>
      <w:bookmarkEnd w:id="109"/>
      <w:bookmarkEnd w:id="110"/>
      <w:bookmarkEnd w:id="111"/>
      <w:bookmarkEnd w:id="112"/>
      <w:bookmarkEnd w:id="113"/>
      <w:bookmarkEnd w:id="114"/>
      <w:bookmarkEnd w:id="115"/>
      <w:bookmarkEnd w:id="116"/>
      <w:bookmarkEnd w:id="117"/>
    </w:p>
    <w:p>
      <w:pPr>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9</w:t>
      </w:r>
      <w:r>
        <w:rPr>
          <w:rFonts w:hint="eastAsia" w:ascii="宋体" w:hAnsi="宋体"/>
        </w:rPr>
        <w:t xml:space="preserve"> 辛孚原油评价系统关键性质分布图操作栏详解</w:t>
      </w:r>
    </w:p>
    <w:p>
      <w:pPr>
        <w:pStyle w:val="17"/>
        <w:spacing w:before="0" w:after="0" w:line="360" w:lineRule="auto"/>
        <w:rPr>
          <w:sz w:val="24"/>
          <w:szCs w:val="24"/>
        </w:rPr>
      </w:pP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18" w:name="_Toc10879"/>
      <w:r>
        <w:rPr>
          <w:rFonts w:hint="eastAsia" w:ascii="Times New Roman" w:hAnsi="Times New Roman" w:cs="Times New Roman"/>
          <w:b/>
          <w:bCs/>
          <w:kern w:val="44"/>
          <w:sz w:val="32"/>
          <w:szCs w:val="32"/>
        </w:rPr>
        <w:t>原油</w:t>
      </w:r>
      <w:r>
        <w:rPr>
          <w:rFonts w:hint="eastAsia" w:ascii="Times New Roman" w:hAnsi="Times New Roman" w:cs="Times New Roman"/>
          <w:b/>
          <w:bCs/>
          <w:kern w:val="44"/>
          <w:sz w:val="32"/>
          <w:szCs w:val="32"/>
          <w:lang w:val="en-US" w:eastAsia="zh-CN"/>
        </w:rPr>
        <w:t>基础数据</w:t>
      </w:r>
      <w:bookmarkEnd w:id="118"/>
    </w:p>
    <w:p>
      <w:pPr>
        <w:ind w:firstLine="420" w:firstLineChars="0"/>
        <w:rPr>
          <w:rFonts w:hint="eastAsia"/>
          <w:lang w:val="en-US"/>
        </w:rPr>
      </w:pPr>
      <w:r>
        <w:rPr>
          <w:rFonts w:hint="eastAsia"/>
          <w:lang w:val="en-US" w:eastAsia="zh-CN"/>
        </w:rPr>
        <w:t>原油基础数据为辛孚原油数据库数据展示模块,该模块提供与自建数据相同的功能(不可删除),此处不做过多说明,使用方法见第三章</w:t>
      </w:r>
      <w:bookmarkStart w:id="129" w:name="_GoBack"/>
      <w:bookmarkEnd w:id="129"/>
      <w:r>
        <w:rPr>
          <w:rFonts w:hint="eastAsia"/>
          <w:lang w:val="en-US" w:eastAsia="zh-CN"/>
        </w:rPr>
        <w:t>。</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19" w:name="_Toc160"/>
      <w:r>
        <w:rPr>
          <w:rFonts w:hint="eastAsia" w:ascii="Times New Roman" w:hAnsi="Times New Roman" w:cs="Times New Roman"/>
          <w:b/>
          <w:bCs/>
          <w:kern w:val="44"/>
          <w:sz w:val="32"/>
          <w:szCs w:val="32"/>
        </w:rPr>
        <w:t>原油切割模拟功能</w:t>
      </w:r>
      <w:bookmarkEnd w:id="119"/>
    </w:p>
    <w:p>
      <w:pPr>
        <w:spacing w:line="360" w:lineRule="auto"/>
        <w:ind w:firstLine="420" w:firstLineChars="200"/>
        <w:rPr>
          <w:sz w:val="24"/>
          <w:szCs w:val="24"/>
        </w:rPr>
      </w:pPr>
      <w:r>
        <w:rPr>
          <w:rFonts w:hint="eastAsia"/>
        </w:rPr>
        <w:t xml:space="preserve"> </w:t>
      </w:r>
      <w:r>
        <w:rPr>
          <w:rFonts w:hint="eastAsia"/>
          <w:sz w:val="24"/>
          <w:szCs w:val="24"/>
        </w:rPr>
        <w:t>原油切割模拟是辛孚原油评价系统软件提供的增强功能之一，依托辛孚自主知识产权的原油大数据库，通过简单操作就可以获得选中原油任意馏分段的收率等关键物理性质(以5℃为最小间隔)，从而精细化指导石化企业日常生产，</w:t>
      </w:r>
      <w:r>
        <w:rPr>
          <w:rFonts w:hint="eastAsia" w:ascii="Times New Roman" w:hAnsi="Times New Roman" w:cs="Times New Roman"/>
          <w:sz w:val="24"/>
          <w:szCs w:val="24"/>
        </w:rPr>
        <w:t>基本使用流程如下所示</w:t>
      </w:r>
      <w:r>
        <w:rPr>
          <w:rFonts w:hint="eastAsia"/>
          <w:sz w:val="24"/>
          <w:szCs w:val="24"/>
        </w:rPr>
        <w:t>。</w:t>
      </w:r>
    </w:p>
    <w:p>
      <w:pPr>
        <w:spacing w:line="360" w:lineRule="auto"/>
        <w:ind w:firstLine="480" w:firstLineChars="200"/>
        <w:rPr>
          <w:rFonts w:ascii="Cambria" w:hAnsi="Cambria"/>
          <w:sz w:val="24"/>
          <w:szCs w:val="24"/>
        </w:rPr>
      </w:pPr>
      <w:bookmarkStart w:id="120" w:name="_Toc13036"/>
      <w:r>
        <w:rPr>
          <w:rFonts w:hint="eastAsia"/>
          <w:sz w:val="24"/>
          <w:szCs w:val="24"/>
        </w:rPr>
        <w:t>点击</w:t>
      </w:r>
      <w:r>
        <w:rPr>
          <w:rFonts w:hint="eastAsia" w:ascii="Times New Roman" w:hAnsi="Times New Roman" w:cs="Times New Roman"/>
          <w:sz w:val="24"/>
          <w:szCs w:val="24"/>
        </w:rPr>
        <w:t>左侧原油切割模拟主菜单&gt;&gt;温度切割，在想要进行馏分段切割的</w:t>
      </w:r>
      <w:r>
        <w:rPr>
          <w:rFonts w:hint="eastAsia"/>
          <w:sz w:val="24"/>
          <w:szCs w:val="24"/>
        </w:rPr>
        <w:t>原油当前行点</w:t>
      </w:r>
      <w:r>
        <w:rPr>
          <w:rFonts w:hint="eastAsia" w:ascii="Cambria" w:hAnsi="Cambria"/>
          <w:sz w:val="24"/>
          <w:szCs w:val="24"/>
        </w:rPr>
        <w:t>击</w:t>
      </w:r>
      <w:r>
        <w:rPr>
          <w:rFonts w:hint="eastAsia" w:ascii="Cambria" w:hAnsi="Cambria"/>
          <w:sz w:val="24"/>
          <w:szCs w:val="24"/>
          <w:lang w:val="en-US" w:eastAsia="zh-CN"/>
        </w:rPr>
        <w:t>选择框</w:t>
      </w:r>
      <w:r>
        <w:rPr>
          <w:rFonts w:hint="eastAsia" w:ascii="Cambria" w:hAnsi="Cambria"/>
          <w:sz w:val="24"/>
          <w:szCs w:val="24"/>
        </w:rPr>
        <w:t>，如图5-1</w:t>
      </w:r>
      <w:bookmarkEnd w:id="120"/>
      <w:r>
        <w:rPr>
          <w:rFonts w:hint="eastAsia" w:ascii="Cambria" w:hAnsi="Cambria"/>
          <w:sz w:val="24"/>
          <w:szCs w:val="24"/>
        </w:rPr>
        <w:t>所示。</w:t>
      </w:r>
    </w:p>
    <w:p>
      <w:r>
        <w:drawing>
          <wp:inline distT="0" distB="0" distL="114300" distR="114300">
            <wp:extent cx="5267325" cy="1432560"/>
            <wp:effectExtent l="0" t="0" r="9525" b="1524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8"/>
                    <a:stretch>
                      <a:fillRect/>
                    </a:stretch>
                  </pic:blipFill>
                  <pic:spPr>
                    <a:xfrm>
                      <a:off x="0" y="0"/>
                      <a:ext cx="5267325" cy="1432560"/>
                    </a:xfrm>
                    <a:prstGeom prst="rect">
                      <a:avLst/>
                    </a:prstGeom>
                    <a:noFill/>
                    <a:ln w="9525">
                      <a:noFill/>
                    </a:ln>
                  </pic:spPr>
                </pic:pic>
              </a:graphicData>
            </a:graphic>
          </wp:inline>
        </w:drawing>
      </w:r>
    </w:p>
    <w:p>
      <w:pPr>
        <w:jc w:val="center"/>
      </w:pPr>
      <w:r>
        <w:rPr>
          <w:rFonts w:hint="eastAsia"/>
        </w:rPr>
        <w:t>图 5-1 原油切割模拟选择切割原油</w:t>
      </w:r>
    </w:p>
    <w:p>
      <w:pPr>
        <w:spacing w:line="360" w:lineRule="auto"/>
        <w:ind w:firstLine="480" w:firstLineChars="200"/>
        <w:rPr>
          <w:sz w:val="24"/>
          <w:szCs w:val="24"/>
        </w:rPr>
      </w:pPr>
      <w:r>
        <w:rPr>
          <w:rFonts w:hint="eastAsia"/>
          <w:sz w:val="24"/>
          <w:szCs w:val="24"/>
        </w:rPr>
        <w:t>选择原油后，点击加号添加新的温度段(如果只有一个切割温度段此步骤直接跳过)并填入相应数据</w:t>
      </w:r>
      <w:r>
        <w:rPr>
          <w:rFonts w:hint="eastAsia"/>
          <w:sz w:val="24"/>
          <w:szCs w:val="24"/>
          <w:lang w:val="en-US" w:eastAsia="zh-CN"/>
        </w:rPr>
        <w:t>,输入重叠因子数值</w:t>
      </w:r>
      <w:r>
        <w:rPr>
          <w:rFonts w:hint="eastAsia"/>
          <w:sz w:val="24"/>
          <w:szCs w:val="24"/>
        </w:rPr>
        <w:t>，然后点击提交，如图5-2所示。</w:t>
      </w:r>
    </w:p>
    <w:p>
      <w:r>
        <w:drawing>
          <wp:inline distT="0" distB="0" distL="114300" distR="114300">
            <wp:extent cx="5270500" cy="2529840"/>
            <wp:effectExtent l="0" t="0" r="6350" b="381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9"/>
                    <a:stretch>
                      <a:fillRect/>
                    </a:stretch>
                  </pic:blipFill>
                  <pic:spPr>
                    <a:xfrm>
                      <a:off x="0" y="0"/>
                      <a:ext cx="5270500" cy="2529840"/>
                    </a:xfrm>
                    <a:prstGeom prst="rect">
                      <a:avLst/>
                    </a:prstGeom>
                    <a:noFill/>
                    <a:ln w="9525">
                      <a:noFill/>
                    </a:ln>
                  </pic:spPr>
                </pic:pic>
              </a:graphicData>
            </a:graphic>
          </wp:inline>
        </w:drawing>
      </w:r>
    </w:p>
    <w:p>
      <w:pPr>
        <w:jc w:val="center"/>
      </w:pPr>
      <w:r>
        <w:rPr>
          <w:rFonts w:hint="eastAsia"/>
        </w:rPr>
        <w:t>图 5-2 原油切割模拟输入馏分段</w:t>
      </w:r>
    </w:p>
    <w:p>
      <w:pPr>
        <w:spacing w:line="360" w:lineRule="auto"/>
        <w:ind w:firstLine="480" w:firstLineChars="200"/>
        <w:rPr>
          <w:sz w:val="24"/>
          <w:szCs w:val="24"/>
        </w:rPr>
      </w:pPr>
      <w:r>
        <w:rPr>
          <w:rFonts w:hint="eastAsia"/>
          <w:sz w:val="24"/>
          <w:szCs w:val="24"/>
        </w:rPr>
        <w:t>如果有超过两个馏分段的温度切割请求，系统会以分栏形式展现，用户可以击相应馏分段查看该温度范围内的物理性质，如图5-3所示。</w:t>
      </w:r>
    </w:p>
    <w:p>
      <w:pPr>
        <w:jc w:val="center"/>
      </w:pPr>
      <w:r>
        <w:drawing>
          <wp:inline distT="0" distB="0" distL="114300" distR="114300">
            <wp:extent cx="5264785" cy="3502025"/>
            <wp:effectExtent l="0" t="0" r="12065" b="317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0"/>
                    <a:stretch>
                      <a:fillRect/>
                    </a:stretch>
                  </pic:blipFill>
                  <pic:spPr>
                    <a:xfrm>
                      <a:off x="0" y="0"/>
                      <a:ext cx="5264785" cy="3502025"/>
                    </a:xfrm>
                    <a:prstGeom prst="rect">
                      <a:avLst/>
                    </a:prstGeom>
                    <a:noFill/>
                    <a:ln w="9525">
                      <a:noFill/>
                    </a:ln>
                  </pic:spPr>
                </pic:pic>
              </a:graphicData>
            </a:graphic>
          </wp:inline>
        </w:drawing>
      </w:r>
    </w:p>
    <w:p>
      <w:pPr>
        <w:jc w:val="center"/>
      </w:pPr>
      <w:r>
        <w:rPr>
          <w:rFonts w:hint="eastAsia"/>
        </w:rPr>
        <w:t>图 5-3 原油切割模拟结果展示界面</w:t>
      </w:r>
    </w:p>
    <w:p>
      <w:pPr>
        <w:jc w:val="center"/>
      </w:pP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21" w:name="_Toc13875"/>
      <w:bookmarkStart w:id="122" w:name="_Toc10561"/>
      <w:r>
        <w:rPr>
          <w:rFonts w:hint="eastAsia" w:ascii="Times New Roman" w:hAnsi="Times New Roman" w:cs="Times New Roman"/>
          <w:b/>
          <w:bCs/>
          <w:kern w:val="44"/>
          <w:sz w:val="32"/>
          <w:szCs w:val="32"/>
        </w:rPr>
        <w:t>原油</w:t>
      </w:r>
      <w:r>
        <w:rPr>
          <w:rFonts w:hint="eastAsia" w:ascii="Times New Roman" w:hAnsi="Times New Roman" w:cs="Times New Roman"/>
          <w:b/>
          <w:bCs/>
          <w:kern w:val="44"/>
          <w:sz w:val="32"/>
          <w:szCs w:val="32"/>
          <w:lang w:val="en-US" w:eastAsia="zh-CN"/>
        </w:rPr>
        <w:t>混合</w:t>
      </w:r>
      <w:r>
        <w:rPr>
          <w:rFonts w:hint="eastAsia" w:ascii="Times New Roman" w:hAnsi="Times New Roman" w:cs="Times New Roman"/>
          <w:b/>
          <w:bCs/>
          <w:kern w:val="44"/>
          <w:sz w:val="32"/>
          <w:szCs w:val="32"/>
        </w:rPr>
        <w:t>模拟</w:t>
      </w:r>
      <w:bookmarkEnd w:id="121"/>
      <w:r>
        <w:rPr>
          <w:rFonts w:hint="eastAsia" w:ascii="Times New Roman" w:hAnsi="Times New Roman" w:cs="Times New Roman"/>
          <w:b/>
          <w:bCs/>
          <w:kern w:val="44"/>
          <w:sz w:val="32"/>
          <w:szCs w:val="32"/>
        </w:rPr>
        <w:t>功能</w:t>
      </w:r>
      <w:bookmarkEnd w:id="122"/>
    </w:p>
    <w:p>
      <w:pPr>
        <w:spacing w:line="360" w:lineRule="auto"/>
        <w:ind w:firstLine="480" w:firstLineChars="200"/>
        <w:rPr>
          <w:sz w:val="24"/>
          <w:szCs w:val="24"/>
        </w:rPr>
      </w:pPr>
      <w:r>
        <w:rPr>
          <w:rFonts w:hint="eastAsia"/>
          <w:sz w:val="24"/>
          <w:szCs w:val="24"/>
        </w:rPr>
        <w:t>原油</w:t>
      </w:r>
      <w:r>
        <w:rPr>
          <w:rFonts w:hint="eastAsia"/>
          <w:sz w:val="24"/>
          <w:szCs w:val="24"/>
          <w:lang w:val="en-US" w:eastAsia="zh-CN"/>
        </w:rPr>
        <w:t>混合</w:t>
      </w:r>
      <w:r>
        <w:rPr>
          <w:rFonts w:hint="eastAsia"/>
          <w:sz w:val="24"/>
          <w:szCs w:val="24"/>
        </w:rPr>
        <w:t>模拟是辛孚原油评价系统软件提供的增强功能之一，依托辛孚自主知识产权的原油大数据库，通过简单操作就可以实现两种以上原油的混合，输出混合原油的全油性质和窄馏分性质等关键物理性质(以5℃为最小间隔)，从而精细化指导石化企业日常生产，</w:t>
      </w:r>
      <w:r>
        <w:rPr>
          <w:rFonts w:hint="eastAsia" w:ascii="Times New Roman" w:hAnsi="Times New Roman" w:cs="Times New Roman"/>
          <w:sz w:val="24"/>
          <w:szCs w:val="24"/>
        </w:rPr>
        <w:t>基本使用流程如下所示</w:t>
      </w:r>
      <w:r>
        <w:rPr>
          <w:rFonts w:hint="eastAsia"/>
          <w:sz w:val="24"/>
          <w:szCs w:val="24"/>
        </w:rPr>
        <w:t>。</w:t>
      </w:r>
    </w:p>
    <w:p>
      <w:pPr>
        <w:spacing w:line="360" w:lineRule="auto"/>
        <w:ind w:firstLine="480" w:firstLineChars="200"/>
        <w:rPr>
          <w:sz w:val="24"/>
          <w:szCs w:val="24"/>
        </w:rPr>
      </w:pPr>
      <w:r>
        <w:rPr>
          <w:rFonts w:hint="eastAsia"/>
          <w:sz w:val="24"/>
          <w:szCs w:val="24"/>
        </w:rPr>
        <w:t>点击左侧</w:t>
      </w:r>
      <w:r>
        <w:rPr>
          <w:rFonts w:hint="eastAsia" w:ascii="Times New Roman" w:hAnsi="Times New Roman" w:cs="Times New Roman"/>
          <w:sz w:val="24"/>
          <w:szCs w:val="24"/>
        </w:rPr>
        <w:t>原油</w:t>
      </w:r>
      <w:r>
        <w:rPr>
          <w:rFonts w:hint="eastAsia" w:ascii="Times New Roman" w:hAnsi="Times New Roman" w:cs="Times New Roman"/>
          <w:sz w:val="24"/>
          <w:szCs w:val="24"/>
          <w:lang w:val="en-US" w:eastAsia="zh-CN"/>
        </w:rPr>
        <w:t>混合</w:t>
      </w:r>
      <w:r>
        <w:rPr>
          <w:rFonts w:hint="eastAsia" w:ascii="Times New Roman" w:hAnsi="Times New Roman" w:cs="Times New Roman"/>
          <w:sz w:val="24"/>
          <w:szCs w:val="24"/>
        </w:rPr>
        <w:t>模拟主菜单&gt;&gt;</w:t>
      </w:r>
      <w:r>
        <w:rPr>
          <w:rFonts w:hint="eastAsia" w:ascii="Times New Roman" w:hAnsi="Times New Roman" w:cs="Times New Roman"/>
          <w:sz w:val="24"/>
          <w:szCs w:val="24"/>
          <w:lang w:val="en-US" w:eastAsia="zh-CN"/>
        </w:rPr>
        <w:t>原油混合</w:t>
      </w:r>
      <w:r>
        <w:rPr>
          <w:rFonts w:hint="eastAsia" w:ascii="Times New Roman" w:hAnsi="Times New Roman" w:cs="Times New Roman"/>
          <w:sz w:val="24"/>
          <w:szCs w:val="24"/>
        </w:rPr>
        <w:t>，</w:t>
      </w:r>
      <w:r>
        <w:rPr>
          <w:rFonts w:hint="eastAsia"/>
          <w:sz w:val="24"/>
          <w:szCs w:val="24"/>
        </w:rPr>
        <w:t>点击添加要进行</w:t>
      </w:r>
      <w:r>
        <w:rPr>
          <w:rFonts w:hint="eastAsia"/>
          <w:sz w:val="24"/>
          <w:szCs w:val="24"/>
          <w:lang w:val="en-US" w:eastAsia="zh-CN"/>
        </w:rPr>
        <w:t>混合</w:t>
      </w:r>
      <w:r>
        <w:rPr>
          <w:rFonts w:hint="eastAsia"/>
          <w:sz w:val="24"/>
          <w:szCs w:val="24"/>
        </w:rPr>
        <w:t>的原油(可以多选)，如图6-1所示。</w:t>
      </w:r>
    </w:p>
    <w:p>
      <w:pPr>
        <w:rPr>
          <w:rFonts w:hint="eastAsia" w:eastAsia="宋体"/>
          <w:lang w:eastAsia="zh-CN"/>
        </w:rPr>
      </w:pPr>
      <w:r>
        <w:drawing>
          <wp:inline distT="0" distB="0" distL="114300" distR="114300">
            <wp:extent cx="5267960" cy="1423035"/>
            <wp:effectExtent l="0" t="0" r="8890" b="571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5267960" cy="1423035"/>
                    </a:xfrm>
                    <a:prstGeom prst="rect">
                      <a:avLst/>
                    </a:prstGeom>
                    <a:noFill/>
                    <a:ln w="9525">
                      <a:noFill/>
                    </a:ln>
                  </pic:spPr>
                </pic:pic>
              </a:graphicData>
            </a:graphic>
          </wp:inline>
        </w:drawing>
      </w:r>
    </w:p>
    <w:p>
      <w:pPr>
        <w:jc w:val="center"/>
      </w:pPr>
      <w:r>
        <w:rPr>
          <w:rFonts w:hint="eastAsia"/>
        </w:rPr>
        <w:t xml:space="preserve">图 6-1 </w:t>
      </w:r>
      <w:r>
        <w:rPr>
          <w:rFonts w:hint="eastAsia"/>
          <w:lang w:val="en-US" w:eastAsia="zh-CN"/>
        </w:rPr>
        <w:t>选择</w:t>
      </w:r>
      <w:r>
        <w:rPr>
          <w:rFonts w:hint="eastAsia"/>
        </w:rPr>
        <w:t>需要混合的原油</w:t>
      </w:r>
    </w:p>
    <w:p>
      <w:pPr>
        <w:spacing w:line="360" w:lineRule="auto"/>
        <w:ind w:firstLine="480" w:firstLineChars="200"/>
        <w:rPr>
          <w:sz w:val="24"/>
          <w:szCs w:val="24"/>
        </w:rPr>
      </w:pPr>
      <w:r>
        <w:rPr>
          <w:rFonts w:hint="eastAsia"/>
          <w:sz w:val="24"/>
          <w:szCs w:val="24"/>
        </w:rPr>
        <w:t>选择</w:t>
      </w:r>
      <w:r>
        <w:rPr>
          <w:rFonts w:hint="eastAsia"/>
          <w:sz w:val="24"/>
          <w:szCs w:val="24"/>
          <w:lang w:val="en-US" w:eastAsia="zh-CN"/>
        </w:rPr>
        <w:t>混合</w:t>
      </w:r>
      <w:r>
        <w:rPr>
          <w:rFonts w:hint="eastAsia"/>
          <w:sz w:val="24"/>
          <w:szCs w:val="24"/>
        </w:rPr>
        <w:t>类型(按使用量/质量百分比/体积百分比)并填入相应数值，然后点击提交，如图6-2所示。</w:t>
      </w:r>
    </w:p>
    <w:p>
      <w:r>
        <w:drawing>
          <wp:inline distT="0" distB="0" distL="114300" distR="114300">
            <wp:extent cx="5266690" cy="1621790"/>
            <wp:effectExtent l="0" t="0" r="10160" b="1651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2"/>
                    <a:stretch>
                      <a:fillRect/>
                    </a:stretch>
                  </pic:blipFill>
                  <pic:spPr>
                    <a:xfrm>
                      <a:off x="0" y="0"/>
                      <a:ext cx="5266690" cy="1621790"/>
                    </a:xfrm>
                    <a:prstGeom prst="rect">
                      <a:avLst/>
                    </a:prstGeom>
                    <a:noFill/>
                    <a:ln w="9525">
                      <a:noFill/>
                    </a:ln>
                  </pic:spPr>
                </pic:pic>
              </a:graphicData>
            </a:graphic>
          </wp:inline>
        </w:drawing>
      </w:r>
    </w:p>
    <w:p>
      <w:pPr>
        <w:jc w:val="center"/>
      </w:pPr>
      <w:r>
        <w:rPr>
          <w:rFonts w:hint="eastAsia"/>
        </w:rPr>
        <w:t xml:space="preserve">图 6-2 </w:t>
      </w:r>
      <w:r>
        <w:rPr>
          <w:rFonts w:hint="eastAsia"/>
          <w:lang w:val="en-US" w:eastAsia="zh-CN"/>
        </w:rPr>
        <w:t>选择混合类型并输入数值</w:t>
      </w:r>
    </w:p>
    <w:p>
      <w:pPr>
        <w:spacing w:line="360" w:lineRule="auto"/>
        <w:ind w:firstLine="480" w:firstLineChars="200"/>
        <w:rPr>
          <w:sz w:val="24"/>
          <w:szCs w:val="24"/>
        </w:rPr>
      </w:pPr>
      <w:r>
        <w:rPr>
          <w:rFonts w:hint="eastAsia"/>
          <w:sz w:val="24"/>
          <w:szCs w:val="24"/>
        </w:rPr>
        <w:t>提交成功后会弹出原油混合成功的提示，如图6-3所示。</w:t>
      </w:r>
    </w:p>
    <w:p>
      <w:r>
        <w:drawing>
          <wp:inline distT="0" distB="0" distL="114300" distR="114300">
            <wp:extent cx="5266055" cy="1905000"/>
            <wp:effectExtent l="0" t="0" r="1079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3"/>
                    <a:stretch>
                      <a:fillRect/>
                    </a:stretch>
                  </pic:blipFill>
                  <pic:spPr>
                    <a:xfrm>
                      <a:off x="0" y="0"/>
                      <a:ext cx="5266055" cy="1905000"/>
                    </a:xfrm>
                    <a:prstGeom prst="rect">
                      <a:avLst/>
                    </a:prstGeom>
                    <a:noFill/>
                    <a:ln w="9525">
                      <a:noFill/>
                    </a:ln>
                  </pic:spPr>
                </pic:pic>
              </a:graphicData>
            </a:graphic>
          </wp:inline>
        </w:drawing>
      </w:r>
    </w:p>
    <w:p>
      <w:pPr>
        <w:jc w:val="center"/>
        <w:rPr>
          <w:sz w:val="24"/>
          <w:szCs w:val="24"/>
        </w:rPr>
      </w:pPr>
      <w:r>
        <w:rPr>
          <w:rFonts w:hint="eastAsia"/>
        </w:rPr>
        <w:t>图 6-3 原油</w:t>
      </w:r>
      <w:r>
        <w:rPr>
          <w:rFonts w:hint="eastAsia"/>
          <w:lang w:val="en-US" w:eastAsia="zh-CN"/>
        </w:rPr>
        <w:t>混合</w:t>
      </w:r>
      <w:r>
        <w:rPr>
          <w:rFonts w:hint="eastAsia"/>
        </w:rPr>
        <w:t>成功</w:t>
      </w:r>
      <w:r>
        <w:rPr>
          <w:rFonts w:hint="eastAsia"/>
          <w:lang w:val="en-US" w:eastAsia="zh-CN"/>
        </w:rPr>
        <w:t>相关</w:t>
      </w:r>
      <w:r>
        <w:rPr>
          <w:rFonts w:hint="eastAsia"/>
        </w:rPr>
        <w:t>提示</w:t>
      </w:r>
    </w:p>
    <w:p>
      <w:pPr>
        <w:spacing w:line="360" w:lineRule="auto"/>
        <w:ind w:firstLine="480" w:firstLineChars="200"/>
        <w:rPr>
          <w:sz w:val="24"/>
          <w:szCs w:val="24"/>
        </w:rPr>
      </w:pPr>
      <w:bookmarkStart w:id="123" w:name="_Toc10939"/>
      <w:bookmarkStart w:id="124" w:name="_Toc21945"/>
      <w:bookmarkStart w:id="125" w:name="_Toc2260"/>
      <w:r>
        <w:rPr>
          <w:rFonts w:hint="eastAsia"/>
          <w:sz w:val="24"/>
          <w:szCs w:val="24"/>
        </w:rPr>
        <w:t>原油混合成功后，进入</w:t>
      </w:r>
      <w:r>
        <w:rPr>
          <w:rFonts w:hint="eastAsia"/>
          <w:sz w:val="24"/>
          <w:szCs w:val="24"/>
          <w:lang w:val="en-US" w:eastAsia="zh-CN"/>
        </w:rPr>
        <w:t>混合报告</w:t>
      </w:r>
      <w:r>
        <w:rPr>
          <w:rFonts w:hint="eastAsia"/>
          <w:sz w:val="24"/>
          <w:szCs w:val="24"/>
        </w:rPr>
        <w:t>页面点击查看按钮，就可以查看生成的混合原油详细信息，如图6-4</w:t>
      </w:r>
      <w:bookmarkEnd w:id="123"/>
      <w:bookmarkEnd w:id="124"/>
      <w:bookmarkEnd w:id="125"/>
      <w:r>
        <w:rPr>
          <w:rFonts w:hint="eastAsia"/>
          <w:sz w:val="24"/>
          <w:szCs w:val="24"/>
        </w:rPr>
        <w:t>所示。</w:t>
      </w:r>
    </w:p>
    <w:p>
      <w:pPr>
        <w:rPr>
          <w:rFonts w:hint="eastAsia" w:eastAsia="宋体"/>
          <w:lang w:eastAsia="zh-CN"/>
        </w:rPr>
      </w:pPr>
      <w:r>
        <w:drawing>
          <wp:inline distT="0" distB="0" distL="114300" distR="114300">
            <wp:extent cx="5267960" cy="1346200"/>
            <wp:effectExtent l="0" t="0" r="8890" b="635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4"/>
                    <a:stretch>
                      <a:fillRect/>
                    </a:stretch>
                  </pic:blipFill>
                  <pic:spPr>
                    <a:xfrm>
                      <a:off x="0" y="0"/>
                      <a:ext cx="5267960" cy="1346200"/>
                    </a:xfrm>
                    <a:prstGeom prst="rect">
                      <a:avLst/>
                    </a:prstGeom>
                    <a:noFill/>
                    <a:ln w="9525">
                      <a:noFill/>
                    </a:ln>
                  </pic:spPr>
                </pic:pic>
              </a:graphicData>
            </a:graphic>
          </wp:inline>
        </w:drawing>
      </w:r>
    </w:p>
    <w:p>
      <w:pPr>
        <w:jc w:val="center"/>
      </w:pPr>
      <w:r>
        <w:rPr>
          <w:rFonts w:hint="eastAsia"/>
        </w:rPr>
        <w:t>图 6-4 原油</w:t>
      </w:r>
      <w:r>
        <w:rPr>
          <w:rFonts w:hint="eastAsia"/>
          <w:lang w:val="en-US" w:eastAsia="zh-CN"/>
        </w:rPr>
        <w:t>混合后</w:t>
      </w:r>
      <w:r>
        <w:rPr>
          <w:rFonts w:hint="eastAsia"/>
        </w:rPr>
        <w:t>查看详细数据</w:t>
      </w:r>
    </w:p>
    <w:p/>
    <w:bookmarkEnd w:id="98"/>
    <w:bookmarkEnd w:id="99"/>
    <w:p>
      <w:pPr>
        <w:keepNext/>
        <w:keepLines/>
        <w:pageBreakBefore/>
        <w:snapToGrid w:val="0"/>
        <w:spacing w:before="480" w:after="480" w:line="576" w:lineRule="auto"/>
        <w:jc w:val="left"/>
        <w:outlineLvl w:val="0"/>
        <w:rPr>
          <w:rFonts w:ascii="Times New Roman" w:hAnsi="Times New Roman" w:cs="Times New Roman"/>
          <w:b/>
          <w:bCs/>
          <w:kern w:val="32"/>
          <w:sz w:val="32"/>
          <w:szCs w:val="44"/>
        </w:rPr>
      </w:pPr>
      <w:bookmarkStart w:id="126" w:name="_Toc228627469"/>
      <w:bookmarkStart w:id="127" w:name="_Toc194043521"/>
      <w:bookmarkStart w:id="128" w:name="_Toc9924"/>
      <w:r>
        <w:rPr>
          <w:rFonts w:hint="eastAsia" w:ascii="Times New Roman" w:hAnsi="宋体" w:cs="Times New Roman"/>
          <w:b/>
          <w:bCs/>
          <w:kern w:val="32"/>
          <w:sz w:val="32"/>
          <w:szCs w:val="44"/>
        </w:rPr>
        <w:t>声明</w:t>
      </w:r>
      <w:bookmarkEnd w:id="126"/>
      <w:bookmarkEnd w:id="127"/>
      <w:bookmarkEnd w:id="128"/>
    </w:p>
    <w:p>
      <w:pPr>
        <w:snapToGrid w:val="0"/>
        <w:spacing w:line="360" w:lineRule="auto"/>
        <w:ind w:firstLine="420" w:firstLineChars="200"/>
        <w:rPr>
          <w:rFonts w:ascii="Times New Roman" w:hAnsi="Times New Roman" w:cs="Times New Roman"/>
          <w:szCs w:val="24"/>
        </w:rPr>
      </w:pPr>
      <w:r>
        <w:rPr>
          <w:rFonts w:hint="eastAsia" w:ascii="Times New Roman" w:hAnsi="宋体" w:cs="Times New Roman"/>
          <w:szCs w:val="24"/>
        </w:rPr>
        <w:t>本手册为</w:t>
      </w:r>
      <w:r>
        <w:rPr>
          <w:rFonts w:hint="eastAsia" w:ascii="Times New Roman" w:hAnsi="宋体" w:cs="Times New Roman"/>
          <w:bCs/>
          <w:szCs w:val="24"/>
        </w:rPr>
        <w:t>辛孚原油评价系统软件</w:t>
      </w:r>
      <w:r>
        <w:rPr>
          <w:rFonts w:hint="eastAsia" w:ascii="Times New Roman" w:hAnsi="宋体" w:cs="Times New Roman"/>
          <w:szCs w:val="24"/>
        </w:rPr>
        <w:t>的用户使用手册。手册较为详细的描述了软件的功能及操作流程，是用户深入使用并掌握本软件的良师益友，用户在使用软件过程中，若有使用上的困惑，或是遇到上技术难题，请直接与杭州辛孚能源科技有限公司取得联系。</w:t>
      </w:r>
    </w:p>
    <w:p>
      <w:pPr>
        <w:snapToGrid w:val="0"/>
        <w:spacing w:line="360" w:lineRule="auto"/>
        <w:ind w:firstLine="420" w:firstLineChars="200"/>
        <w:rPr>
          <w:rFonts w:ascii="Times New Roman" w:hAnsi="Times New Roman" w:cs="Times New Roman"/>
          <w:szCs w:val="24"/>
        </w:rPr>
      </w:pPr>
      <w:r>
        <w:rPr>
          <w:rFonts w:hint="eastAsia" w:ascii="Times New Roman" w:hAnsi="宋体" w:cs="Times New Roman"/>
          <w:szCs w:val="24"/>
        </w:rPr>
        <w:t>咨询电话：</w:t>
      </w:r>
      <w:r>
        <w:rPr>
          <w:rFonts w:ascii="Times New Roman" w:hAnsi="Times New Roman" w:cs="Times New Roman"/>
          <w:szCs w:val="24"/>
        </w:rPr>
        <w:t>0571</w:t>
      </w:r>
      <w:r>
        <w:rPr>
          <w:rFonts w:hint="eastAsia" w:ascii="Times New Roman" w:hAnsi="宋体" w:cs="Times New Roman"/>
          <w:szCs w:val="24"/>
        </w:rPr>
        <w:t>－</w:t>
      </w:r>
      <w:r>
        <w:rPr>
          <w:rFonts w:hint="eastAsia"/>
          <w:szCs w:val="21"/>
        </w:rPr>
        <w:t>87239236</w:t>
      </w:r>
    </w:p>
    <w:p>
      <w:pPr>
        <w:snapToGrid w:val="0"/>
        <w:spacing w:line="360" w:lineRule="auto"/>
        <w:ind w:firstLine="420" w:firstLineChars="200"/>
        <w:rPr>
          <w:rFonts w:ascii="Times New Roman" w:hAnsi="Times New Roman" w:cs="Times New Roman"/>
          <w:szCs w:val="24"/>
        </w:rPr>
      </w:pPr>
      <w:r>
        <w:rPr>
          <w:rFonts w:ascii="Times New Roman" w:hAnsi="Times New Roman" w:cs="Times New Roman"/>
          <w:szCs w:val="24"/>
        </w:rPr>
        <w:t>E</w:t>
      </w:r>
      <w:r>
        <w:rPr>
          <w:rFonts w:hint="eastAsia" w:ascii="Times New Roman" w:hAnsi="宋体" w:cs="Times New Roman"/>
          <w:szCs w:val="24"/>
        </w:rPr>
        <w:t>－</w:t>
      </w:r>
      <w:r>
        <w:rPr>
          <w:rFonts w:ascii="Times New Roman" w:hAnsi="Times New Roman" w:cs="Times New Roman"/>
          <w:szCs w:val="24"/>
        </w:rPr>
        <w:t>mail</w:t>
      </w:r>
      <w:r>
        <w:rPr>
          <w:rFonts w:hint="eastAsia" w:ascii="Times New Roman" w:hAnsi="宋体" w:cs="Times New Roman"/>
          <w:szCs w:val="24"/>
        </w:rPr>
        <w:t>：</w:t>
      </w:r>
      <w:r>
        <w:rPr>
          <w:rFonts w:hint="eastAsia"/>
          <w:szCs w:val="21"/>
        </w:rPr>
        <w:t>heyiyuan@syspetro.com</w:t>
      </w:r>
    </w:p>
    <w:p>
      <w:pPr>
        <w:spacing w:line="360" w:lineRule="auto"/>
        <w:jc w:val="left"/>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文鼎大标宋简">
    <w:altName w:val="宋体"/>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9"/>
      </w:rPr>
    </w:pPr>
    <w:r>
      <w:rPr>
        <w:rStyle w:val="19"/>
      </w:rPr>
      <w:fldChar w:fldCharType="begin"/>
    </w:r>
    <w:r>
      <w:rPr>
        <w:rStyle w:val="19"/>
      </w:rPr>
      <w:instrText xml:space="preserve">PAGE  </w:instrText>
    </w:r>
    <w:r>
      <w:rPr>
        <w:rStyle w:val="19"/>
      </w:rPr>
      <w:fldChar w:fldCharType="separate"/>
    </w:r>
    <w:r>
      <w:rPr>
        <w:rStyle w:val="19"/>
      </w:rPr>
      <w:t>14</w:t>
    </w:r>
    <w:r>
      <w:rPr>
        <w:rStyle w:val="19"/>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drawing>
        <wp:inline distT="0" distB="0" distL="114300" distR="114300">
          <wp:extent cx="1259840" cy="353060"/>
          <wp:effectExtent l="0" t="0" r="16510" b="8890"/>
          <wp:docPr id="2" name="图片 2" descr="辛孚logo-140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辛孚logo-1401-1401"/>
                  <pic:cNvPicPr>
                    <a:picLocks noChangeAspect="1"/>
                  </pic:cNvPicPr>
                </pic:nvPicPr>
                <pic:blipFill>
                  <a:blip r:embed="rId1"/>
                  <a:stretch>
                    <a:fillRect/>
                  </a:stretch>
                </pic:blipFill>
                <pic:spPr>
                  <a:xfrm>
                    <a:off x="0" y="0"/>
                    <a:ext cx="1259840" cy="353060"/>
                  </a:xfrm>
                  <a:prstGeom prst="rect">
                    <a:avLst/>
                  </a:prstGeom>
                </pic:spPr>
              </pic:pic>
            </a:graphicData>
          </a:graphic>
        </wp:inline>
      </w:drawing>
    </w:r>
    <w:r>
      <w:rPr>
        <w:rFonts w:hint="eastAsia"/>
      </w:rPr>
      <w:t xml:space="preserve">                                         辛孚原油评价系统软件用户手册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59950DB2"/>
    <w:multiLevelType w:val="singleLevel"/>
    <w:tmpl w:val="59950DB2"/>
    <w:lvl w:ilvl="0" w:tentative="0">
      <w:start w:val="1"/>
      <w:numFmt w:val="chineseCounting"/>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FC3"/>
    <w:rsid w:val="00031DCC"/>
    <w:rsid w:val="00042129"/>
    <w:rsid w:val="000F1CD4"/>
    <w:rsid w:val="00127EDD"/>
    <w:rsid w:val="00194A51"/>
    <w:rsid w:val="00225A06"/>
    <w:rsid w:val="002825F4"/>
    <w:rsid w:val="00296AA1"/>
    <w:rsid w:val="002A6279"/>
    <w:rsid w:val="002F6F62"/>
    <w:rsid w:val="0031584C"/>
    <w:rsid w:val="00341CE4"/>
    <w:rsid w:val="00370C4E"/>
    <w:rsid w:val="004240E5"/>
    <w:rsid w:val="00480AED"/>
    <w:rsid w:val="004D47A8"/>
    <w:rsid w:val="00500B80"/>
    <w:rsid w:val="00504963"/>
    <w:rsid w:val="0051407B"/>
    <w:rsid w:val="00592EFF"/>
    <w:rsid w:val="005A7A30"/>
    <w:rsid w:val="005D6416"/>
    <w:rsid w:val="006276CC"/>
    <w:rsid w:val="00630ADB"/>
    <w:rsid w:val="006A65F2"/>
    <w:rsid w:val="006B340C"/>
    <w:rsid w:val="00703D03"/>
    <w:rsid w:val="00742BEE"/>
    <w:rsid w:val="00752044"/>
    <w:rsid w:val="00794828"/>
    <w:rsid w:val="0079544B"/>
    <w:rsid w:val="007B5923"/>
    <w:rsid w:val="007D4C10"/>
    <w:rsid w:val="00874E54"/>
    <w:rsid w:val="008A7891"/>
    <w:rsid w:val="008C1FC3"/>
    <w:rsid w:val="008C2C2D"/>
    <w:rsid w:val="008D4BC4"/>
    <w:rsid w:val="00901E89"/>
    <w:rsid w:val="009464EB"/>
    <w:rsid w:val="00973128"/>
    <w:rsid w:val="009B6D65"/>
    <w:rsid w:val="009C2960"/>
    <w:rsid w:val="009F6A68"/>
    <w:rsid w:val="00A32E5E"/>
    <w:rsid w:val="00A3690D"/>
    <w:rsid w:val="00A62DDF"/>
    <w:rsid w:val="00AE4DCE"/>
    <w:rsid w:val="00BA530E"/>
    <w:rsid w:val="00C46835"/>
    <w:rsid w:val="00C95E57"/>
    <w:rsid w:val="00CC307B"/>
    <w:rsid w:val="00CD724A"/>
    <w:rsid w:val="00D03D1D"/>
    <w:rsid w:val="00D0697B"/>
    <w:rsid w:val="00D137CA"/>
    <w:rsid w:val="00D20E64"/>
    <w:rsid w:val="00D822E7"/>
    <w:rsid w:val="00DE39F4"/>
    <w:rsid w:val="00DF2450"/>
    <w:rsid w:val="00E362F8"/>
    <w:rsid w:val="00F25D87"/>
    <w:rsid w:val="00F36089"/>
    <w:rsid w:val="00F511C0"/>
    <w:rsid w:val="00F52C33"/>
    <w:rsid w:val="00F6373D"/>
    <w:rsid w:val="00F648A1"/>
    <w:rsid w:val="00F91C68"/>
    <w:rsid w:val="01081235"/>
    <w:rsid w:val="014A6765"/>
    <w:rsid w:val="01DC381B"/>
    <w:rsid w:val="02085B5C"/>
    <w:rsid w:val="02124057"/>
    <w:rsid w:val="023045C5"/>
    <w:rsid w:val="02910CED"/>
    <w:rsid w:val="02AE2714"/>
    <w:rsid w:val="03212AB3"/>
    <w:rsid w:val="03726498"/>
    <w:rsid w:val="04C77C4D"/>
    <w:rsid w:val="04E34DB1"/>
    <w:rsid w:val="050C0DA5"/>
    <w:rsid w:val="051A3090"/>
    <w:rsid w:val="055D6EA9"/>
    <w:rsid w:val="057553C1"/>
    <w:rsid w:val="0632762B"/>
    <w:rsid w:val="063324F5"/>
    <w:rsid w:val="06631595"/>
    <w:rsid w:val="067435CA"/>
    <w:rsid w:val="0688752E"/>
    <w:rsid w:val="06E50010"/>
    <w:rsid w:val="06ED264F"/>
    <w:rsid w:val="075D5F7B"/>
    <w:rsid w:val="07B53EE4"/>
    <w:rsid w:val="07BE6072"/>
    <w:rsid w:val="07EB7F7F"/>
    <w:rsid w:val="08476D6E"/>
    <w:rsid w:val="08DA1CC7"/>
    <w:rsid w:val="092B5593"/>
    <w:rsid w:val="095062CF"/>
    <w:rsid w:val="097B309D"/>
    <w:rsid w:val="09966413"/>
    <w:rsid w:val="09EF469B"/>
    <w:rsid w:val="09F00BB6"/>
    <w:rsid w:val="0A093CF4"/>
    <w:rsid w:val="0A1709A4"/>
    <w:rsid w:val="0A62079C"/>
    <w:rsid w:val="0AA15458"/>
    <w:rsid w:val="0B3D6F4A"/>
    <w:rsid w:val="0B80501A"/>
    <w:rsid w:val="0BD03E7B"/>
    <w:rsid w:val="0BEA5BFF"/>
    <w:rsid w:val="0C075562"/>
    <w:rsid w:val="0C486855"/>
    <w:rsid w:val="0C911C3F"/>
    <w:rsid w:val="0D095896"/>
    <w:rsid w:val="0DC0521B"/>
    <w:rsid w:val="0E001A4F"/>
    <w:rsid w:val="0E23385E"/>
    <w:rsid w:val="0EA30388"/>
    <w:rsid w:val="0EA91875"/>
    <w:rsid w:val="0ED3288F"/>
    <w:rsid w:val="0F3814FA"/>
    <w:rsid w:val="0F764D72"/>
    <w:rsid w:val="0FB82F8B"/>
    <w:rsid w:val="0FC93C41"/>
    <w:rsid w:val="0FFC4A19"/>
    <w:rsid w:val="103246B1"/>
    <w:rsid w:val="105502AE"/>
    <w:rsid w:val="105831BD"/>
    <w:rsid w:val="105A3520"/>
    <w:rsid w:val="10C52B7E"/>
    <w:rsid w:val="10E72403"/>
    <w:rsid w:val="11115E0C"/>
    <w:rsid w:val="113059F5"/>
    <w:rsid w:val="113B1F51"/>
    <w:rsid w:val="114F091B"/>
    <w:rsid w:val="116429BA"/>
    <w:rsid w:val="11710B71"/>
    <w:rsid w:val="12041DC4"/>
    <w:rsid w:val="12735B64"/>
    <w:rsid w:val="1279724A"/>
    <w:rsid w:val="12CC34BC"/>
    <w:rsid w:val="12FA5E75"/>
    <w:rsid w:val="134D5C41"/>
    <w:rsid w:val="134E40C2"/>
    <w:rsid w:val="13514805"/>
    <w:rsid w:val="13BF1339"/>
    <w:rsid w:val="141601A5"/>
    <w:rsid w:val="14390211"/>
    <w:rsid w:val="144B1A86"/>
    <w:rsid w:val="152653D3"/>
    <w:rsid w:val="153B1B39"/>
    <w:rsid w:val="15582DF1"/>
    <w:rsid w:val="15935CA4"/>
    <w:rsid w:val="16BD5F98"/>
    <w:rsid w:val="16DF2B3A"/>
    <w:rsid w:val="170C2797"/>
    <w:rsid w:val="179A1196"/>
    <w:rsid w:val="17BF3B05"/>
    <w:rsid w:val="18273874"/>
    <w:rsid w:val="185F3B54"/>
    <w:rsid w:val="18600677"/>
    <w:rsid w:val="18975587"/>
    <w:rsid w:val="18D22FDF"/>
    <w:rsid w:val="18DC2E1E"/>
    <w:rsid w:val="196C19AB"/>
    <w:rsid w:val="19AD5CDC"/>
    <w:rsid w:val="19C70414"/>
    <w:rsid w:val="1A4521B2"/>
    <w:rsid w:val="1A4B51F2"/>
    <w:rsid w:val="1A791001"/>
    <w:rsid w:val="1AD02A7C"/>
    <w:rsid w:val="1B0E3A52"/>
    <w:rsid w:val="1B610E81"/>
    <w:rsid w:val="1B6509D0"/>
    <w:rsid w:val="1BF53CD2"/>
    <w:rsid w:val="1C643E09"/>
    <w:rsid w:val="1C9B048E"/>
    <w:rsid w:val="1C9E38D2"/>
    <w:rsid w:val="1D0D362A"/>
    <w:rsid w:val="1D7D297D"/>
    <w:rsid w:val="1DDB3150"/>
    <w:rsid w:val="1DEE1226"/>
    <w:rsid w:val="1DF25D80"/>
    <w:rsid w:val="1EC815C7"/>
    <w:rsid w:val="1F102184"/>
    <w:rsid w:val="1F171E90"/>
    <w:rsid w:val="1F6C4C00"/>
    <w:rsid w:val="1F825ACD"/>
    <w:rsid w:val="208C3912"/>
    <w:rsid w:val="20AE7AD7"/>
    <w:rsid w:val="2103069F"/>
    <w:rsid w:val="210651AC"/>
    <w:rsid w:val="219D1784"/>
    <w:rsid w:val="21A5709D"/>
    <w:rsid w:val="221D3FC6"/>
    <w:rsid w:val="224E297F"/>
    <w:rsid w:val="228274AE"/>
    <w:rsid w:val="229C2B5A"/>
    <w:rsid w:val="22A769A8"/>
    <w:rsid w:val="22C953B9"/>
    <w:rsid w:val="22FE2400"/>
    <w:rsid w:val="233A7C42"/>
    <w:rsid w:val="23CB7049"/>
    <w:rsid w:val="23CF4480"/>
    <w:rsid w:val="24897A09"/>
    <w:rsid w:val="24F411C5"/>
    <w:rsid w:val="2536204E"/>
    <w:rsid w:val="25374565"/>
    <w:rsid w:val="258640F2"/>
    <w:rsid w:val="25D02ECA"/>
    <w:rsid w:val="25E633D2"/>
    <w:rsid w:val="265F7408"/>
    <w:rsid w:val="26724E37"/>
    <w:rsid w:val="26D53523"/>
    <w:rsid w:val="26EB14C3"/>
    <w:rsid w:val="27CB32DE"/>
    <w:rsid w:val="27DE7717"/>
    <w:rsid w:val="28522913"/>
    <w:rsid w:val="28C013F8"/>
    <w:rsid w:val="29FE493D"/>
    <w:rsid w:val="2A163A68"/>
    <w:rsid w:val="2A1817AB"/>
    <w:rsid w:val="2A24732F"/>
    <w:rsid w:val="2A282ED5"/>
    <w:rsid w:val="2A3951B6"/>
    <w:rsid w:val="2A527554"/>
    <w:rsid w:val="2A8F3AF7"/>
    <w:rsid w:val="2AA33242"/>
    <w:rsid w:val="2AD82BA2"/>
    <w:rsid w:val="2B005B51"/>
    <w:rsid w:val="2B186B7D"/>
    <w:rsid w:val="2B822F49"/>
    <w:rsid w:val="2BA00587"/>
    <w:rsid w:val="2BE30186"/>
    <w:rsid w:val="2BFC2A33"/>
    <w:rsid w:val="2C1F3C9B"/>
    <w:rsid w:val="2C5C6B33"/>
    <w:rsid w:val="2C6C33EE"/>
    <w:rsid w:val="2C983948"/>
    <w:rsid w:val="2D67428A"/>
    <w:rsid w:val="2D872C00"/>
    <w:rsid w:val="2D8A3783"/>
    <w:rsid w:val="2DC40A1C"/>
    <w:rsid w:val="2DD8647D"/>
    <w:rsid w:val="2DE316B1"/>
    <w:rsid w:val="2E34430B"/>
    <w:rsid w:val="2E8F6314"/>
    <w:rsid w:val="2EA63E3D"/>
    <w:rsid w:val="2EEC0EBB"/>
    <w:rsid w:val="2FDA5ABB"/>
    <w:rsid w:val="2FDB2271"/>
    <w:rsid w:val="30294A50"/>
    <w:rsid w:val="30A4538A"/>
    <w:rsid w:val="30C40C23"/>
    <w:rsid w:val="31B90671"/>
    <w:rsid w:val="31D6000F"/>
    <w:rsid w:val="329A06C1"/>
    <w:rsid w:val="32D819CE"/>
    <w:rsid w:val="32E776C7"/>
    <w:rsid w:val="33523215"/>
    <w:rsid w:val="339B163A"/>
    <w:rsid w:val="34262B7B"/>
    <w:rsid w:val="344B4A72"/>
    <w:rsid w:val="347A27BC"/>
    <w:rsid w:val="34AE6FF2"/>
    <w:rsid w:val="34B71F4C"/>
    <w:rsid w:val="350238F6"/>
    <w:rsid w:val="35326BE9"/>
    <w:rsid w:val="354F0606"/>
    <w:rsid w:val="357827C1"/>
    <w:rsid w:val="35C36A1E"/>
    <w:rsid w:val="35C37489"/>
    <w:rsid w:val="35D35E3B"/>
    <w:rsid w:val="35FC484D"/>
    <w:rsid w:val="364472E8"/>
    <w:rsid w:val="367E7C83"/>
    <w:rsid w:val="37071057"/>
    <w:rsid w:val="370D502B"/>
    <w:rsid w:val="373578EA"/>
    <w:rsid w:val="37462C7F"/>
    <w:rsid w:val="37A366E9"/>
    <w:rsid w:val="37DD562E"/>
    <w:rsid w:val="38096995"/>
    <w:rsid w:val="383B42A0"/>
    <w:rsid w:val="384D5790"/>
    <w:rsid w:val="388374FE"/>
    <w:rsid w:val="38E330A0"/>
    <w:rsid w:val="393D3C03"/>
    <w:rsid w:val="39704D57"/>
    <w:rsid w:val="399A301B"/>
    <w:rsid w:val="39A335F9"/>
    <w:rsid w:val="39CA3D25"/>
    <w:rsid w:val="3A0514D8"/>
    <w:rsid w:val="3A496DAF"/>
    <w:rsid w:val="3AC247C5"/>
    <w:rsid w:val="3ACF07D6"/>
    <w:rsid w:val="3AE120D5"/>
    <w:rsid w:val="3B1F0E65"/>
    <w:rsid w:val="3B781BE6"/>
    <w:rsid w:val="3BD52C5B"/>
    <w:rsid w:val="3C2B53A1"/>
    <w:rsid w:val="3C3F2BFB"/>
    <w:rsid w:val="3C690041"/>
    <w:rsid w:val="3CF53A6B"/>
    <w:rsid w:val="3DEF72EE"/>
    <w:rsid w:val="3DFB1E1F"/>
    <w:rsid w:val="3E382C4A"/>
    <w:rsid w:val="3E910D80"/>
    <w:rsid w:val="3F252F56"/>
    <w:rsid w:val="3F753306"/>
    <w:rsid w:val="3F8B18A4"/>
    <w:rsid w:val="3FA1557E"/>
    <w:rsid w:val="3FAA3771"/>
    <w:rsid w:val="3FCE52CB"/>
    <w:rsid w:val="3FD94605"/>
    <w:rsid w:val="40191C9F"/>
    <w:rsid w:val="403D15DE"/>
    <w:rsid w:val="4042153C"/>
    <w:rsid w:val="40677244"/>
    <w:rsid w:val="40762473"/>
    <w:rsid w:val="409A6BAB"/>
    <w:rsid w:val="410C4184"/>
    <w:rsid w:val="412C5BEB"/>
    <w:rsid w:val="41750E76"/>
    <w:rsid w:val="41947AFB"/>
    <w:rsid w:val="421D1B6D"/>
    <w:rsid w:val="425D52F4"/>
    <w:rsid w:val="428E647F"/>
    <w:rsid w:val="42A879C8"/>
    <w:rsid w:val="42DD099E"/>
    <w:rsid w:val="43536496"/>
    <w:rsid w:val="43A0542A"/>
    <w:rsid w:val="44855276"/>
    <w:rsid w:val="44AE2D0B"/>
    <w:rsid w:val="44EB2495"/>
    <w:rsid w:val="452C09D1"/>
    <w:rsid w:val="45561868"/>
    <w:rsid w:val="457B4E3F"/>
    <w:rsid w:val="45DD1C4C"/>
    <w:rsid w:val="464B0EF5"/>
    <w:rsid w:val="465413CB"/>
    <w:rsid w:val="46E8194D"/>
    <w:rsid w:val="47125903"/>
    <w:rsid w:val="4730798B"/>
    <w:rsid w:val="47987704"/>
    <w:rsid w:val="47A65B90"/>
    <w:rsid w:val="47E97E46"/>
    <w:rsid w:val="47F42FE4"/>
    <w:rsid w:val="47FC747B"/>
    <w:rsid w:val="49366F92"/>
    <w:rsid w:val="493C6A35"/>
    <w:rsid w:val="495B35F0"/>
    <w:rsid w:val="496C37A5"/>
    <w:rsid w:val="499639BD"/>
    <w:rsid w:val="4A85383C"/>
    <w:rsid w:val="4ADD053B"/>
    <w:rsid w:val="4B1C76FB"/>
    <w:rsid w:val="4B4943E6"/>
    <w:rsid w:val="4B7367EA"/>
    <w:rsid w:val="4BA96613"/>
    <w:rsid w:val="4BC87530"/>
    <w:rsid w:val="4BDD0087"/>
    <w:rsid w:val="4BF360B0"/>
    <w:rsid w:val="4C0175C5"/>
    <w:rsid w:val="4C4A2E76"/>
    <w:rsid w:val="4D0F775B"/>
    <w:rsid w:val="4D140063"/>
    <w:rsid w:val="4D446B3F"/>
    <w:rsid w:val="4DF841DD"/>
    <w:rsid w:val="4E1121A5"/>
    <w:rsid w:val="4E1B6731"/>
    <w:rsid w:val="4E4C7241"/>
    <w:rsid w:val="4E4D4E21"/>
    <w:rsid w:val="4E684483"/>
    <w:rsid w:val="4E8F0EE0"/>
    <w:rsid w:val="4EAE5D52"/>
    <w:rsid w:val="4EB50131"/>
    <w:rsid w:val="4EF03FD3"/>
    <w:rsid w:val="4F973B56"/>
    <w:rsid w:val="4FC4657B"/>
    <w:rsid w:val="5005200A"/>
    <w:rsid w:val="50130523"/>
    <w:rsid w:val="50751816"/>
    <w:rsid w:val="50EA1CF0"/>
    <w:rsid w:val="52764A41"/>
    <w:rsid w:val="53073C91"/>
    <w:rsid w:val="53083247"/>
    <w:rsid w:val="531652BC"/>
    <w:rsid w:val="536D4A67"/>
    <w:rsid w:val="539F7BB9"/>
    <w:rsid w:val="53BB67F5"/>
    <w:rsid w:val="53F22FCC"/>
    <w:rsid w:val="541A327B"/>
    <w:rsid w:val="543E6A47"/>
    <w:rsid w:val="54400A5E"/>
    <w:rsid w:val="54443E72"/>
    <w:rsid w:val="547621FE"/>
    <w:rsid w:val="54CD6D7D"/>
    <w:rsid w:val="54E07810"/>
    <w:rsid w:val="54E12279"/>
    <w:rsid w:val="55051D91"/>
    <w:rsid w:val="550F02DB"/>
    <w:rsid w:val="55491A2F"/>
    <w:rsid w:val="5567322A"/>
    <w:rsid w:val="559F1AF3"/>
    <w:rsid w:val="55D74AD7"/>
    <w:rsid w:val="5607381C"/>
    <w:rsid w:val="568C7DEA"/>
    <w:rsid w:val="56AD20B4"/>
    <w:rsid w:val="56F61714"/>
    <w:rsid w:val="57165E36"/>
    <w:rsid w:val="57BE153C"/>
    <w:rsid w:val="57F85B40"/>
    <w:rsid w:val="58301120"/>
    <w:rsid w:val="58886744"/>
    <w:rsid w:val="58970340"/>
    <w:rsid w:val="58B452B6"/>
    <w:rsid w:val="58BE768D"/>
    <w:rsid w:val="58DE29EE"/>
    <w:rsid w:val="58FC0BD7"/>
    <w:rsid w:val="59416AA6"/>
    <w:rsid w:val="59C40C22"/>
    <w:rsid w:val="5A3319DF"/>
    <w:rsid w:val="5B335EA4"/>
    <w:rsid w:val="5B372308"/>
    <w:rsid w:val="5B6B5C26"/>
    <w:rsid w:val="5B9D5464"/>
    <w:rsid w:val="5BF36751"/>
    <w:rsid w:val="5BF862FD"/>
    <w:rsid w:val="5C040D4B"/>
    <w:rsid w:val="5C7A6341"/>
    <w:rsid w:val="5C9F6393"/>
    <w:rsid w:val="5CD71999"/>
    <w:rsid w:val="5D17607A"/>
    <w:rsid w:val="5D272DED"/>
    <w:rsid w:val="5D2F5738"/>
    <w:rsid w:val="5D3134C7"/>
    <w:rsid w:val="5D430466"/>
    <w:rsid w:val="5D631C2D"/>
    <w:rsid w:val="5D726D6D"/>
    <w:rsid w:val="5D762DF3"/>
    <w:rsid w:val="5D944639"/>
    <w:rsid w:val="5D9E7382"/>
    <w:rsid w:val="5DC24EF0"/>
    <w:rsid w:val="5DEB609B"/>
    <w:rsid w:val="5DEE5CB5"/>
    <w:rsid w:val="5E9A1E06"/>
    <w:rsid w:val="5EAE57E7"/>
    <w:rsid w:val="5EE344ED"/>
    <w:rsid w:val="5EE45300"/>
    <w:rsid w:val="5F29043E"/>
    <w:rsid w:val="5F564D6C"/>
    <w:rsid w:val="5FF8342F"/>
    <w:rsid w:val="6024015C"/>
    <w:rsid w:val="61C26D85"/>
    <w:rsid w:val="61D456F7"/>
    <w:rsid w:val="6274356C"/>
    <w:rsid w:val="62A57613"/>
    <w:rsid w:val="63340889"/>
    <w:rsid w:val="634E482D"/>
    <w:rsid w:val="63936DAE"/>
    <w:rsid w:val="63DC1167"/>
    <w:rsid w:val="63DC596E"/>
    <w:rsid w:val="641E2250"/>
    <w:rsid w:val="643F00CF"/>
    <w:rsid w:val="64C233CB"/>
    <w:rsid w:val="64DF0105"/>
    <w:rsid w:val="6511265D"/>
    <w:rsid w:val="65112993"/>
    <w:rsid w:val="653D7E05"/>
    <w:rsid w:val="654F6895"/>
    <w:rsid w:val="655A0115"/>
    <w:rsid w:val="65B00C6E"/>
    <w:rsid w:val="65BC7119"/>
    <w:rsid w:val="65D170CA"/>
    <w:rsid w:val="65FF61C4"/>
    <w:rsid w:val="66013E36"/>
    <w:rsid w:val="66630DB6"/>
    <w:rsid w:val="66F93589"/>
    <w:rsid w:val="674112F8"/>
    <w:rsid w:val="676D742A"/>
    <w:rsid w:val="67B22EC5"/>
    <w:rsid w:val="67B916FC"/>
    <w:rsid w:val="693226BE"/>
    <w:rsid w:val="69523A76"/>
    <w:rsid w:val="69617B99"/>
    <w:rsid w:val="69BF4293"/>
    <w:rsid w:val="6A54072F"/>
    <w:rsid w:val="6AC87065"/>
    <w:rsid w:val="6B4D1DE4"/>
    <w:rsid w:val="6B743C2D"/>
    <w:rsid w:val="6B8E129B"/>
    <w:rsid w:val="6BC27D78"/>
    <w:rsid w:val="6BED0AD6"/>
    <w:rsid w:val="6BF73FE1"/>
    <w:rsid w:val="6BFB4BB6"/>
    <w:rsid w:val="6C1E78F6"/>
    <w:rsid w:val="6C363D72"/>
    <w:rsid w:val="6C3943DF"/>
    <w:rsid w:val="6C65368E"/>
    <w:rsid w:val="6C8A296C"/>
    <w:rsid w:val="6D0F0AF8"/>
    <w:rsid w:val="6D191AC2"/>
    <w:rsid w:val="6D3E0BA5"/>
    <w:rsid w:val="6D8100B8"/>
    <w:rsid w:val="6DB75F53"/>
    <w:rsid w:val="6E220C77"/>
    <w:rsid w:val="6E707BB5"/>
    <w:rsid w:val="6FCB3CD4"/>
    <w:rsid w:val="6FDA2BE3"/>
    <w:rsid w:val="6FED39FF"/>
    <w:rsid w:val="6FFA74BB"/>
    <w:rsid w:val="7019464F"/>
    <w:rsid w:val="701F1AEB"/>
    <w:rsid w:val="70257399"/>
    <w:rsid w:val="706614CB"/>
    <w:rsid w:val="71191FF7"/>
    <w:rsid w:val="71970E6E"/>
    <w:rsid w:val="71AF1383"/>
    <w:rsid w:val="71D04232"/>
    <w:rsid w:val="71D82FCD"/>
    <w:rsid w:val="720E6C9A"/>
    <w:rsid w:val="72294D41"/>
    <w:rsid w:val="725C1873"/>
    <w:rsid w:val="73076425"/>
    <w:rsid w:val="73242328"/>
    <w:rsid w:val="73506A8A"/>
    <w:rsid w:val="73A57423"/>
    <w:rsid w:val="73B1251D"/>
    <w:rsid w:val="73DF0B28"/>
    <w:rsid w:val="73EC6593"/>
    <w:rsid w:val="74394C1F"/>
    <w:rsid w:val="745515B3"/>
    <w:rsid w:val="74CB51EF"/>
    <w:rsid w:val="74D02F38"/>
    <w:rsid w:val="753202C7"/>
    <w:rsid w:val="75F338AC"/>
    <w:rsid w:val="76281F0F"/>
    <w:rsid w:val="769D2EA4"/>
    <w:rsid w:val="76DD4CA7"/>
    <w:rsid w:val="770B3935"/>
    <w:rsid w:val="773861D5"/>
    <w:rsid w:val="77AE37A4"/>
    <w:rsid w:val="77BD4CBF"/>
    <w:rsid w:val="77D638A3"/>
    <w:rsid w:val="780A5639"/>
    <w:rsid w:val="78402E86"/>
    <w:rsid w:val="78ED7C7F"/>
    <w:rsid w:val="796E0F9F"/>
    <w:rsid w:val="79A409CB"/>
    <w:rsid w:val="7B3D340A"/>
    <w:rsid w:val="7B762B83"/>
    <w:rsid w:val="7C507748"/>
    <w:rsid w:val="7CF204E1"/>
    <w:rsid w:val="7D2535B2"/>
    <w:rsid w:val="7D2C1CBF"/>
    <w:rsid w:val="7D2F1794"/>
    <w:rsid w:val="7DA63440"/>
    <w:rsid w:val="7DED449E"/>
    <w:rsid w:val="7DF426E9"/>
    <w:rsid w:val="7E091620"/>
    <w:rsid w:val="7E1B4F03"/>
    <w:rsid w:val="7E6D23F4"/>
    <w:rsid w:val="7F653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qFormat="1" w:uiPriority="99" w:semiHidden="0" w:name="HTML Preformatted"/>
    <w:lsdException w:qFormat="1" w:uiPriority="99" w:semiHidden="0" w:name="HTML Sample"/>
    <w:lsdException w:uiPriority="99" w:name="HTML Typewriter"/>
    <w:lsdException w:qFormat="1" w:uiPriority="99" w:semiHidden="0"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jc w:val="center"/>
      <w:outlineLvl w:val="0"/>
    </w:pPr>
    <w:rPr>
      <w:rFonts w:ascii="Times New Roman" w:hAnsi="Times New Roman" w:cs="Times New Roman"/>
      <w:b/>
      <w:bCs/>
      <w:kern w:val="44"/>
      <w:sz w:val="44"/>
      <w:szCs w:val="44"/>
    </w:rPr>
  </w:style>
  <w:style w:type="character" w:default="1" w:styleId="18">
    <w:name w:val="Default Paragraph Font"/>
    <w:unhideWhenUsed/>
    <w:qFormat/>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style>
  <w:style w:type="paragraph" w:styleId="4">
    <w:name w:val="toc 5"/>
    <w:basedOn w:val="1"/>
    <w:next w:val="1"/>
    <w:unhideWhenUsed/>
    <w:qFormat/>
    <w:uiPriority w:val="39"/>
    <w:pPr>
      <w:ind w:left="1680" w:leftChars="800"/>
    </w:pPr>
  </w:style>
  <w:style w:type="paragraph" w:styleId="5">
    <w:name w:val="toc 3"/>
    <w:basedOn w:val="1"/>
    <w:next w:val="1"/>
    <w:unhideWhenUsed/>
    <w:qFormat/>
    <w:uiPriority w:val="39"/>
    <w:pPr>
      <w:ind w:left="840" w:leftChars="400"/>
    </w:pPr>
  </w:style>
  <w:style w:type="paragraph" w:styleId="6">
    <w:name w:val="toc 8"/>
    <w:basedOn w:val="1"/>
    <w:next w:val="1"/>
    <w:unhideWhenUsed/>
    <w:qFormat/>
    <w:uiPriority w:val="39"/>
    <w:pPr>
      <w:ind w:left="2940" w:leftChars="1400"/>
    </w:pPr>
  </w:style>
  <w:style w:type="paragraph" w:styleId="7">
    <w:name w:val="Balloon Text"/>
    <w:basedOn w:val="1"/>
    <w:link w:val="34"/>
    <w:unhideWhenUsed/>
    <w:qFormat/>
    <w:uiPriority w:val="99"/>
    <w:rPr>
      <w:sz w:val="18"/>
      <w:szCs w:val="18"/>
    </w:rPr>
  </w:style>
  <w:style w:type="paragraph" w:styleId="8">
    <w:name w:val="footer"/>
    <w:basedOn w:val="1"/>
    <w:link w:val="33"/>
    <w:unhideWhenUsed/>
    <w:qFormat/>
    <w:uiPriority w:val="0"/>
    <w:pPr>
      <w:tabs>
        <w:tab w:val="center" w:pos="4153"/>
        <w:tab w:val="right" w:pos="8306"/>
      </w:tabs>
      <w:snapToGrid w:val="0"/>
      <w:jc w:val="left"/>
    </w:pPr>
    <w:rPr>
      <w:sz w:val="18"/>
      <w:szCs w:val="18"/>
    </w:rPr>
  </w:style>
  <w:style w:type="paragraph" w:styleId="9">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4"/>
    <w:basedOn w:val="1"/>
    <w:next w:val="1"/>
    <w:unhideWhenUsed/>
    <w:qFormat/>
    <w:uiPriority w:val="39"/>
    <w:pPr>
      <w:ind w:left="1260" w:leftChars="600"/>
    </w:pPr>
  </w:style>
  <w:style w:type="paragraph" w:styleId="12">
    <w:name w:val="toc 6"/>
    <w:basedOn w:val="1"/>
    <w:next w:val="1"/>
    <w:unhideWhenUsed/>
    <w:qFormat/>
    <w:uiPriority w:val="39"/>
    <w:pPr>
      <w:ind w:left="2100" w:leftChars="1000"/>
    </w:pPr>
  </w:style>
  <w:style w:type="paragraph" w:styleId="13">
    <w:name w:val="toc 2"/>
    <w:basedOn w:val="1"/>
    <w:next w:val="1"/>
    <w:unhideWhenUsed/>
    <w:qFormat/>
    <w:uiPriority w:val="39"/>
    <w:pPr>
      <w:ind w:left="420" w:leftChars="200"/>
    </w:pPr>
  </w:style>
  <w:style w:type="paragraph" w:styleId="14">
    <w:name w:val="toc 9"/>
    <w:basedOn w:val="1"/>
    <w:next w:val="1"/>
    <w:unhideWhenUsed/>
    <w:qFormat/>
    <w:uiPriority w:val="39"/>
    <w:pPr>
      <w:ind w:left="3360" w:leftChars="1600"/>
    </w:pPr>
  </w:style>
  <w:style w:type="paragraph" w:styleId="1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hAnsi="PingFang SC" w:eastAsia="PingFang SC" w:cs="Times New Roman"/>
      <w:kern w:val="0"/>
      <w:sz w:val="24"/>
      <w:szCs w:val="24"/>
    </w:rPr>
  </w:style>
  <w:style w:type="paragraph" w:styleId="16">
    <w:name w:val="Normal (Web)"/>
    <w:unhideWhenUsed/>
    <w:qFormat/>
    <w:uiPriority w:val="99"/>
    <w:rPr>
      <w:rFonts w:ascii="Times New Roman" w:hAnsi="Times New Roman" w:eastAsia="宋体" w:cs="Times New Roman"/>
      <w:sz w:val="24"/>
      <w:lang w:val="en-US" w:eastAsia="zh-CN" w:bidi="ar-SA"/>
    </w:rPr>
  </w:style>
  <w:style w:type="paragraph" w:styleId="17">
    <w:name w:val="Title"/>
    <w:basedOn w:val="1"/>
    <w:next w:val="1"/>
    <w:link w:val="36"/>
    <w:qFormat/>
    <w:uiPriority w:val="10"/>
    <w:pPr>
      <w:spacing w:before="240" w:after="60"/>
      <w:jc w:val="left"/>
      <w:outlineLvl w:val="0"/>
    </w:pPr>
    <w:rPr>
      <w:rFonts w:ascii="Cambria" w:hAnsi="Cambria" w:cs="Times New Roman"/>
      <w:b/>
      <w:bCs/>
      <w:sz w:val="32"/>
      <w:szCs w:val="32"/>
    </w:rPr>
  </w:style>
  <w:style w:type="character" w:styleId="19">
    <w:name w:val="page number"/>
    <w:basedOn w:val="18"/>
    <w:qFormat/>
    <w:uiPriority w:val="0"/>
  </w:style>
  <w:style w:type="character" w:styleId="20">
    <w:name w:val="FollowedHyperlink"/>
    <w:basedOn w:val="18"/>
    <w:unhideWhenUsed/>
    <w:qFormat/>
    <w:uiPriority w:val="99"/>
    <w:rPr>
      <w:color w:val="3F88BF"/>
      <w:u w:val="none"/>
    </w:rPr>
  </w:style>
  <w:style w:type="character" w:styleId="21">
    <w:name w:val="Emphasis"/>
    <w:basedOn w:val="18"/>
    <w:qFormat/>
    <w:uiPriority w:val="20"/>
  </w:style>
  <w:style w:type="character" w:styleId="22">
    <w:name w:val="HTML Definition"/>
    <w:basedOn w:val="18"/>
    <w:unhideWhenUsed/>
    <w:qFormat/>
    <w:uiPriority w:val="99"/>
  </w:style>
  <w:style w:type="character" w:styleId="23">
    <w:name w:val="HTML Variable"/>
    <w:basedOn w:val="18"/>
    <w:unhideWhenUsed/>
    <w:qFormat/>
    <w:uiPriority w:val="99"/>
  </w:style>
  <w:style w:type="character" w:styleId="24">
    <w:name w:val="Hyperlink"/>
    <w:basedOn w:val="18"/>
    <w:unhideWhenUsed/>
    <w:qFormat/>
    <w:uiPriority w:val="99"/>
    <w:rPr>
      <w:color w:val="0000FF" w:themeColor="hyperlink"/>
      <w:u w:val="single"/>
      <w14:textFill>
        <w14:solidFill>
          <w14:schemeClr w14:val="hlink"/>
        </w14:solidFill>
      </w14:textFill>
    </w:rPr>
  </w:style>
  <w:style w:type="character" w:styleId="25">
    <w:name w:val="HTML Code"/>
    <w:basedOn w:val="18"/>
    <w:unhideWhenUsed/>
    <w:qFormat/>
    <w:uiPriority w:val="99"/>
    <w:rPr>
      <w:rFonts w:hint="eastAsia" w:ascii="PingFang SC" w:hAnsi="PingFang SC" w:eastAsia="PingFang SC" w:cs="PingFang SC"/>
      <w:sz w:val="20"/>
    </w:rPr>
  </w:style>
  <w:style w:type="character" w:styleId="26">
    <w:name w:val="HTML Cite"/>
    <w:basedOn w:val="18"/>
    <w:unhideWhenUsed/>
    <w:qFormat/>
    <w:uiPriority w:val="99"/>
  </w:style>
  <w:style w:type="character" w:styleId="27">
    <w:name w:val="HTML Keyboard"/>
    <w:basedOn w:val="18"/>
    <w:unhideWhenUsed/>
    <w:qFormat/>
    <w:uiPriority w:val="99"/>
    <w:rPr>
      <w:rFonts w:hint="default" w:ascii="PingFang SC" w:hAnsi="PingFang SC" w:eastAsia="PingFang SC" w:cs="PingFang SC"/>
      <w:sz w:val="12"/>
      <w:szCs w:val="12"/>
    </w:rPr>
  </w:style>
  <w:style w:type="character" w:styleId="28">
    <w:name w:val="HTML Sample"/>
    <w:basedOn w:val="18"/>
    <w:unhideWhenUsed/>
    <w:qFormat/>
    <w:uiPriority w:val="99"/>
    <w:rPr>
      <w:rFonts w:hint="default" w:ascii="PingFang SC" w:hAnsi="PingFang SC" w:eastAsia="PingFang SC" w:cs="PingFang SC"/>
    </w:rPr>
  </w:style>
  <w:style w:type="paragraph" w:customStyle="1" w:styleId="30">
    <w:name w:val="手册正文"/>
    <w:basedOn w:val="1"/>
    <w:link w:val="37"/>
    <w:qFormat/>
    <w:uiPriority w:val="0"/>
    <w:pPr>
      <w:spacing w:line="400" w:lineRule="exact"/>
      <w:ind w:firstLine="200" w:firstLineChars="200"/>
    </w:pPr>
    <w:rPr>
      <w:rFonts w:ascii="Arial" w:hAnsi="Arial" w:cs="Times New Roman"/>
      <w:sz w:val="24"/>
      <w:szCs w:val="24"/>
    </w:rPr>
  </w:style>
  <w:style w:type="paragraph" w:customStyle="1" w:styleId="31">
    <w:name w:val="报告名"/>
    <w:basedOn w:val="1"/>
    <w:qFormat/>
    <w:uiPriority w:val="0"/>
    <w:pPr>
      <w:tabs>
        <w:tab w:val="left" w:pos="1727"/>
        <w:tab w:val="left" w:pos="1884"/>
      </w:tabs>
      <w:adjustRightInd w:val="0"/>
      <w:spacing w:line="300" w:lineRule="auto"/>
      <w:jc w:val="center"/>
      <w:outlineLvl w:val="0"/>
    </w:pPr>
    <w:rPr>
      <w:rFonts w:ascii="文鼎大标宋简" w:hAnsi="Times New Roman" w:eastAsia="文鼎大标宋简" w:cs="Times New Roman"/>
      <w:b/>
      <w:sz w:val="60"/>
      <w:szCs w:val="60"/>
    </w:rPr>
  </w:style>
  <w:style w:type="character" w:customStyle="1" w:styleId="32">
    <w:name w:val="Header Char"/>
    <w:basedOn w:val="18"/>
    <w:link w:val="9"/>
    <w:qFormat/>
    <w:uiPriority w:val="99"/>
    <w:rPr>
      <w:sz w:val="18"/>
      <w:szCs w:val="18"/>
    </w:rPr>
  </w:style>
  <w:style w:type="character" w:customStyle="1" w:styleId="33">
    <w:name w:val="Footer Char"/>
    <w:basedOn w:val="18"/>
    <w:link w:val="8"/>
    <w:qFormat/>
    <w:uiPriority w:val="0"/>
    <w:rPr>
      <w:sz w:val="18"/>
      <w:szCs w:val="18"/>
    </w:rPr>
  </w:style>
  <w:style w:type="character" w:customStyle="1" w:styleId="34">
    <w:name w:val="Balloon Text Char"/>
    <w:basedOn w:val="18"/>
    <w:link w:val="7"/>
    <w:semiHidden/>
    <w:qFormat/>
    <w:uiPriority w:val="99"/>
    <w:rPr>
      <w:sz w:val="18"/>
      <w:szCs w:val="18"/>
    </w:rPr>
  </w:style>
  <w:style w:type="character" w:customStyle="1" w:styleId="35">
    <w:name w:val="Heading 1 Char"/>
    <w:basedOn w:val="18"/>
    <w:link w:val="2"/>
    <w:qFormat/>
    <w:uiPriority w:val="9"/>
    <w:rPr>
      <w:rFonts w:ascii="Times New Roman" w:hAnsi="Times New Roman" w:eastAsia="宋体" w:cs="Times New Roman"/>
      <w:b/>
      <w:bCs/>
      <w:kern w:val="44"/>
      <w:sz w:val="44"/>
      <w:szCs w:val="44"/>
    </w:rPr>
  </w:style>
  <w:style w:type="character" w:customStyle="1" w:styleId="36">
    <w:name w:val="Title Char"/>
    <w:basedOn w:val="18"/>
    <w:link w:val="17"/>
    <w:qFormat/>
    <w:uiPriority w:val="10"/>
    <w:rPr>
      <w:rFonts w:ascii="Cambria" w:hAnsi="Cambria" w:eastAsia="宋体" w:cs="Times New Roman"/>
      <w:b/>
      <w:bCs/>
      <w:sz w:val="32"/>
      <w:szCs w:val="32"/>
    </w:rPr>
  </w:style>
  <w:style w:type="character" w:customStyle="1" w:styleId="37">
    <w:name w:val="手册正文 Char1"/>
    <w:link w:val="30"/>
    <w:qFormat/>
    <w:uiPriority w:val="0"/>
    <w:rPr>
      <w:rFonts w:ascii="Arial" w:hAnsi="Arial" w:eastAsia="宋体" w:cs="Times New Roman"/>
      <w:sz w:val="24"/>
      <w:szCs w:val="24"/>
    </w:rPr>
  </w:style>
  <w:style w:type="character" w:customStyle="1" w:styleId="38">
    <w:name w:val="legend"/>
    <w:basedOn w:val="18"/>
    <w:qFormat/>
    <w:uiPriority w:val="0"/>
    <w:rPr>
      <w:rFonts w:ascii="Arial" w:hAnsi="Arial" w:cs="Arial"/>
      <w:b/>
      <w:color w:val="73B304"/>
      <w:sz w:val="14"/>
      <w:szCs w:val="14"/>
      <w:shd w:val="clear" w:color="auto" w:fill="FFFFFF"/>
    </w:rPr>
  </w:style>
  <w:style w:type="character" w:customStyle="1" w:styleId="39">
    <w:name w:val="num"/>
    <w:basedOn w:val="18"/>
    <w:qFormat/>
    <w:uiPriority w:val="0"/>
    <w:rPr>
      <w:b/>
      <w:color w:val="FF7800"/>
    </w:rPr>
  </w:style>
  <w:style w:type="character" w:customStyle="1" w:styleId="40">
    <w:name w:val="answer-title12"/>
    <w:basedOn w:val="18"/>
    <w:qFormat/>
    <w:uiPriority w:val="0"/>
  </w:style>
  <w:style w:type="character" w:customStyle="1" w:styleId="41">
    <w:name w:val="release-day"/>
    <w:basedOn w:val="18"/>
    <w:qFormat/>
    <w:uiPriority w:val="0"/>
    <w:rPr>
      <w:bdr w:val="single" w:color="BDEBB0" w:sz="4" w:space="0"/>
      <w:shd w:val="clear" w:color="auto" w:fill="F5FFF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759</Words>
  <Characters>4327</Characters>
  <Lines>36</Lines>
  <Paragraphs>10</Paragraphs>
  <ScaleCrop>false</ScaleCrop>
  <LinksUpToDate>false</LinksUpToDate>
  <CharactersWithSpaces>5076</CharactersWithSpaces>
  <Application>WPS Office_10.1.0.6689_F1E327BC-269C-435d-A152-05C5408002CA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2017-07-16T13:11:00Z</dcterms:created>
  <dc:creator>yxj</dc:creator>
  <cp:lastModifiedBy>mahuan</cp:lastModifiedBy>
  <dcterms:modified xsi:type="dcterms:W3CDTF">2017-08-17T03:40:14Z</dcterms:modified>
  <dc:title>文档编号：</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2052-10.1.0.6689</vt:lpwstr>
  </property>
</Properties>
</file>