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pPr w:leftFromText="180" w:rightFromText="180" w:topFromText="180" w:bottomFromText="180" w:vertAnchor="text" w:horzAnchor="text" w:tblpX="0" w:tblpY="0"/>
            <w:tblW w:w="9209.0" w:type="dxa"/>
            <w:jc w:val="left"/>
            <w:tbl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  <w:insideH w:color="8eaadb" w:space="0" w:sz="4" w:val="single"/>
              <w:insideV w:color="8eaadb" w:space="0" w:sz="4" w:val="single"/>
            </w:tblBorders>
            <w:tblLayout w:type="fixed"/>
            <w:tblLook w:val="04A0"/>
          </w:tblPr>
          <w:tblGrid>
            <w:gridCol w:w="1413"/>
            <w:gridCol w:w="3544"/>
            <w:gridCol w:w="4252"/>
            <w:tblGridChange w:id="0">
              <w:tblGrid>
                <w:gridCol w:w="1413"/>
                <w:gridCol w:w="3544"/>
                <w:gridCol w:w="425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02">
                <w:pPr>
                  <w:jc w:val="left"/>
                  <w:rPr>
                    <w:i w:val="0"/>
                    <w:sz w:val="28"/>
                    <w:szCs w:val="28"/>
                  </w:rPr>
                </w:pPr>
                <w:r w:rsidDel="00000000" w:rsidR="00000000" w:rsidRPr="00000000">
                  <w:rPr>
                    <w:i w:val="0"/>
                    <w:sz w:val="28"/>
                    <w:szCs w:val="28"/>
                    <w:rtl w:val="0"/>
                  </w:rPr>
                  <w:t xml:space="preserve">Biobank</w:t>
                </w:r>
                <w:r w:rsidDel="00000000" w:rsidR="00000000" w:rsidRPr="00000000">
                  <w:rPr>
                    <w:i w:val="0"/>
                    <w:sz w:val="28"/>
                    <w:szCs w:val="28"/>
                    <w:rtl w:val="0"/>
                  </w:rPr>
                  <w:t xml:space="preserve"> (required fields in bold)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05">
                <w:pPr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Name</w:t>
                </w:r>
              </w:p>
            </w:tc>
            <w:tc>
              <w:tcPr/>
              <w:p w:rsidR="00000000" w:rsidDel="00000000" w:rsidP="00000000" w:rsidRDefault="00000000" w:rsidRPr="00000000" w14:paraId="00000006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07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Name of the biobank</w:t>
                </w:r>
              </w:p>
              <w:p w:rsidR="00000000" w:rsidDel="00000000" w:rsidP="00000000" w:rsidRDefault="00000000" w:rsidRPr="00000000" w14:paraId="00000008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09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Acronym</w:t>
                </w:r>
              </w:p>
            </w:tc>
            <w:tc>
              <w:tcPr/>
              <w:p w:rsidR="00000000" w:rsidDel="00000000" w:rsidP="00000000" w:rsidRDefault="00000000" w:rsidRPr="00000000" w14:paraId="0000000A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B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0C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Short name or acronym of the biobank</w:t>
                </w:r>
              </w:p>
            </w:tc>
          </w:tr>
          <w:tr>
            <w:trPr>
              <w:cantSplit w:val="0"/>
              <w:trHeight w:val="687.5390625" w:hRule="atLeast"/>
              <w:tblHeader w:val="0"/>
            </w:trPr>
            <w:tc>
              <w:tcPr/>
              <w:p w:rsidR="00000000" w:rsidDel="00000000" w:rsidP="00000000" w:rsidRDefault="00000000" w:rsidRPr="00000000" w14:paraId="0000000D">
                <w:pPr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Description</w:t>
                </w:r>
              </w:p>
            </w:tc>
            <w:tc>
              <w:tcPr/>
              <w:p w:rsidR="00000000" w:rsidDel="00000000" w:rsidP="00000000" w:rsidRDefault="00000000" w:rsidRPr="00000000" w14:paraId="0000000E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F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0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1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12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Short description of the biobank and the services it provides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13">
                <w:pPr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Contact person</w:t>
                </w:r>
              </w:p>
            </w:tc>
            <w:tc>
              <w:tcPr/>
              <w:p w:rsidR="00000000" w:rsidDel="00000000" w:rsidP="00000000" w:rsidRDefault="00000000" w:rsidRPr="00000000" w14:paraId="00000014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5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16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The primary external contact of the biobank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17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Head</w:t>
                </w:r>
              </w:p>
            </w:tc>
            <w:tc>
              <w:tcPr/>
              <w:p w:rsidR="00000000" w:rsidDel="00000000" w:rsidP="00000000" w:rsidRDefault="00000000" w:rsidRPr="00000000" w14:paraId="00000018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19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Person in charge of the biobank.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1A">
                <w:pPr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Juridical person</w:t>
                </w:r>
              </w:p>
            </w:tc>
            <w:tc>
              <w:tcPr/>
              <w:p w:rsidR="00000000" w:rsidDel="00000000" w:rsidP="00000000" w:rsidRDefault="00000000" w:rsidRPr="00000000" w14:paraId="0000001B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C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1D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Name of the organisation (legal entity) of the biobank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1E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Website</w:t>
                </w:r>
              </w:p>
            </w:tc>
            <w:tc>
              <w:tcPr/>
              <w:p w:rsidR="00000000" w:rsidDel="00000000" w:rsidP="00000000" w:rsidRDefault="00000000" w:rsidRPr="00000000" w14:paraId="0000001F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0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21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URL of the website of the biobank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22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City</w:t>
                </w:r>
              </w:p>
            </w:tc>
            <w:tc>
              <w:tcPr/>
              <w:p w:rsidR="00000000" w:rsidDel="00000000" w:rsidP="00000000" w:rsidRDefault="00000000" w:rsidRPr="00000000" w14:paraId="00000023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24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25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Longitude</w:t>
                </w:r>
              </w:p>
            </w:tc>
            <w:tc>
              <w:tcPr/>
              <w:p w:rsidR="00000000" w:rsidDel="00000000" w:rsidP="00000000" w:rsidRDefault="00000000" w:rsidRPr="00000000" w14:paraId="00000026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7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28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WGS84 coordinate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29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Latitude</w:t>
                </w:r>
              </w:p>
            </w:tc>
            <w:tc>
              <w:tcPr/>
              <w:p w:rsidR="00000000" w:rsidDel="00000000" w:rsidP="00000000" w:rsidRDefault="00000000" w:rsidRPr="00000000" w14:paraId="0000002A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B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2C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WGS84 coordinate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2D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Services</w:t>
                </w:r>
              </w:p>
            </w:tc>
            <w:tc>
              <w:tcPr/>
              <w:p w:rsidR="00000000" w:rsidDel="00000000" w:rsidP="00000000" w:rsidRDefault="00000000" w:rsidRPr="00000000" w14:paraId="0000002E">
                <w:pPr>
                  <w:ind w:left="720" w:hanging="360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2F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List of services that the biobank offers to researchers. Fill in details in the table below.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0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Network</w:t>
                </w:r>
              </w:p>
            </w:tc>
            <w:tc>
              <w:tcPr/>
              <w:p w:rsidR="00000000" w:rsidDel="00000000" w:rsidP="00000000" w:rsidRDefault="00000000" w:rsidRPr="00000000" w14:paraId="00000031">
                <w:pPr>
                  <w:ind w:left="720" w:hanging="360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2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List of networks in which the</w:t>
                </w:r>
              </w:p>
              <w:p w:rsidR="00000000" w:rsidDel="00000000" w:rsidP="00000000" w:rsidRDefault="00000000" w:rsidRPr="00000000" w14:paraId="00000033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biobank participates, see </w:t>
                </w:r>
                <w:hyperlink r:id="rId7">
                  <w:r w:rsidDel="00000000" w:rsidR="00000000" w:rsidRPr="00000000">
                    <w:rPr>
                      <w:color w:val="1155cc"/>
                      <w:sz w:val="18"/>
                      <w:szCs w:val="18"/>
                      <w:u w:val="single"/>
                      <w:rtl w:val="0"/>
                    </w:rPr>
                    <w:t xml:space="preserve">https://directory.bbmri-eric.eu/ERIC/tables/#/Networks</w:t>
                  </w:r>
                </w:hyperlink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for the list of available networks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4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Other listings</w:t>
                </w:r>
              </w:p>
            </w:tc>
            <w:tc>
              <w:tcPr/>
              <w:p w:rsidR="00000000" w:rsidDel="00000000" w:rsidP="00000000" w:rsidRDefault="00000000" w:rsidRPr="00000000" w14:paraId="00000035">
                <w:pPr>
                  <w:ind w:left="720" w:hanging="360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6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Listings in other catalogues, please provide URLs to the entry in those catalogues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7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Commercial collaboration</w:t>
                </w:r>
              </w:p>
            </w:tc>
            <w:tc>
              <w:tcPr/>
              <w:p w:rsidR="00000000" w:rsidDel="00000000" w:rsidP="00000000" w:rsidRDefault="00000000" w:rsidRPr="00000000" w14:paraId="00000038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Quattrocento Sans" w:cs="Quattrocento Sans" w:eastAsia="Quattrocento Sans" w:hAnsi="Quattrocento Sans"/>
                    <w:sz w:val="18"/>
                    <w:szCs w:val="18"/>
                    <w:rtl w:val="0"/>
                  </w:rPr>
                  <w:t xml:space="preserve">Yes </w:t>
                </w:r>
              </w:p>
              <w:p w:rsidR="00000000" w:rsidDel="00000000" w:rsidP="00000000" w:rsidRDefault="00000000" w:rsidRPr="00000000" w14:paraId="00000039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Quattrocento Sans" w:cs="Quattrocento Sans" w:eastAsia="Quattrocento Sans" w:hAnsi="Quattrocento Sans"/>
                    <w:sz w:val="18"/>
                    <w:szCs w:val="18"/>
                    <w:rtl w:val="0"/>
                  </w:rPr>
                  <w:t xml:space="preserve">No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A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Indication if the biobank is able to participate in collaborations with commercial organisations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B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Not-for-profit collaboration</w:t>
                </w:r>
              </w:p>
            </w:tc>
            <w:tc>
              <w:tcPr/>
              <w:p w:rsidR="00000000" w:rsidDel="00000000" w:rsidP="00000000" w:rsidRDefault="00000000" w:rsidRPr="00000000" w14:paraId="0000003C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Quattrocento Sans" w:cs="Quattrocento Sans" w:eastAsia="Quattrocento Sans" w:hAnsi="Quattrocento Sans"/>
                    <w:sz w:val="18"/>
                    <w:szCs w:val="18"/>
                    <w:rtl w:val="0"/>
                  </w:rPr>
                  <w:t xml:space="preserve">Yes </w:t>
                </w:r>
              </w:p>
              <w:p w:rsidR="00000000" w:rsidDel="00000000" w:rsidP="00000000" w:rsidRDefault="00000000" w:rsidRPr="00000000" w14:paraId="0000003D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Quattrocento Sans" w:cs="Quattrocento Sans" w:eastAsia="Quattrocento Sans" w:hAnsi="Quattrocento San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Quattrocento Sans" w:cs="Quattrocento Sans" w:eastAsia="Quattrocento Sans" w:hAnsi="Quattrocento Sans"/>
                    <w:sz w:val="18"/>
                    <w:szCs w:val="18"/>
                    <w:rtl w:val="0"/>
                  </w:rPr>
                  <w:t xml:space="preserve">No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E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Indication if the biobank is able to participate in collaborations with not-for-profit organisations</w:t>
                </w:r>
              </w:p>
            </w:tc>
          </w:tr>
        </w:tbl>
      </w:sdtContent>
    </w:sdt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4.0" w:type="dxa"/>
        <w:jc w:val="left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1354"/>
        <w:gridCol w:w="3608"/>
        <w:gridCol w:w="708"/>
        <w:gridCol w:w="3544"/>
        <w:tblGridChange w:id="0">
          <w:tblGrid>
            <w:gridCol w:w="1354"/>
            <w:gridCol w:w="3608"/>
            <w:gridCol w:w="708"/>
            <w:gridCol w:w="3544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0">
            <w:pPr>
              <w:jc w:val="left"/>
              <w:rPr>
                <w:i w:val="0"/>
                <w:sz w:val="28"/>
                <w:szCs w:val="28"/>
              </w:rPr>
            </w:pPr>
            <w:r w:rsidDel="00000000" w:rsidR="00000000" w:rsidRPr="00000000">
              <w:rPr>
                <w:i w:val="0"/>
                <w:sz w:val="28"/>
                <w:szCs w:val="28"/>
                <w:rtl w:val="0"/>
              </w:rPr>
              <w:t xml:space="preserve">Collection details (</w:t>
            </w:r>
            <w:r w:rsidDel="00000000" w:rsidR="00000000" w:rsidRPr="00000000">
              <w:rPr>
                <w:i w:val="0"/>
                <w:sz w:val="28"/>
                <w:szCs w:val="28"/>
                <w:rtl w:val="0"/>
              </w:rPr>
              <w:t xml:space="preserve">repeat table if necessary; </w:t>
            </w:r>
            <w:r w:rsidDel="00000000" w:rsidR="00000000" w:rsidRPr="00000000">
              <w:rPr>
                <w:i w:val="0"/>
                <w:sz w:val="28"/>
                <w:szCs w:val="28"/>
                <w:rtl w:val="0"/>
              </w:rPr>
              <w:t xml:space="preserve">required fields in bold)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 of the collection (&lt; 60 characters)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Acronym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Acronym or short name of the collection (&lt; 20 characters)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URL of the website of the</w:t>
            </w:r>
          </w:p>
          <w:p w:rsidR="00000000" w:rsidDel="00000000" w:rsidP="00000000" w:rsidRDefault="00000000" w:rsidRPr="00000000" w14:paraId="000000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collection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Birth cohort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Case-Control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4"/>
              </w:num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Cohort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Cross-sectional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Disease specific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Hospital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Image collection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Longitudinal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Non-human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4"/>
              </w:num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Population-based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4"/>
              </w:num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Prospective study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4"/>
              </w:num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Quality control 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4"/>
              </w:num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Rare disease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4"/>
              </w:num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Sample collection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4"/>
              </w:num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Twin study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4"/>
              </w:num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Other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type of sample collection. Tick all that apply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Diseases studied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List of ICD codes of the diseases studied. Use blocks or chapters, when studying a group of related diseases. See </w:t>
            </w:r>
            <w:hyperlink r:id="rId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http://apps.who.int/classifications/icd10/browse/2016/en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for the complete list of valid codes. OR Orphanet codes, see </w:t>
            </w:r>
            <w:hyperlink r:id="rId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https://www.orpha.net/en/disease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Possible to list multiple values,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required for Disease specific, Hospital collections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Data categories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Antibodies titer (IgM and IgG)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Biological samples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Blood count and other lab results, especially at the moment of hospital admission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CT imaging of lungs, alternatively X-ray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on clinical symptoms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on disease duration and outcome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Genealogical records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Imaging data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Medical records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National registries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available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Physiological/Biochemical measurements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Survey data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Treatment protocol (types of drugs used)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categories of data that are</w:t>
            </w:r>
          </w:p>
          <w:p w:rsidR="00000000" w:rsidDel="00000000" w:rsidP="00000000" w:rsidRDefault="00000000" w:rsidRPr="00000000" w14:paraId="000000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available as part of the collection. Tick all that apply.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Material collected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Buffy coat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cDNA / mRNA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Cell lines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DNA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Feces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microRNA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Nasal swab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Pathogen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Peripheral blood cells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Plasma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RNA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Saliva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Serum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Throat swab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Tissue (frozen)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Tissue (paraffin preserved)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Tissue (stained sections/slides)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Urine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Whole Blood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types of biological material</w:t>
            </w:r>
          </w:p>
          <w:p w:rsidR="00000000" w:rsidDel="00000000" w:rsidP="00000000" w:rsidRDefault="00000000" w:rsidRPr="00000000" w14:paraId="000000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 in the collection. Tick all that apply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Storage temperatures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E">
            <w:pPr>
              <w:numPr>
                <w:ilvl w:val="0"/>
                <w:numId w:val="7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Room temperature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7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2°C to 10°C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7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-18°C to -35°C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7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​​-60°C to -80°C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7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Liquid nitrogen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7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Other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temperature at which the</w:t>
            </w:r>
          </w:p>
          <w:p w:rsidR="00000000" w:rsidDel="00000000" w:rsidP="00000000" w:rsidRDefault="00000000" w:rsidRPr="00000000" w14:paraId="000000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samples are stored. Tick all that apply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8">
            <w:pPr>
              <w:numPr>
                <w:ilvl w:val="0"/>
                <w:numId w:val="6"/>
              </w:num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Female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6"/>
              </w:num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Male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6"/>
              </w:num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Neutered female (animal)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6"/>
              </w:num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Neutered male (animal)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6"/>
              </w:num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Undifferentiated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6"/>
              </w:num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Unknown 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6"/>
              </w:num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Not asked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6"/>
              </w:num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Not available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sex of the individuals whose</w:t>
            </w:r>
          </w:p>
          <w:p w:rsidR="00000000" w:rsidDel="00000000" w:rsidP="00000000" w:rsidRDefault="00000000" w:rsidRPr="00000000" w14:paraId="000000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samples are part of the collection. Tick all that apply.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Age low - high Age unit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4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From: ____________ to: ____________ </w:t>
            </w:r>
          </w:p>
          <w:p w:rsidR="00000000" w:rsidDel="00000000" w:rsidP="00000000" w:rsidRDefault="00000000" w:rsidRPr="00000000" w14:paraId="000000B5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Days Weeks Months Years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Ages of the individuals whose samples are part of the collection. Open ranges possible, tick one unit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 of donors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9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 of participants / patients included in the collection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Number of samples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D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Exact size of collection in number</w:t>
            </w:r>
          </w:p>
          <w:p w:rsidR="00000000" w:rsidDel="00000000" w:rsidP="00000000" w:rsidRDefault="00000000" w:rsidRPr="00000000" w14:paraId="000000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 unique sample IDs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Timestamp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2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Exact date (and time) at which the size</w:t>
            </w:r>
          </w:p>
          <w:p w:rsidR="00000000" w:rsidDel="00000000" w:rsidP="00000000" w:rsidRDefault="00000000" w:rsidRPr="00000000" w14:paraId="000000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 the collection was determined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7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Other listings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F">
            <w:p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Listings in other catalogues, please provide URLs to the entry in those catalogues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Studies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3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List of studies in the context of which the collection was generated. Fill in details in the table below. 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D6">
            <w:pPr>
              <w:jc w:val="left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Organisational Structure</w:t>
            </w:r>
            <w:r w:rsidDel="00000000" w:rsidR="00000000" w:rsidRPr="00000000">
              <w:rPr>
                <w:b w:val="1"/>
                <w:i w:val="0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Contact Person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One person only, name and e-mail address required, fill in details in table below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Principal Investigators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One or more principal investigators, name required, fill in details in table below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Biobank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biobank that hosts the collection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Parent collection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this collection part of another collection? If so, please provide the ID of the parent collection.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Network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List of networks the collection is a part of, see </w:t>
            </w:r>
            <w:hyperlink r:id="rId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https://directory.bbmri-eric.eu/ERIC/tables/#/Networks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for the list of available networks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5">
            <w:pPr>
              <w:jc w:val="left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Access policies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Commercial collaboration</w:t>
            </w:r>
          </w:p>
        </w:tc>
        <w:tc>
          <w:tcPr/>
          <w:p w:rsidR="00000000" w:rsidDel="00000000" w:rsidP="00000000" w:rsidRDefault="00000000" w:rsidRPr="00000000" w14:paraId="000000FA">
            <w:pPr>
              <w:numPr>
                <w:ilvl w:val="0"/>
                <w:numId w:val="1"/>
              </w:num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Yes 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1"/>
              </w:num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Indicates whether the material in the collection is available for use in a commercial context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Not-for-profit collaboration</w:t>
            </w:r>
          </w:p>
        </w:tc>
        <w:tc>
          <w:tcPr/>
          <w:p w:rsidR="00000000" w:rsidDel="00000000" w:rsidP="00000000" w:rsidRDefault="00000000" w:rsidRPr="00000000" w14:paraId="000000FF">
            <w:pPr>
              <w:numPr>
                <w:ilvl w:val="0"/>
                <w:numId w:val="1"/>
              </w:num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Yes 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1"/>
              </w:num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Indicates whether the material in the</w:t>
            </w:r>
          </w:p>
          <w:p w:rsidR="00000000" w:rsidDel="00000000" w:rsidP="00000000" w:rsidRDefault="00000000" w:rsidRPr="00000000" w14:paraId="000001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collection is available for use in a</w:t>
            </w:r>
          </w:p>
          <w:p w:rsidR="00000000" w:rsidDel="00000000" w:rsidP="00000000" w:rsidRDefault="00000000" w:rsidRPr="00000000" w14:paraId="000001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not-for-profit context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use policy</w:t>
            </w:r>
          </w:p>
        </w:tc>
        <w:tc>
          <w:tcPr/>
          <w:p w:rsidR="00000000" w:rsidDel="00000000" w:rsidP="00000000" w:rsidRDefault="00000000" w:rsidRPr="00000000" w14:paraId="00000106">
            <w:p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List of policies describing the data use policy, following Data Use Ontology (DUO) format, see </w:t>
            </w:r>
            <w:hyperlink r:id="rId1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https://github.com/EBISPOT/DUO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DUC profile</w:t>
            </w:r>
          </w:p>
        </w:tc>
        <w:tc>
          <w:tcPr/>
          <w:p w:rsidR="00000000" w:rsidDel="00000000" w:rsidP="00000000" w:rsidRDefault="00000000" w:rsidRPr="00000000" w14:paraId="0000010A">
            <w:p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Link to the Digital Use Conditions (DUC) profile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Access fee</w:t>
            </w:r>
          </w:p>
        </w:tc>
        <w:tc>
          <w:tcPr/>
          <w:p w:rsidR="00000000" w:rsidDel="00000000" w:rsidP="00000000" w:rsidRDefault="00000000" w:rsidRPr="00000000" w14:paraId="0000010E">
            <w:pPr>
              <w:numPr>
                <w:ilvl w:val="0"/>
                <w:numId w:val="1"/>
              </w:num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Yes 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1"/>
              </w:num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a (cost-recovery) fee required for access to the biological samples, data or imaging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Access through joint project</w:t>
            </w:r>
          </w:p>
        </w:tc>
        <w:tc>
          <w:tcPr/>
          <w:p w:rsidR="00000000" w:rsidDel="00000000" w:rsidP="00000000" w:rsidRDefault="00000000" w:rsidRPr="00000000" w14:paraId="00000113">
            <w:pPr>
              <w:numPr>
                <w:ilvl w:val="0"/>
                <w:numId w:val="5"/>
              </w:num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5"/>
              </w:num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a joint project required for access to the biological samples, data or imaging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Access description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Short description of the policy for access to the biological samples, data or imaging.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Access URL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Link to a detailed description of the policy for access to the biological samples, data or imaging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Standard operating procedures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8"/>
              </w:num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Data processing PD/SOP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8"/>
              </w:num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Data storage PD/SOP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8"/>
              </w:num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Data transport PD/SOP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8"/>
              </w:num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Sample processing PD/SOP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8"/>
              </w:num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Sample storage PD/SOP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8"/>
              </w:num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Sample transport PD/SOP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Indicate the availability of Process Descriptions (PDs) and/or Standard Operating Procedures (SOPs). Tick all that apply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2C">
            <w:pPr>
              <w:jc w:val="left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Imaging </w:t>
            </w:r>
          </w:p>
        </w:tc>
      </w:tr>
      <w:tr>
        <w:trPr>
          <w:cantSplit w:val="0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1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Body part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Body part imaged according to the DICOM standard</w:t>
            </w:r>
          </w:p>
        </w:tc>
      </w:tr>
      <w:tr>
        <w:trPr>
          <w:cantSplit w:val="0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1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Imaging modality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Modality for imaging according to DICOM standard</w:t>
            </w:r>
          </w:p>
        </w:tc>
      </w:tr>
      <w:tr>
        <w:trPr>
          <w:cantSplit w:val="0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1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Imaging dataset type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Imaging dataset types according to DICOM standard</w:t>
            </w:r>
          </w:p>
        </w:tc>
      </w:tr>
    </w:tbl>
    <w:p w:rsidR="00000000" w:rsidDel="00000000" w:rsidP="00000000" w:rsidRDefault="00000000" w:rsidRPr="00000000" w14:paraId="0000013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36.9999999999996" w:tblpY="0"/>
        <w:tblW w:w="9209.0" w:type="dxa"/>
        <w:jc w:val="left"/>
        <w:tblInd w:w="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1413"/>
        <w:gridCol w:w="3544"/>
        <w:gridCol w:w="4252"/>
        <w:tblGridChange w:id="0">
          <w:tblGrid>
            <w:gridCol w:w="1413"/>
            <w:gridCol w:w="3544"/>
            <w:gridCol w:w="4252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40">
            <w:pPr>
              <w:jc w:val="left"/>
              <w:rPr>
                <w:i w:val="0"/>
                <w:sz w:val="28"/>
                <w:szCs w:val="28"/>
              </w:rPr>
            </w:pPr>
            <w:r w:rsidDel="00000000" w:rsidR="00000000" w:rsidRPr="00000000">
              <w:rPr>
                <w:i w:val="0"/>
                <w:sz w:val="28"/>
                <w:szCs w:val="28"/>
                <w:rtl w:val="0"/>
              </w:rPr>
              <w:t xml:space="preserve">Person (repeat table if necessary; required fields in bold)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Title(s), before name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First name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Last name</w:t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Title(s), after name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E-mail address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Phone number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Official role of the person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Postal code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City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Country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209.0" w:type="dxa"/>
        <w:jc w:val="left"/>
        <w:tblInd w:w="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1413"/>
        <w:gridCol w:w="3544"/>
        <w:gridCol w:w="4252"/>
        <w:tblGridChange w:id="0">
          <w:tblGrid>
            <w:gridCol w:w="1413"/>
            <w:gridCol w:w="3544"/>
            <w:gridCol w:w="4252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65">
            <w:pPr>
              <w:jc w:val="left"/>
              <w:rPr>
                <w:i w:val="0"/>
                <w:sz w:val="28"/>
                <w:szCs w:val="28"/>
              </w:rPr>
            </w:pPr>
            <w:r w:rsidDel="00000000" w:rsidR="00000000" w:rsidRPr="00000000">
              <w:rPr>
                <w:i w:val="0"/>
                <w:sz w:val="28"/>
                <w:szCs w:val="28"/>
                <w:rtl w:val="0"/>
              </w:rPr>
              <w:t xml:space="preserve">Study (repeat table if necessary; required fields in bold)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title of the study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 of the study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type of study, e.g. observational, interventional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Sex</w:t>
            </w:r>
          </w:p>
        </w:tc>
        <w:tc>
          <w:tcPr/>
          <w:p w:rsidR="00000000" w:rsidDel="00000000" w:rsidP="00000000" w:rsidRDefault="00000000" w:rsidRPr="00000000" w14:paraId="00000174">
            <w:pPr>
              <w:numPr>
                <w:ilvl w:val="0"/>
                <w:numId w:val="6"/>
              </w:num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Female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6"/>
              </w:num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Male</w:t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6"/>
              </w:num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Neutered female (animal)</w:t>
            </w:r>
          </w:p>
          <w:p w:rsidR="00000000" w:rsidDel="00000000" w:rsidP="00000000" w:rsidRDefault="00000000" w:rsidRPr="00000000" w14:paraId="00000177">
            <w:pPr>
              <w:numPr>
                <w:ilvl w:val="0"/>
                <w:numId w:val="6"/>
              </w:num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Neutered male (animal)</w:t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6"/>
              </w:num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Undifferentiated</w:t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6"/>
              </w:num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Unknown </w:t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6"/>
              </w:num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Not asked</w:t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6"/>
              </w:numPr>
              <w:ind w:left="720" w:hanging="36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Not available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sex of the individuals who participated in the study. Tick all that apply.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Age low - high Age unit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From: ____________ to: ____________ </w:t>
            </w:r>
          </w:p>
          <w:p w:rsidR="00000000" w:rsidDel="00000000" w:rsidP="00000000" w:rsidRDefault="00000000" w:rsidRPr="00000000" w14:paraId="0000017F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Days Weeks Months Years</w:t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Ages of the individuals involved in the study.. Open ranges possible, tick one unit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 of subjects</w:t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number of subjects that participated in the study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Other listings</w:t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Listings in other catalogues, please provide URLs to the entry in those catalogues</w:t>
            </w:r>
          </w:p>
        </w:tc>
      </w:tr>
    </w:tbl>
    <w:p w:rsidR="00000000" w:rsidDel="00000000" w:rsidP="00000000" w:rsidRDefault="00000000" w:rsidRPr="00000000" w14:paraId="0000018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9209.0" w:type="dxa"/>
        <w:jc w:val="left"/>
        <w:tblInd w:w="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1413"/>
        <w:gridCol w:w="3544"/>
        <w:gridCol w:w="4252"/>
        <w:tblGridChange w:id="0">
          <w:tblGrid>
            <w:gridCol w:w="1413"/>
            <w:gridCol w:w="3544"/>
            <w:gridCol w:w="4252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88">
            <w:pPr>
              <w:jc w:val="left"/>
              <w:rPr>
                <w:i w:val="0"/>
                <w:sz w:val="28"/>
                <w:szCs w:val="28"/>
              </w:rPr>
            </w:pPr>
            <w:r w:rsidDel="00000000" w:rsidR="00000000" w:rsidRPr="00000000">
              <w:rPr>
                <w:i w:val="0"/>
                <w:sz w:val="28"/>
                <w:szCs w:val="28"/>
                <w:rtl w:val="0"/>
              </w:rPr>
              <w:t xml:space="preserve">Service (repeat table if necessary; required fields in bold)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 of the service (preferably in English)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Service type</w:t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Type(s) of service from this list: </w:t>
            </w:r>
            <w:hyperlink r:id="rId1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https://directory.bbmri-eric.eu/DirectoryOntologies/tables/#/ServiceTypes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Acronym</w:t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Short name in use for the service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95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Full description of the service (in English)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 URL</w:t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URL pointing to a description of the service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Device</w:t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 of the device(s), if the service is provided with the use of them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Device system</w:t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 of a software system or platform, if important for the device characteristics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Technology Readiness Level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Self-assessment of the service maturity, select one. See definitions </w:t>
            </w:r>
            <w:hyperlink r:id="rId1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Access description</w:t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 of the access policy of the service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Access description URL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URL pointing to the access policy of the service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Unit of access</w:t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Information about a standard unit used in calculations of costs of service provision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Unit cost</w:t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Cost per unit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Contact person</w:t>
            </w:r>
          </w:p>
        </w:tc>
        <w:tc>
          <w:tcPr/>
          <w:p w:rsidR="00000000" w:rsidDel="00000000" w:rsidP="00000000" w:rsidRDefault="00000000" w:rsidRPr="00000000" w14:paraId="000001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Contact person or person responsible for the service. Fill in details in the ‘Person’-table.</w:t>
            </w:r>
          </w:p>
        </w:tc>
      </w:tr>
    </w:tbl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ard" w:default="1">
    <w:name w:val="Normal"/>
    <w:qFormat w:val="1"/>
    <w:rPr>
      <w:lang w:val="en-GB"/>
    </w:rPr>
  </w:style>
  <w:style w:type="character" w:styleId="Standaardalinea-lettertype" w:default="1">
    <w:name w:val="Default Paragraph Font"/>
    <w:uiPriority w:val="1"/>
    <w:unhideWhenUsed w:val="1"/>
  </w:style>
  <w:style w:type="table" w:styleId="Standaardtabe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Geenlijst" w:default="1">
    <w:name w:val="No List"/>
    <w:uiPriority w:val="99"/>
    <w:semiHidden w:val="1"/>
    <w:unhideWhenUsed w:val="1"/>
  </w:style>
  <w:style w:type="table" w:styleId="Tabelraster">
    <w:name w:val="Table Grid"/>
    <w:basedOn w:val="Standaardtabel"/>
    <w:uiPriority w:val="39"/>
    <w:rsid w:val="002A3CC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Rastertabel3-Accent1">
    <w:name w:val="Grid Table 3 Accent 1"/>
    <w:basedOn w:val="Standaardtabel"/>
    <w:uiPriority w:val="48"/>
    <w:rsid w:val="002A3CC8"/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  <w:tblStylePr w:type="neCell">
      <w:tblPr/>
      <w:tcPr>
        <w:tcBorders>
          <w:bottom w:color="8eaadb" w:space="0" w:sz="4" w:themeColor="accent1" w:themeTint="000099" w:val="single"/>
        </w:tcBorders>
      </w:tcPr>
    </w:tblStylePr>
    <w:tblStylePr w:type="nwCell">
      <w:tblPr/>
      <w:tcPr>
        <w:tcBorders>
          <w:bottom w:color="8eaadb" w:space="0" w:sz="4" w:themeColor="accent1" w:themeTint="000099" w:val="single"/>
        </w:tcBorders>
      </w:tcPr>
    </w:tblStylePr>
    <w:tblStylePr w:type="seCell">
      <w:tblPr/>
      <w:tcPr>
        <w:tcBorders>
          <w:top w:color="8eaadb" w:space="0" w:sz="4" w:themeColor="accent1" w:themeTint="000099" w:val="single"/>
        </w:tcBorders>
      </w:tcPr>
    </w:tblStylePr>
    <w:tblStylePr w:type="swCell">
      <w:tblPr/>
      <w:tcPr>
        <w:tcBorders>
          <w:top w:color="8eaadb" w:space="0" w:sz="4" w:themeColor="accent1" w:themeTint="000099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8eaadb" w:space="0" w:sz="4" w:val="single"/>
        </w:tcBorders>
      </w:tcPr>
    </w:tblStylePr>
    <w:tblStylePr w:type="nwCell">
      <w:tcPr>
        <w:tcBorders>
          <w:bottom w:color="8eaadb" w:space="0" w:sz="4" w:val="single"/>
        </w:tcBorders>
      </w:tcPr>
    </w:tblStylePr>
    <w:tblStylePr w:type="seCell">
      <w:tcPr>
        <w:tcBorders>
          <w:top w:color="8eaadb" w:space="0" w:sz="4" w:val="single"/>
        </w:tcBorders>
      </w:tcPr>
    </w:tblStylePr>
    <w:tblStylePr w:type="swCell">
      <w:tcPr>
        <w:tcBorders>
          <w:top w:color="8eaadb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8eaadb" w:space="0" w:sz="4" w:val="single"/>
        </w:tcBorders>
      </w:tcPr>
    </w:tblStylePr>
    <w:tblStylePr w:type="nwCell">
      <w:tcPr>
        <w:tcBorders>
          <w:bottom w:color="8eaadb" w:space="0" w:sz="4" w:val="single"/>
        </w:tcBorders>
      </w:tcPr>
    </w:tblStylePr>
    <w:tblStylePr w:type="seCell">
      <w:tcPr>
        <w:tcBorders>
          <w:top w:color="8eaadb" w:space="0" w:sz="4" w:val="single"/>
        </w:tcBorders>
      </w:tcPr>
    </w:tblStylePr>
    <w:tblStylePr w:type="swCell">
      <w:tcPr>
        <w:tcBorders>
          <w:top w:color="8eaadb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8eaadb" w:space="0" w:sz="4" w:val="single"/>
        </w:tcBorders>
      </w:tcPr>
    </w:tblStylePr>
    <w:tblStylePr w:type="nwCell">
      <w:tcPr>
        <w:tcBorders>
          <w:bottom w:color="8eaadb" w:space="0" w:sz="4" w:val="single"/>
        </w:tcBorders>
      </w:tcPr>
    </w:tblStylePr>
    <w:tblStylePr w:type="seCell">
      <w:tcPr>
        <w:tcBorders>
          <w:top w:color="8eaadb" w:space="0" w:sz="4" w:val="single"/>
        </w:tcBorders>
      </w:tcPr>
    </w:tblStylePr>
    <w:tblStylePr w:type="swCell">
      <w:tcPr>
        <w:tcBorders>
          <w:top w:color="8eaadb" w:space="0" w:sz="4" w:val="single"/>
        </w:tcBorders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8eaadb" w:space="0" w:sz="4" w:val="single"/>
        </w:tcBorders>
      </w:tcPr>
    </w:tblStylePr>
    <w:tblStylePr w:type="nwCell">
      <w:tcPr>
        <w:tcBorders>
          <w:bottom w:color="8eaadb" w:space="0" w:sz="4" w:val="single"/>
        </w:tcBorders>
      </w:tcPr>
    </w:tblStylePr>
    <w:tblStylePr w:type="seCell">
      <w:tcPr>
        <w:tcBorders>
          <w:top w:color="8eaadb" w:space="0" w:sz="4" w:val="single"/>
        </w:tcBorders>
      </w:tcPr>
    </w:tblStylePr>
    <w:tblStylePr w:type="swCell">
      <w:tcPr>
        <w:tcBorders>
          <w:top w:color="8eaadb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8eaadb" w:space="0" w:sz="4" w:val="single"/>
        </w:tcBorders>
      </w:tcPr>
    </w:tblStylePr>
    <w:tblStylePr w:type="nwCell">
      <w:tcPr>
        <w:tcBorders>
          <w:bottom w:color="8eaadb" w:space="0" w:sz="4" w:val="single"/>
        </w:tcBorders>
      </w:tcPr>
    </w:tblStylePr>
    <w:tblStylePr w:type="seCell">
      <w:tcPr>
        <w:tcBorders>
          <w:top w:color="8eaadb" w:space="0" w:sz="4" w:val="single"/>
        </w:tcBorders>
      </w:tcPr>
    </w:tblStylePr>
    <w:tblStylePr w:type="swCell"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EBISPOT/DUO" TargetMode="External"/><Relationship Id="rId10" Type="http://schemas.openxmlformats.org/officeDocument/2006/relationships/hyperlink" Target="https://directory.bbmri-eric.eu/ERIC/tables/#/Networks" TargetMode="External"/><Relationship Id="rId13" Type="http://schemas.openxmlformats.org/officeDocument/2006/relationships/hyperlink" Target="https://ec.europa.eu/research/participants/data/ref/h2020/wp/2014_2015/annexes/h2020-wp1415-annex-g-trl_en.pdf" TargetMode="External"/><Relationship Id="rId12" Type="http://schemas.openxmlformats.org/officeDocument/2006/relationships/hyperlink" Target="https://directory.bbmri-eric.eu/DirectoryOntologies/tables/#/ServiceTyp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rpha.net/en/diseas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irectory.bbmri-eric.eu/ERIC/tables/#/Networks" TargetMode="External"/><Relationship Id="rId8" Type="http://schemas.openxmlformats.org/officeDocument/2006/relationships/hyperlink" Target="http://apps.who.int/classifications/icd10/browse/2016/e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t90GK/qLxocdzLGtg3sKIvm+ZQ==">CgMxLjAaHwoBMBIaChgICVIUChJ0YWJsZS56Znc2aXduNHl4cWY4AHIhMTFwUWpNT3VsZTAydmlsT2FhREd3S3NLcms5b3d3VGpV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2018-06-04T11:10:00Z</dcterms:created>
  <dc:creator>David van Enckevort</dc:creator>
</cp:coreProperties>
</file>