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45.png" ContentType="image/png"/>
  <Override PartName="/word/media/rId59.png" ContentType="image/png"/>
  <Override PartName="/word/media/rId24.png" ContentType="image/png"/>
  <Override PartName="/word/media/rId55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4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Aleppo University — Faculty of Electrical &amp; Electronic Engineering</w:t>
      </w:r>
      <w:r>
        <w:t xml:space="preserve"> </w:t>
      </w:r>
      <w:r>
        <w:rPr>
          <w:b/>
          <w:bCs/>
        </w:rPr>
        <w:t xml:space="preserve">Department of Mechatronics Engineering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Eng. Saad Almoustafa</w:t>
      </w:r>
      <w:r>
        <w:t xml:space="preserve"> </w:t>
      </w:r>
      <w:r>
        <w:t xml:space="preserve">Year:</w:t>
      </w:r>
      <w:r>
        <w:t xml:space="preserve"> </w:t>
      </w:r>
      <w:r>
        <w:rPr>
          <w:b/>
          <w:bCs/>
        </w:rPr>
        <w:t xml:space="preserve">Fourth Year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Companion chapter — read first.</w:t>
      </w:r>
      <w:r>
        <w:t xml:space="preserve"> </w:t>
      </w:r>
      <w:r>
        <w:t xml:space="preserve">The electrical-machines and control</w:t>
      </w:r>
      <w:r>
        <w:t xml:space="preserve"> </w:t>
      </w:r>
      <w:r>
        <w:t xml:space="preserve">-engineering background (PMSM construction &amp; operation, the FOC drive, each fault</w:t>
      </w:r>
      <w:r>
        <w:t xml:space="preserve"> </w:t>
      </w:r>
      <w:r>
        <w:t xml:space="preserve">with its causes, traditional vs automated detection, the proposed method’s</w:t>
      </w:r>
      <w:r>
        <w:t xml:space="preserve"> </w:t>
      </w:r>
      <w:r>
        <w:t xml:space="preserve">improvements, and a PMSM-vs-PMDC/BLDC/induction comparison) is in</w:t>
      </w:r>
      <w:r>
        <w:t xml:space="preserve"> </w:t>
      </w:r>
      <w:r>
        <w:rPr>
          <w:rStyle w:val="VerbatimChar"/>
          <w:b/>
          <w:bCs/>
        </w:rPr>
        <w:t xml:space="preserve">engineering-background.pdf</w:t>
      </w:r>
      <w:r>
        <w:t xml:space="preserve"> </w:t>
      </w:r>
      <w:r>
        <w:t xml:space="preserve">with supporting diagrams. This report focuses on</w:t>
      </w:r>
      <w:r>
        <w:t xml:space="preserve"> </w:t>
      </w:r>
      <w:r>
        <w:t xml:space="preserve">the signal-processing and CNN pipeline.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72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62" w:name="effect-of-network-depth-number-of-layers"/>
    <w:p>
      <w:pPr>
        <w:pStyle w:val="Heading3"/>
      </w:pPr>
      <w:r>
        <w:t xml:space="preserve">9.4 Effect of network depth (number of layers)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 blocks</w:t>
            </w:r>
          </w:p>
        </w:tc>
        <w:tc>
          <w:tcPr/>
          <w:p>
            <w:pPr>
              <w:pStyle w:val="Compact"/>
            </w:pPr>
            <w:r>
              <w:t xml:space="preserve">3 blocks</w:t>
            </w:r>
          </w:p>
        </w:tc>
        <w:tc>
          <w:tcPr/>
          <w:p>
            <w:pPr>
              <w:pStyle w:val="Compact"/>
            </w:pPr>
            <w:r>
              <w:t xml:space="preserve">4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Depth ablation" title="" id="60" name="Picture"/>
            <a:graphic>
              <a:graphicData uri="http://schemas.openxmlformats.org/drawingml/2006/picture">
                <pic:pic>
                  <pic:nvPicPr>
                    <pic:cNvPr descr="../../results/depth_abl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Depth ablation</w:t>
      </w:r>
    </w:p>
    <w:p>
      <w:pPr>
        <w:pStyle w:val="BodyText"/>
      </w:pPr>
      <w:r>
        <w:rPr>
          <w:i/>
          <w:iCs/>
        </w:rPr>
        <w:t xml:space="preserve">Figure 9.2 — Effect of the number of convolution blocks.</w:t>
      </w:r>
      <w:r>
        <w:t xml:space="preserve"> </w:t>
      </w:r>
      <w:r>
        <w:t xml:space="preserve">Depth barely changes</w:t>
      </w:r>
      <w:r>
        <w:t xml:space="preserve"> </w:t>
      </w:r>
      <w:r>
        <w:t xml:space="preserve">the result: current stays ~0.69–0.71 (its limit is signal quality, not capacity),</w:t>
      </w:r>
      <w:r>
        <w:t xml:space="preserve"> </w:t>
      </w:r>
      <w:r>
        <w:t xml:space="preserve">vibration is perfect at every depth. Note that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blocks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parameters (less pooling → larger flattened map): 2-block ≈ 23.9M, 3-block ≈</w:t>
      </w:r>
      <w:r>
        <w:t xml:space="preserve"> </w:t>
      </w:r>
      <w:r>
        <w:t xml:space="preserve">11.2M, 4-block ≈ 5.1M.</w:t>
      </w:r>
      <w:r>
        <w:t xml:space="preserve"> </w:t>
      </w:r>
      <w:r>
        <w:rPr>
          <w:b/>
          <w:bCs/>
        </w:rPr>
        <w:t xml:space="preserve">Three blocks</w:t>
      </w:r>
      <w:r>
        <w:t xml:space="preserve"> </w:t>
      </w:r>
      <w:r>
        <w:t xml:space="preserve">is the chosen default — near-best accuracy</w:t>
      </w:r>
      <w:r>
        <w:t xml:space="preserve"> </w:t>
      </w:r>
      <w:r>
        <w:t xml:space="preserve">with a moderate parameter count and less overfitting risk than a deeper network.</w:t>
      </w:r>
    </w:p>
    <w:bookmarkEnd w:id="62"/>
    <w:bookmarkStart w:id="66" w:name="X1545b97f402930ba44f3de8e00e9e2da5359932"/>
    <w:p>
      <w:pPr>
        <w:pStyle w:val="Heading3"/>
      </w:pPr>
      <w:r>
        <w:t xml:space="preserve">9.5 Effect of model architecture (enhancing the CNN)</w:t>
      </w:r>
    </w:p>
    <w:p>
      <w:pPr>
        <w:pStyle w:val="FirstParagraph"/>
      </w:pPr>
      <w:r>
        <w:t xml:space="preserve">Three architectures, balanced data, 224 px: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(from-scratch 3-block CNN),</w:t>
      </w:r>
      <w:r>
        <w:t xml:space="preserve"> </w:t>
      </w:r>
      <w:r>
        <w:rPr>
          <w:b/>
          <w:bCs/>
        </w:rPr>
        <w:t xml:space="preserve">modern</w:t>
      </w:r>
      <w:r>
        <w:t xml:space="preserve"> </w:t>
      </w:r>
      <w:r>
        <w:t xml:space="preserve">(Conv-BatchNorm-ReLU + global average pooling + LR scheduling), and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(frozen pretrained MobileNetV2 + small head).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  <w:tc>
          <w:tcPr/>
          <w:p>
            <w:pPr>
              <w:pStyle w:val="Compac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282461"/>
            <wp:effectExtent b="0" l="0" r="0" t="0"/>
            <wp:docPr descr="Architecture ablation" title="" id="64" name="Picture"/>
            <a:graphic>
              <a:graphicData uri="http://schemas.openxmlformats.org/drawingml/2006/picture">
                <pic:pic>
                  <pic:nvPicPr>
                    <pic:cNvPr descr="../../results/architecture_abla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ablation</w:t>
      </w:r>
    </w:p>
    <w:p>
      <w:pPr>
        <w:pStyle w:val="BodyText"/>
      </w:pPr>
      <w:r>
        <w:rPr>
          <w:i/>
          <w:iCs/>
        </w:rPr>
        <w:t xml:space="preserve">Figure 9.3 — Architecture comparison.</w:t>
      </w:r>
      <w:r>
        <w:t xml:space="preserve"> </w:t>
      </w:r>
      <w:r>
        <w:rPr>
          <w:b/>
          <w:bCs/>
        </w:rPr>
        <w:t xml:space="preserve">Transfer learning (MobileNetV2) is the</w:t>
      </w:r>
      <w:r>
        <w:rPr>
          <w:b/>
          <w:bCs/>
        </w:rPr>
        <w:t xml:space="preserve"> </w:t>
      </w:r>
      <w:r>
        <w:rPr>
          <w:b/>
          <w:bCs/>
        </w:rPr>
        <w:t xml:space="preserve">clean, effective enhancement</w:t>
      </w:r>
      <w:r>
        <w:t xml:space="preserve">: it raises the weak current channel from 0.70 to</w:t>
      </w:r>
      <w:r>
        <w:t xml:space="preserve"> </w:t>
      </w:r>
      <w:r>
        <w:rPr>
          <w:b/>
          <w:bCs/>
        </w:rPr>
        <w:t xml:space="preserve">0.89</w:t>
      </w:r>
      <w:r>
        <w:t xml:space="preserve"> </w:t>
      </w:r>
      <w:r>
        <w:t xml:space="preserve">(inter-turn recall 0.40 → 0.77) and keeps vibration at 1.00 — pretrained</w:t>
      </w:r>
      <w:r>
        <w:t xml:space="preserve"> </w:t>
      </w:r>
      <w:r>
        <w:t xml:space="preserve">ImageNet features transfer well to scalograms despite not being natural images. The</w:t>
      </w:r>
      <w:r>
        <w:t xml:space="preserve"> </w:t>
      </w:r>
      <w:r>
        <w:t xml:space="preserve">from-scratch</w:t>
      </w:r>
      <w:r>
        <w:t xml:space="preserve"> </w:t>
      </w:r>
      <w:r>
        <w:rPr>
          <w:i/>
          <w:iCs/>
        </w:rPr>
        <w:t xml:space="preserve">modern</w:t>
      </w:r>
      <w:r>
        <w:t xml:space="preserve"> </w:t>
      </w:r>
      <w:r>
        <w:t xml:space="preserve">variant collapsed on this small dataset (BatchNorm needs</w:t>
      </w:r>
      <w:r>
        <w:t xml:space="preserve"> </w:t>
      </w:r>
      <w:r>
        <w:t xml:space="preserve">larger batches), confirming that with scarce data pretrained features beat fancier</w:t>
      </w:r>
      <w:r>
        <w:t xml:space="preserve"> </w:t>
      </w:r>
      <w:r>
        <w:t xml:space="preserve">training. Train it with</w:t>
      </w:r>
      <w:r>
        <w:t xml:space="preserve"> </w:t>
      </w:r>
      <w:r>
        <w:rPr>
          <w:rStyle w:val="VerbatimChar"/>
        </w:rPr>
        <w:t xml:space="preserve">make train SIGNAL=current ARCH=transfer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--arch transfer</w:t>
      </w:r>
      <w:r>
        <w:t xml:space="preserve">).</w:t>
      </w:r>
    </w:p>
    <w:bookmarkEnd w:id="66"/>
    <w:bookmarkStart w:id="70" w:name="X7df4530f8713905d9822232635866ac50306f1f"/>
    <w:p>
      <w:pPr>
        <w:pStyle w:val="Heading3"/>
      </w:pPr>
      <w:r>
        <w:t xml:space="preserve">9.6 Can generated data help? (synthetic pre-training &amp; augmentation)</w:t>
      </w:r>
    </w:p>
    <w:p>
      <w:pPr>
        <w:pStyle w:val="FirstParagraph"/>
      </w:pPr>
      <w:r>
        <w:t xml:space="preserve">We tested whether</w:t>
      </w:r>
      <w:r>
        <w:t xml:space="preserve"> </w:t>
      </w:r>
      <w:r>
        <w:rPr>
          <w:i/>
          <w:iCs/>
        </w:rPr>
        <w:t xml:space="preserve">generating</w:t>
      </w:r>
      <w:r>
        <w:t xml:space="preserve"> </w:t>
      </w:r>
      <w:r>
        <w:t xml:space="preserve">data lifts the weak current channel, on the real</w:t>
      </w:r>
      <w:r>
        <w:t xml:space="preserve"> </w:t>
      </w:r>
      <w:r>
        <w:t xml:space="preserve">held-out current test 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SpecAugment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pre-train → real fine-tune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Generated-data strategies" title="" id="68" name="Picture"/>
            <a:graphic>
              <a:graphicData uri="http://schemas.openxmlformats.org/drawingml/2006/picture">
                <pic:pic>
                  <pic:nvPicPr>
                    <pic:cNvPr descr="../../results/transfer_experimen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Generated-data strategies</w:t>
      </w:r>
    </w:p>
    <w:p>
      <w:pPr>
        <w:pStyle w:val="BodyText"/>
      </w:pPr>
      <w:r>
        <w:rPr>
          <w:i/>
          <w:iCs/>
        </w:rPr>
        <w:t xml:space="preserve">Figure 9.4 — Generated-data strategies on the real current channel.</w:t>
      </w:r>
      <w:r>
        <w:t xml:space="preserve"> </w:t>
      </w:r>
      <w:r>
        <w:t xml:space="preserve">The result is</w:t>
      </w:r>
      <w:r>
        <w:t xml:space="preserve"> </w:t>
      </w:r>
      <w:r>
        <w:t xml:space="preserve">an honest negative: augmentation gave a negligible gain and</w:t>
      </w:r>
      <w:r>
        <w:t xml:space="preserve"> </w:t>
      </w:r>
      <w:r>
        <w:rPr>
          <w:b/>
          <w:bCs/>
        </w:rPr>
        <w:t xml:space="preserve">pre-training on our</w:t>
      </w:r>
      <w:r>
        <w:rPr>
          <w:b/>
          <w:bCs/>
        </w:rPr>
        <w:t xml:space="preserve"> </w:t>
      </w:r>
      <w:r>
        <w:rPr>
          <w:b/>
          <w:bCs/>
        </w:rPr>
        <w:t xml:space="preserve">rich synthetic dataset hurt</w:t>
      </w:r>
      <w:r>
        <w:t xml:space="preserve"> </w:t>
      </w:r>
      <w:r>
        <w:t xml:space="preserve">(0.70 → 0.35) — a</w:t>
      </w:r>
      <w:r>
        <w:t xml:space="preserve"> </w:t>
      </w:r>
      <w:r>
        <w:rPr>
          <w:b/>
          <w:bCs/>
        </w:rPr>
        <w:t xml:space="preserve">domain gap</w:t>
      </w:r>
      <w:r>
        <w:t xml:space="preserve">, because the</w:t>
      </w:r>
      <w:r>
        <w:t xml:space="preserve"> </w:t>
      </w:r>
      <w:r>
        <w:t xml:space="preserve">synthetic</w:t>
      </w:r>
      <w:r>
        <w:t xml:space="preserve"> </w:t>
      </w:r>
      <w:r>
        <w:t xml:space="preserve">“healthy”</w:t>
      </w:r>
      <w:r>
        <w:t xml:space="preserve"> </w:t>
      </w:r>
      <w:r>
        <w:t xml:space="preserve">signal is a stylised model whose statistics the small real set</w:t>
      </w:r>
      <w:r>
        <w:t xml:space="preserve"> </w:t>
      </w:r>
      <w:r>
        <w:t xml:space="preserve">cannot correct. This contrasts with ImageNet transfer (§9.5, 0.89):</w:t>
      </w:r>
      <w:r>
        <w:t xml:space="preserve"> </w:t>
      </w:r>
      <w:r>
        <w:rPr>
          <w:i/>
          <w:iCs/>
        </w:rPr>
        <w:t xml:space="preserve">generic</w:t>
      </w:r>
      <w:r>
        <w:rPr>
          <w:i/>
          <w:iCs/>
        </w:rPr>
        <w:t xml:space="preserve"> </w:t>
      </w:r>
      <w:r>
        <w:rPr>
          <w:i/>
          <w:iCs/>
        </w:rPr>
        <w:t xml:space="preserve">real-world</w:t>
      </w:r>
      <w:r>
        <w:t xml:space="preserve"> </w:t>
      </w:r>
      <w:r>
        <w:t xml:space="preserve">features transfer; a narrow hand-built simulator does not. Conclusion:</w:t>
      </w:r>
      <w:r>
        <w:t xml:space="preserve"> </w:t>
      </w:r>
      <w:r>
        <w:t xml:space="preserve">synthetic data is valuable for software validation and the Demagnetization/Overload</w:t>
      </w:r>
      <w:r>
        <w:t xml:space="preserve"> </w:t>
      </w:r>
      <w:r>
        <w:t xml:space="preserve">classes,</w:t>
      </w:r>
      <w:r>
        <w:t xml:space="preserve"> </w:t>
      </w:r>
      <w:r>
        <w:rPr>
          <w:b/>
          <w:bCs/>
        </w:rPr>
        <w:t xml:space="preserve">but cannot substitute for real-recording diversity</w:t>
      </w:r>
      <w:r>
        <w:t xml:space="preserve"> </w:t>
      </w:r>
      <w:r>
        <w:t xml:space="preserve">— the true lever</w:t>
      </w:r>
      <w:r>
        <w:t xml:space="preserve"> </w:t>
      </w:r>
      <w:r>
        <w:t xml:space="preserve">(see §8.4).</w:t>
      </w:r>
    </w:p>
    <w:bookmarkEnd w:id="70"/>
    <w:bookmarkStart w:id="71" w:name="overfitting-controls"/>
    <w:p>
      <w:pPr>
        <w:pStyle w:val="Heading3"/>
      </w:pPr>
      <w:r>
        <w:t xml:space="preserve">9.7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conclusions-and-future-work"/>
    <w:p>
      <w:pPr>
        <w:pStyle w:val="Heading2"/>
      </w:pPr>
      <w:r>
        <w:t xml:space="preserve">10. Conclusions and Future Work</w:t>
      </w:r>
    </w:p>
    <w:bookmarkStart w:id="73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73"/>
    <w:bookmarkStart w:id="74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74"/>
    <w:bookmarkStart w:id="75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78"/>
    <w:bookmarkStart w:id="79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79"/>
    <w:bookmarkStart w:id="80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80"/>
    <w:bookmarkStart w:id="81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81"/>
    <w:bookmarkStart w:id="82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82"/>
    <w:bookmarkStart w:id="83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55" Target="media/rId55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2026-06-24T11:07:37Z</dcterms:created>
  <dcterms:modified xsi:type="dcterms:W3CDTF">2026-06-24T11:07:37Z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