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440" w:lineRule="exact" w:after="240" w:before="160"/>
        <w:ind w:firstLine="0"/>
        <w:jc w:val="center"/>
      </w:pPr>
      <w:r>
        <w:t xml:space="preserve">从信号空间相似性到相位全息匹配：RFID室内定位机制综述</w:t>
      </w:r>
    </w:p>
    <w:p>
      <w:pPr>
        <w:pStyle w:val="Normal"/>
        <w:spacing w:line="260" w:lineRule="exact" w:after="100"/>
        <w:ind w:firstLine="0"/>
      </w:pPr>
      <w:r>
        <w:rPr>
          <w:b/>
          <w:bCs/>
        </w:rPr>
        <w:t xml:space="preserve">摘　要：</w:t>
      </w:r>
      <w:r>
        <w:t xml:space="preserve"> </w:t>
      </w:r>
      <w:r>
        <w:t xml:space="preserve">为梳理射频识别室内定位的算法基础及适用边界，围绕信号采集、位置估计与观测质量控制，对LANDMARC、SVR-LANDMARC和相位全息定位等代表性研究进行比较，结合参考标签可信度方法分析定位偏差的来源。归纳表明，RSSI近邻方法依赖参考标签的局部可比性，相位合成孔径方法依赖传播模型、轨迹标定和跨位置观测的一致性；不同实验的误差指标不能直接排序。在此基础上提出结合可信度、有效邻居数及几何约束的自适应选择方案，并给出重采样和消融验证设计。该方案尚待实测，可为动态环境中的低成本鲁棒定位研究提供参考。</w:t>
      </w:r>
    </w:p>
    <w:p>
      <w:pPr>
        <w:pStyle w:val="Normal"/>
        <w:spacing w:line="260" w:lineRule="exact" w:after="100"/>
        <w:ind w:firstLine="0"/>
      </w:pPr>
      <w:r>
        <w:rPr>
          <w:b/>
          <w:bCs/>
        </w:rPr>
        <w:t xml:space="preserve">关键词：</w:t>
      </w:r>
      <w:r>
        <w:t xml:space="preserve"> </w:t>
      </w:r>
      <w:r>
        <w:t xml:space="preserve">射频识别；室内定位；LANDMARC；参考标签可信度；合成孔径雷达；相位全息；自适应邻居选择</w:t>
      </w:r>
    </w:p>
    <w:p>
      <w:pPr>
        <w:pStyle w:val="Normal"/>
        <w:spacing w:line="260" w:lineRule="exact" w:after="100"/>
        <w:ind w:firstLine="0"/>
      </w:pPr>
      <w:r>
        <w:rPr>
          <w:b/>
          <w:bCs/>
        </w:rPr>
        <w:t xml:space="preserve">中图法分类号：</w:t>
      </w:r>
      <w:r>
        <w:t xml:space="preserve"> </w:t>
      </w:r>
      <w:r>
        <w:t xml:space="preserve">TP391.44　　</w:t>
      </w:r>
      <w:r>
        <w:rPr>
          <w:b/>
          <w:bCs/>
        </w:rPr>
        <w:t xml:space="preserve">文献标识码：</w:t>
      </w:r>
      <w:r>
        <w:t xml:space="preserve"> </w:t>
      </w:r>
      <w:r>
        <w:t xml:space="preserve">A</w:t>
      </w:r>
    </w:p>
    <w:p>
      <w:pPr>
        <w:pStyle w:val="Normal"/>
        <w:spacing w:line="260" w:lineRule="exact" w:after="100" w:before="160"/>
        <w:ind w:firstLine="0"/>
        <w:jc w:val="left"/>
      </w:pPr>
      <w:r>
        <w:rPr>
          <w:b/>
          <w:sz w:val="22"/>
        </w:rPr>
        <w:t xml:space="preserve">From Signal-Space Similarity to Phase Hologram Matching: A Review of RFID Indoor Localization Mechanisms</w:t>
      </w:r>
    </w:p>
    <w:p>
      <w:pPr>
        <w:pStyle w:val="Normal"/>
        <w:spacing w:line="260" w:lineRule="exact" w:after="100"/>
        <w:ind w:firstLine="0"/>
      </w:pPr>
      <w:r>
        <w:rPr>
          <w:b/>
          <w:bCs/>
        </w:rPr>
        <w:t xml:space="preserve">Abstract:</w:t>
      </w:r>
      <w:r>
        <w:t xml:space="preserve"> </w:t>
      </w:r>
      <w:r>
        <w:t xml:space="preserve">Indoor RFID localization converts identification events into spatial information, but its accuracy depends on how observations are collected and interpreted. This review examines representative full-text studies on LANDMARC, SVR-based localization, and learning-enhanced phase holography, together with verified publications on reference-tag credibility. The analysis separates air-interface operations from server-side estimation and compares the assumptions behind signal-space interpolation and synthetic-aperture matching. Reference tags provide local calibration, whereas phase methods use trajectory-dependent propagation signatures. Reported performance is assessed with its original metric and experimental setting; median errors, coordinate-wise errors, and planar RMSE are not treated as interchangeable. A research proposal combines credibility filtering, effective neighbor count, geometric coverage, and bounded resampling to adapt LANDMARC to changing environments. Its intended benefits remain hypotheses, and an evaluation design is specified to test accuracy, latency, and failure rates under a fixed sampling budget. The review identifies measurement consistency and calibrated uncertainty as central requirements for deployable RFID localization.</w:t>
      </w:r>
    </w:p>
    <w:p>
      <w:pPr>
        <w:pStyle w:val="Normal"/>
        <w:spacing w:line="260" w:lineRule="exact" w:after="100"/>
        <w:ind w:firstLine="0"/>
      </w:pPr>
      <w:r>
        <w:rPr>
          <w:b/>
          <w:bCs/>
        </w:rPr>
        <w:t xml:space="preserve">Key words:</w:t>
      </w:r>
      <w:r>
        <w:t xml:space="preserve"> </w:t>
      </w:r>
      <w:r>
        <w:t xml:space="preserve">radio frequency identification; indoor localization; LANDMARC; reference-tag credibility; synthetic aperture radar; phase holography; adaptive neighbor selection</w:t>
      </w:r>
    </w:p>
    <w:p>
      <w:pPr>
        <w:sectPr>
          <w:headerReference w:type="even" r:id="rId154"/>
          <w:headerReference w:type="default" r:id="rId155"/>
          <w:headerReference w:type="first" r:id="rId156"/>
          <w:footerReference w:type="even" r:id="rId157"/>
          <w:footerReference w:type="default" r:id="rId158"/>
          <w:footerReference w:type="first" r:id="rId159"/>
          <w:footnotePr>
            <w:numFmt w:val="decimal"/>
            <w:numRestart w:val="eachPage"/>
          </w:footnotePr>
          <w:type w:val="nextPage"/>
          <w:pgSz w:w="10440" w:h="14740"/>
          <w:pgMar w:left="822" w:right="822" w:gutter="0" w:header="425" w:top="793" w:footer="510" w:bottom="1247"/>
          <w:formProt w:val="false"/>
          <w:textDirection w:val="lrTb"/>
          <w:cols w:num="1" w:space="340" w:equalWidth="1"/>
        </w:sectPr>
      </w:pPr>
    </w:p>
    <w:p>
      <w:pPr>
        <w:pStyle w:val="Heading1"/>
      </w:pPr>
      <w:r>
        <w:t xml:space="preserve">1　引言</w:t>
      </w:r>
    </w:p>
    <w:p>
      <w:pPr>
        <w:pStyle w:val="Normal"/>
      </w:pPr>
      <w:r>
        <w:t xml:space="preserve">仓储管理需要回答物品位于哪一排货架，医院需要及时查找设备，制造现场则要求识别物料并判断其位置。这些任务同时需要身份信息与空间信息。GPS在室内受到建筑遮挡和传播条件限制，难以直接满足细粒度定位需求。RFID通过标签标识建立物品与数据库的关联，若进一步利用接收信号强度指示值（received signal strength indicator，RSSI）、载波相位或到达角，可在识别流程上增加定位能力。然而，能够读到标签只说明通信链路成立，并不意味着已获得准确的距离或坐标。</w:t>
      </w:r>
    </w:p>
    <w:p>
      <w:pPr>
        <w:pStyle w:val="Normal"/>
      </w:pPr>
      <w:r>
        <w:t xml:space="preserve">室内RFID定位的困难主要体现在三个方面。首先，同一距离可能产生不同RSSI，同一RSSI也可能对应多个位置；标签朝向、附着材料和遮挡均改变观测。其次，无源标签的反向散射信号经历往返传播，测得相位还包含硬件和标签引入的偏移，其周期性使绝对距离存在模糊。最后，多标签盘存与多天线轮询决定采样时间，各维观测未必同步。因此，定位误差既来自估计公式，也来自观测形成过程。只按“RSSI法精度低、相位法精度高”分类，会掩盖方法成立的条件。</w:t>
      </w:r>
    </w:p>
    <w:p>
      <w:pPr>
        <w:pStyle w:val="Normal"/>
      </w:pPr>
      <w:r>
        <w:t xml:space="preserve">本文采用面向机制的叙述性综述方法，以LANDMARC原始研究[1]、SVR-LANDMARC[2]和FaHo[3]的全文为精读主体，以参考标签可信度研究[4,5]、近期SAR研究[6]及标准[7]为补充。检索核验截至2026年10月11日，依据题名、DOI和出版信息交叉识别文献；纳入条件为直接讨论RFID定位的观测、估计或质量控制。本文不声称覆盖该方向全部论文，也不进行跨论文误差的统计合并。</w:t>
      </w:r>
    </w:p>
    <w:p>
      <w:pPr>
        <w:pStyle w:val="Normal"/>
      </w:pPr>
      <w:r>
        <w:t xml:space="preserve">计划书推荐的比较研究[8]与LANDMARC改进研究[9]已核实书目，但本次未取得可精读的全文，故不引用其未核验公式、信任度矩阵或实验数值。文献[9]属于RICAI 2022会议、2023年出版，两者并不矛盾。计划书中的“可信度检查—异常标签舍弃—偏差校正”有可直接核实的中文研究依据[4]；不能仅凭题名将其等同于文献[9]的贡献。文献[6]仅用于出版方摘要所支持的机制概述，具体权重函数和数值性能不作补写。</w:t>
      </w:r>
    </w:p>
    <w:p>
      <w:pPr>
        <w:pStyle w:val="Normal"/>
      </w:pPr>
      <w:r>
        <w:t xml:space="preserve">本文的组织与贡献为：建立“观测量—估计范式—质量控制”的分类框架，统一LANDMARC和相位法的关键符号，区分空中接口协议与服务器算法；在保留原实验条件的前提下比较性能证据；结合固定邻居数的局限提出可检验的自适应方案。第2节介绍技术基础，第3节总结算法与协议，第4节讨论比较和研究展望，第5节给出结论。</w:t>
      </w:r>
    </w:p>
    <w:p>
      <w:pPr>
        <w:pStyle w:val="Heading1"/>
      </w:pPr>
      <w:r>
        <w:t xml:space="preserve">2　相关工作与技术基础</w:t>
      </w:r>
    </w:p>
    <w:p>
      <w:pPr>
        <w:pStyle w:val="Heading2"/>
      </w:pPr>
      <w:r>
        <w:t xml:space="preserve">2.1　系统对象与观测层次</w:t>
      </w:r>
    </w:p>
    <w:p>
      <w:pPr>
        <w:pStyle w:val="Normal"/>
      </w:pPr>
      <w:r>
        <w:t xml:space="preserve">RFID系统包含标签、读取器、天线及后端服务。定位对象可以是移动标签，也可以是携带读取器的机器人；本文主要讨论标签定位，并假设参考标签或天线轨迹的坐标已知。需要区分读取器数量与天线数量：一台多端口读取器可轮询若干天线，但这些端口并不自动构成同步相干阵列。部署成本不仅包括标签和读取器，还包括坐标测量、射频校准、轨迹获取及后续维护。</w:t>
      </w:r>
    </w:p>
    <w:p>
      <w:pPr>
        <w:pStyle w:val="Normal"/>
      </w:pPr>
      <w:r>
        <w:t xml:space="preserve">有源标签自行供能并发送信号；无源UHF标签从读取器连续波获得能量，通过改变负载调制反向散射信号。LANDMARC最初使用有源RFID[1]，其近邻思想可迁移到无源设备，但不能沿用全部传播参数和采样假设。后续文献[2]使用一台读取器连接四天线，FaHo[3]则使用单天线移动形成合成孔径。这些系统的标签、频段和观测时序不同，比较时必须分别交代。</w:t>
      </w:r>
    </w:p>
    <w:p xmlns:m="http://schemas.openxmlformats.org/officeDocument/2006/math">
      <w:pPr>
        <w:pStyle w:val="Normal"/>
      </w:pPr>
      <w:r>
        <w:t xml:space="preserve">定义二维目标位置为</w:t>
      </w:r>
      <w:r>
        <w:t xml:space="preserve"> </w:t>
      </w:r>
      <m:oMath>
        <m:r>
          <m:rPr>
            <m:sty m:val="b"/>
          </m:rPr>
          <m:t>p</m:t>
        </m:r>
        <m:r>
          <m:rPr>
            <m:sty m:val="p"/>
          </m:rPr>
          <m:t>=</m:t>
        </m:r>
        <m:sSup>
          <m:e>
            <m:d>
              <m:dPr>
                <m:begChr m:val="("/>
                <m:endChr m:val=")"/>
                <m:sepChr m:val=""/>
                <m:grow/>
              </m:dPr>
              <m:e>
                <m:r>
                  <m:t>x</m:t>
                </m:r>
                <m:r>
                  <m:rPr>
                    <m:sty m:val="p"/>
                  </m:rPr>
                  <m:t>,</m:t>
                </m:r>
                <m:r>
                  <m:t>y</m:t>
                </m:r>
              </m:e>
            </m:d>
          </m:e>
          <m:sup>
            <m:r>
              <m:rPr>
                <m:sty m:val="p"/>
              </m:rPr>
              <m:t>T</m:t>
            </m:r>
          </m:sup>
        </m:sSup>
      </m:oMath>
      <w:r>
        <w:t xml:space="preserve">，第</w:t>
      </w:r>
      <w:r>
        <w:t xml:space="preserve"> </w:t>
      </w:r>
      <m:oMath>
        <m:r>
          <m:t>j</m:t>
        </m:r>
      </m:oMath>
      <w:r>
        <w:t xml:space="preserve"> </w:t>
      </w:r>
      <w:r>
        <w:t xml:space="preserve">个参考标签位置为</w:t>
      </w:r>
      <w:r>
        <w:t xml:space="preserve"> </w:t>
      </w:r>
      <m:oMath>
        <m:sSub>
          <m:e>
            <m:r>
              <m:rPr>
                <m:sty m:val="b"/>
              </m:rPr>
              <m:t>r</m:t>
            </m:r>
          </m:e>
          <m:sub>
            <m:r>
              <m:t>j</m:t>
            </m:r>
          </m:sub>
        </m:sSub>
      </m:oMath>
      <w:r>
        <w:t xml:space="preserve">，第</w:t>
      </w:r>
      <w:r>
        <w:t xml:space="preserve"> </w:t>
      </w:r>
      <m:oMath>
        <m:r>
          <m:t>i</m:t>
        </m:r>
      </m:oMath>
      <w:r>
        <w:t xml:space="preserve"> </w:t>
      </w:r>
      <w:r>
        <w:t xml:space="preserve">个读取器天线位置为</w:t>
      </w:r>
      <w:r>
        <w:t xml:space="preserve"> </w:t>
      </w:r>
      <m:oMath>
        <m:sSub>
          <m:e>
            <m:r>
              <m:rPr>
                <m:sty m:val="b"/>
              </m:rPr>
              <m:t>a</m:t>
            </m:r>
          </m:e>
          <m:sub>
            <m:r>
              <m:t>i</m:t>
            </m:r>
          </m:sub>
        </m:sSub>
      </m:oMath>
      <w:r>
        <w:t xml:space="preserve">。共有</w:t>
      </w:r>
      <w:r>
        <w:t xml:space="preserve"> </w:t>
      </w:r>
      <m:oMath>
        <m:r>
          <m:t>M</m:t>
        </m:r>
      </m:oMath>
      <w:r>
        <w:t xml:space="preserve"> </w:t>
      </w:r>
      <w:r>
        <w:t xml:space="preserve">个参考标签、</w:t>
      </w:r>
      <m:oMath>
        <m:r>
          <m:t>N</m:t>
        </m:r>
      </m:oMath>
      <w:r>
        <w:t xml:space="preserve"> </w:t>
      </w:r>
      <w:r>
        <w:t xml:space="preserve">个信号通道，SAR扫描包含</w:t>
      </w:r>
      <w:r>
        <w:t xml:space="preserve"> </w:t>
      </w:r>
      <m:oMath>
        <m:r>
          <m:t>L</m:t>
        </m:r>
      </m:oMath>
      <w:r>
        <w:t xml:space="preserve"> </w:t>
      </w:r>
      <w:r>
        <w:t xml:space="preserve">个孔径点、</w:t>
      </w:r>
      <m:oMath>
        <m:r>
          <m:t>F</m:t>
        </m:r>
      </m:oMath>
      <w:r>
        <w:t xml:space="preserve"> </w:t>
      </w:r>
      <w:r>
        <w:t xml:space="preserve">个频率。RSSI用dBm或设备报告等级表示，相位用弧度表示，空间距离用m表示。信号空间距离的单位与空间距离不同，后文不会将两者相混。</w:t>
      </w:r>
    </w:p>
    <w:p>
      <w:pPr>
        <w:pStyle w:val="Heading2"/>
      </w:pPr>
      <w:r>
        <w:t xml:space="preserve">2.2　按观测与估计范式分类</w:t>
      </w:r>
    </w:p>
    <w:p>
      <w:pPr>
        <w:pStyle w:val="Normal"/>
      </w:pPr>
      <w:r>
        <w:t xml:space="preserve">RSSI方法可分为传播模型反演和参考标签匹配。前者用经验路径损耗拟合距离，再求解几何约束；后者比较目标与已知位置标签的信号向量，直接在坐标空间插值。LANDMARC属于后者，不要求先把RSSI转换为米。参考标签可在运行中更新，因而能反映局部环境变化；这不同于只在离线阶段采集固定指纹库，但仍须维护参考位置和观测质量。</w:t>
      </w:r>
    </w:p>
    <w:p>
      <w:pPr>
        <w:pStyle w:val="Normal"/>
      </w:pPr>
      <w:r>
        <w:t xml:space="preserve">相位方法包括单/多频测距、空间相位差以及SAR或逆SAR匹配。SAR利用读取器天线移动构成虚拟阵列；逆SAR可利用目标相对于固定天线移动。到达角（angle of arrival，AoA）则由阵列或波束获得方向约束，再进行交汇。相位是观测量，AoA和SAR是利用观测的结构，因此三者不是完全互斥的分类。宽带测时方法也可定位，但通常涉及额外射频能力，本文仅作背景说明[10]。</w:t>
      </w:r>
    </w:p>
    <w:p>
      <w:pPr>
        <w:pStyle w:val="Heading2"/>
      </w:pPr>
      <w:r>
        <w:t xml:space="preserve">2.3　传播机制与不确定性</w:t>
      </w:r>
    </w:p>
    <w:p>
      <w:pPr>
        <w:pStyle w:val="Normal"/>
      </w:pPr>
      <w:r>
        <w:t xml:space="preserve">RSSI经验模型的常见写法为</w:t>
      </w:r>
    </w:p>
    <w:p xmlns:m="http://schemas.openxmlformats.org/officeDocument/2006/math">
      <w:pPr>
        <w:pStyle w:val="Normal"/>
        <w:spacing w:lineRule="atLeast" w:line="360" w:before="60" w:after="100"/>
        <w:ind w:firstLine="0"/>
        <w:jc w:val="center"/>
      </w:pPr>
      <m:oMathPara>
        <m:oMathParaPr>
          <m:jc m:val="center"/>
        </m:oMathParaPr>
        <m:oMath>
          <m:sSub>
            <m:e>
              <m:r>
                <m:t>P</m:t>
                <w:rPr>
                  <w:sz w:val="16"/>
                </w:rPr>
              </m:r>
            </m:e>
            <m:sub>
              <m:r>
                <m:t>i</m:t>
                <w:rPr>
                  <w:sz w:val="16"/>
                </w:rPr>
              </m:r>
            </m:sub>
          </m:sSub>
          <m:d>
            <m:dPr>
              <m:begChr m:val="("/>
              <m:endChr m:val=")"/>
              <m:sepChr m:val=""/>
              <m:grow/>
            </m:dPr>
            <m:e>
              <m:r>
                <m:t>d</m:t>
                <w:rPr>
                  <w:sz w:val="16"/>
                </w:rPr>
              </m:r>
            </m:e>
          </m:d>
          <m:r>
            <m:rPr>
              <m:sty m:val="p"/>
            </m:rPr>
            <m:t>=</m:t>
            <w:rPr>
              <w:sz w:val="16"/>
            </w:rPr>
          </m:r>
          <m:sSub>
            <m:e>
              <m:r>
                <m:t>P</m:t>
                <w:rPr>
                  <w:sz w:val="16"/>
                </w:rPr>
              </m:r>
            </m:e>
            <m:sub>
              <m:r>
                <m:t>i</m:t>
                <w:rPr>
                  <w:sz w:val="16"/>
                </w:rPr>
              </m:r>
            </m:sub>
          </m:sSub>
          <m:d>
            <m:dPr>
              <m:begChr m:val="("/>
              <m:endChr m:val=")"/>
              <m:sepChr m:val=""/>
              <m:grow/>
            </m:dPr>
            <m:e>
              <m:sSub>
                <m:e>
                  <m:r>
                    <m:t>d</m:t>
                    <w:rPr>
                      <w:sz w:val="16"/>
                    </w:rPr>
                  </m:r>
                </m:e>
                <m:sub>
                  <m:r>
                    <m:t>0</m:t>
                    <w:rPr>
                      <w:sz w:val="16"/>
                    </w:rPr>
                  </m:r>
                </m:sub>
              </m:sSub>
            </m:e>
          </m:d>
          <m:r>
            <m:rPr>
              <m:sty m:val="p"/>
            </m:rPr>
            <m:t>−</m:t>
            <w:rPr>
              <w:sz w:val="16"/>
            </w:rPr>
          </m:r>
          <m:r>
            <m:t>10</m:t>
            <w:rPr>
              <w:sz w:val="16"/>
            </w:rPr>
          </m:r>
          <m:sSub>
            <m:e>
              <m:r>
                <m:t>n</m:t>
                <w:rPr>
                  <w:sz w:val="16"/>
                </w:rPr>
              </m:r>
            </m:e>
            <m:sub>
              <m:r>
                <m:t>i</m:t>
                <w:rPr>
                  <w:sz w:val="16"/>
                </w:rPr>
              </m:r>
            </m:sub>
          </m:sSub>
          <m:sSub>
            <m:e>
              <m:r>
                <m:rPr>
                  <m:sty m:val="p"/>
                </m:rPr>
                <m:t>log</m:t>
                <w:rPr>
                  <w:sz w:val="16"/>
                </w:rPr>
              </m:r>
            </m:e>
            <m:sub>
              <m:r>
                <m:t>10</m:t>
                <w:rPr>
                  <w:sz w:val="16"/>
                </w:rPr>
              </m:r>
            </m:sub>
          </m:sSub>
          <m:d>
            <m:dPr>
              <m:begChr m:val="("/>
              <m:endChr m:val=")"/>
              <m:sepChr m:val=""/>
              <m:grow/>
            </m:dPr>
            <m:e>
              <m:r>
                <m:t>d</m:t>
                <w:rPr>
                  <w:sz w:val="16"/>
                </w:rPr>
              </m:r>
              <m:r>
                <m:rPr>
                  <m:sty m:val="p"/>
                </m:rPr>
                <m:t>/</m:t>
                <w:rPr>
                  <w:sz w:val="16"/>
                </w:rPr>
              </m:r>
              <m:sSub>
                <m:e>
                  <m:r>
                    <m:t>d</m:t>
                    <w:rPr>
                      <w:sz w:val="16"/>
                    </w:rPr>
                  </m:r>
                </m:e>
                <m:sub>
                  <m:r>
                    <m:t>0</m:t>
                    <w:rPr>
                      <w:sz w:val="16"/>
                    </w:rPr>
                  </m:r>
                </m:sub>
              </m:sSub>
            </m:e>
          </m:d>
          <m:r>
            <m:rPr>
              <m:sty m:val="p"/>
            </m:rPr>
            <m:t>+</m:t>
            <w:rPr>
              <w:sz w:val="16"/>
            </w:rPr>
          </m:r>
          <m:sSub>
            <m:e>
              <m:r>
                <m:t>X</m:t>
                <w:rPr>
                  <w:sz w:val="16"/>
                </w:rPr>
              </m:r>
            </m:e>
            <m:sub>
              <m:r>
                <m:t>i</m:t>
                <w:rPr>
                  <w:sz w:val="16"/>
                </w:rPr>
              </m:r>
            </m:sub>
          </m:sSub>
          <m:r>
            <m:rPr>
              <m:sty m:val="p"/>
            </m:rPr>
            <m:t>.</m:t>
            <w:rPr>
              <w:sz w:val="16"/>
            </w:rPr>
          </m:r>
          <m:r>
            <m:t>  </m:t>
            <w:rPr>
              <w:sz w:val="16"/>
            </w:rPr>
          </m:r>
          <m:d>
            <m:dPr>
              <m:begChr m:val="("/>
              <m:endChr m:val=")"/>
              <m:sepChr m:val=""/>
              <m:grow/>
            </m:dPr>
            <m:e>
              <m:r>
                <m:t>1</m:t>
                <w:rPr>
                  <w:sz w:val="16"/>
                </w:rPr>
              </m:r>
            </m:e>
          </m:d>
        </m:oMath>
      </m:oMathPara>
    </w:p>
    <w:p xmlns:m="http://schemas.openxmlformats.org/officeDocument/2006/math">
      <w:pPr>
        <w:pStyle w:val="Normal"/>
      </w:pPr>
      <w:r>
        <w:t xml:space="preserve">其中</w:t>
      </w:r>
      <w:r>
        <w:t xml:space="preserve"> </w:t>
      </w:r>
      <m:oMath>
        <m:sSub>
          <m:e>
            <m:r>
              <m:t>d</m:t>
            </m:r>
          </m:e>
          <m:sub>
            <m:r>
              <m:t>0</m:t>
            </m:r>
          </m:sub>
        </m:sSub>
      </m:oMath>
      <w:r>
        <w:t xml:space="preserve"> </w:t>
      </w:r>
      <w:r>
        <w:t xml:space="preserve">为标定距离，</w:t>
      </w:r>
      <m:oMath>
        <m:sSub>
          <m:e>
            <m:r>
              <m:t>n</m:t>
            </m:r>
          </m:e>
          <m:sub>
            <m:r>
              <m:t>i</m:t>
            </m:r>
          </m:sub>
        </m:sSub>
      </m:oMath>
      <w:r>
        <w:t xml:space="preserve"> </w:t>
      </w:r>
      <w:r>
        <w:t xml:space="preserve">为有效路径损耗指数，</w:t>
      </w:r>
      <m:oMath>
        <m:sSub>
          <m:e>
            <m:r>
              <m:t>X</m:t>
            </m:r>
          </m:e>
          <m:sub>
            <m:r>
              <m:t>i</m:t>
            </m:r>
          </m:sub>
        </m:sSub>
      </m:oMath>
      <w:r>
        <w:t xml:space="preserve"> </w:t>
      </w:r>
      <w:r>
        <w:t xml:space="preserve">表示随机扰动。它是统计近似，不保证每个采样点单调。对于理想单站无源反向散射链路，接收功率同时受前向和返回路径影响，可呈现近似</w:t>
      </w:r>
      <w:r>
        <w:t xml:space="preserve"> </w:t>
      </w:r>
      <m:oMath>
        <m:sSup>
          <m:e>
            <m:r>
              <m:t>d</m:t>
            </m:r>
          </m:e>
          <m:sup>
            <m:r>
              <m:rPr>
                <m:sty m:val="p"/>
              </m:rPr>
              <m:t>−</m:t>
            </m:r>
            <m:r>
              <m:t>4</m:t>
            </m:r>
          </m:sup>
        </m:sSup>
      </m:oMath>
      <w:r>
        <w:t xml:space="preserve"> </w:t>
      </w:r>
      <w:r>
        <w:t xml:space="preserve">衰减；实际系统还受极化、标签散射系数和启动门限影响。因此，有源链路的参数不能不经标定直接套用到无源链路。</w:t>
      </w:r>
    </w:p>
    <w:p>
      <w:pPr>
        <w:pStyle w:val="Normal"/>
      </w:pPr>
      <w:r>
        <w:t xml:space="preserve">单站无源RFID载波相位的简化模型为</w:t>
      </w:r>
    </w:p>
    <w:p xmlns:m="http://schemas.openxmlformats.org/officeDocument/2006/math">
      <w:pPr>
        <w:pStyle w:val="Normal"/>
        <w:spacing w:lineRule="atLeast" w:line="360" w:before="60" w:after="100"/>
        <w:ind w:firstLine="0"/>
        <w:jc w:val="center"/>
      </w:pPr>
      <m:oMathPara>
        <m:oMathParaPr>
          <m:jc m:val="center"/>
        </m:oMathParaPr>
        <m:oMath>
          <m:sSub>
            <m:e>
              <m:r>
                <m:t>ϕ</m:t>
                <w:rPr>
                  <w:sz w:val="16"/>
                </w:rPr>
              </m:r>
            </m:e>
            <m:sub>
              <m:r>
                <m:rPr>
                  <m:sty m:val="p"/>
                </m:rPr>
                <m:t>ℓ</m:t>
                <w:rPr>
                  <w:sz w:val="16"/>
                </w:rPr>
              </m:r>
            </m:sub>
          </m:sSub>
          <m:r>
            <m:rPr>
              <m:sty m:val="p"/>
            </m:rPr>
            <m:t>=</m:t>
            <w:rPr>
              <w:sz w:val="16"/>
            </w:rPr>
          </m:r>
          <m:sSub>
            <m:e>
              <m:r>
                <m:rPr>
                  <m:sty m:val="p"/>
                </m:rPr>
                <m:t>wrap</m:t>
                <w:rPr>
                  <w:sz w:val="16"/>
                </w:rPr>
              </m:r>
            </m:e>
            <m:sub>
              <m:r>
                <m:t>2</m:t>
                <w:rPr>
                  <w:sz w:val="16"/>
                </w:rPr>
              </m:r>
              <m:r>
                <m:t>π</m:t>
                <w:rPr>
                  <w:sz w:val="16"/>
                </w:rPr>
              </m:r>
            </m:sub>
          </m:sSub>
          <m:r>
            <m:t>​</m:t>
            <w:rPr>
              <w:sz w:val="16"/>
            </w:rPr>
          </m:r>
          <m:d>
            <m:dPr>
              <m:begChr m:val="("/>
              <m:endChr m:val=")"/>
              <m:sepChr m:val=""/>
              <m:grow/>
            </m:dPr>
            <m:e>
              <m:f>
                <m:fPr>
                  <m:type m:val="bar"/>
                </m:fPr>
                <m:num>
                  <m:r>
                    <m:t>4</m:t>
                    <w:rPr>
                      <w:sz w:val="16"/>
                    </w:rPr>
                  </m:r>
                  <m:r>
                    <m:t>π</m:t>
                    <w:rPr>
                      <w:sz w:val="16"/>
                    </w:rPr>
                  </m:r>
                  <m:sSub>
                    <m:e>
                      <m:r>
                        <m:t>d</m:t>
                        <w:rPr>
                          <w:sz w:val="16"/>
                        </w:rPr>
                      </m:r>
                    </m:e>
                    <m:sub>
                      <m:r>
                        <m:rPr>
                          <m:sty m:val="p"/>
                        </m:rPr>
                        <m:t>ℓ</m:t>
                        <w:rPr>
                          <w:sz w:val="16"/>
                        </w:rPr>
                      </m:r>
                    </m:sub>
                  </m:sSub>
                </m:num>
                <m:den>
                  <m:r>
                    <m:t>λ</m:t>
                    <w:rPr>
                      <w:sz w:val="16"/>
                    </w:rPr>
                  </m:r>
                </m:den>
              </m:f>
              <m:r>
                <m:rPr>
                  <m:sty m:val="p"/>
                </m:rPr>
                <m:t>+</m:t>
                <w:rPr>
                  <w:sz w:val="16"/>
                </w:rPr>
              </m:r>
              <m:r>
                <m:t>β</m:t>
                <w:rPr>
                  <w:sz w:val="16"/>
                </w:rPr>
              </m:r>
              <m:r>
                <m:rPr>
                  <m:sty m:val="p"/>
                </m:rPr>
                <m:t>+</m:t>
                <w:rPr>
                  <w:sz w:val="16"/>
                </w:rPr>
              </m:r>
              <m:sSub>
                <m:e>
                  <m:r>
                    <m:t>η</m:t>
                    <w:rPr>
                      <w:sz w:val="16"/>
                    </w:rPr>
                  </m:r>
                </m:e>
                <m:sub>
                  <m:r>
                    <m:rPr>
                      <m:sty m:val="p"/>
                    </m:rPr>
                    <m:t>ℓ</m:t>
                    <w:rPr>
                      <w:sz w:val="16"/>
                    </w:rPr>
                  </m:r>
                </m:sub>
              </m:sSub>
            </m:e>
          </m:d>
          <m:r>
            <m:rPr>
              <m:sty m:val="p"/>
            </m:rPr>
            <m:t>.</m:t>
            <w:rPr>
              <w:sz w:val="16"/>
            </w:rPr>
          </m:r>
          <m:r>
            <m:t>  </m:t>
            <w:rPr>
              <w:sz w:val="16"/>
            </w:rPr>
          </m:r>
          <m:d>
            <m:dPr>
              <m:begChr m:val="("/>
              <m:endChr m:val=")"/>
              <m:sepChr m:val=""/>
              <m:grow/>
            </m:dPr>
            <m:e>
              <m:r>
                <m:t>2</m:t>
                <w:rPr>
                  <w:sz w:val="16"/>
                </w:rPr>
              </m:r>
            </m:e>
          </m:d>
        </m:oMath>
      </m:oMathPara>
    </w:p>
    <w:p xmlns:m="http://schemas.openxmlformats.org/officeDocument/2006/math">
      <w:pPr>
        <w:pStyle w:val="Normal"/>
      </w:pPr>
      <w:r>
        <w:t xml:space="preserve">式中</w:t>
      </w:r>
      <w:r>
        <w:t xml:space="preserve"> </w:t>
      </w:r>
      <m:oMath>
        <m:sSub>
          <m:e>
            <m:r>
              <m:t>d</m:t>
            </m:r>
          </m:e>
          <m:sub>
            <m:r>
              <m:rPr>
                <m:sty m:val="p"/>
              </m:rPr>
              <m:t>ℓ</m:t>
            </m:r>
          </m:sub>
        </m:sSub>
        <m:r>
          <m:rPr>
            <m:sty m:val="p"/>
          </m:rPr>
          <m:t>=</m:t>
        </m:r>
        <m:r>
          <m:rPr>
            <m:sty m:val="p"/>
          </m:rPr>
          <m:t>∥</m:t>
        </m:r>
        <m:r>
          <m:rPr>
            <m:sty m:val="b"/>
          </m:rPr>
          <m:t>p</m:t>
        </m:r>
        <m:r>
          <m:rPr>
            <m:sty m:val="p"/>
          </m:rPr>
          <m:t>−</m:t>
        </m:r>
        <m:sSub>
          <m:e>
            <m:r>
              <m:rPr>
                <m:sty m:val="b"/>
              </m:rPr>
              <m:t>a</m:t>
            </m:r>
          </m:e>
          <m:sub>
            <m:r>
              <m:rPr>
                <m:sty m:val="p"/>
              </m:rPr>
              <m:t>ℓ</m:t>
            </m:r>
          </m:sub>
        </m:sSub>
        <m:sSub>
          <m:e>
            <m:r>
              <m:rPr>
                <m:sty m:val="p"/>
              </m:rPr>
              <m:t>∥</m:t>
            </m:r>
          </m:e>
          <m:sub>
            <m:r>
              <m:t>2</m:t>
            </m:r>
          </m:sub>
        </m:sSub>
      </m:oMath>
      <w:r>
        <w:t xml:space="preserve">，</w:t>
      </w:r>
      <m:oMath>
        <m:r>
          <m:t>λ</m:t>
        </m:r>
      </m:oMath>
      <w:r>
        <w:t xml:space="preserve"> </w:t>
      </w:r>
      <w:r>
        <w:t xml:space="preserve">为波长，</w:t>
      </w:r>
      <m:oMath>
        <m:r>
          <m:t>β</m:t>
        </m:r>
      </m:oMath>
      <w:r>
        <w:t xml:space="preserve"> </w:t>
      </w:r>
      <w:r>
        <w:t xml:space="preserve">为同一条件下的固定偏移，</w:t>
      </w:r>
      <m:oMath>
        <m:sSub>
          <m:e>
            <m:r>
              <m:t>η</m:t>
            </m:r>
          </m:e>
          <m:sub>
            <m:r>
              <m:rPr>
                <m:sty m:val="p"/>
              </m:rPr>
              <m:t>ℓ</m:t>
            </m:r>
          </m:sub>
        </m:sSub>
      </m:oMath>
      <w:r>
        <w:t xml:space="preserve"> </w:t>
      </w:r>
      <w:r>
        <w:t xml:space="preserve">为扰动。系数</w:t>
      </w:r>
      <w:r>
        <w:t xml:space="preserve"> </w:t>
      </w:r>
      <m:oMath>
        <m:r>
          <m:t>4</m:t>
        </m:r>
        <m:r>
          <m:t>π</m:t>
        </m:r>
      </m:oMath>
      <w:r>
        <w:t xml:space="preserve"> </w:t>
      </w:r>
      <w:r>
        <w:t xml:space="preserve">对应往返距离；双站或多接收阵列须按实际路径另建模型。相位以</w:t>
      </w:r>
      <w:r>
        <w:t xml:space="preserve"> </w:t>
      </w:r>
      <m:oMath>
        <m:r>
          <m:t>2</m:t>
        </m:r>
        <m:r>
          <m:t>π</m:t>
        </m:r>
      </m:oMath>
      <w:r>
        <w:t xml:space="preserve"> </w:t>
      </w:r>
      <w:r>
        <w:t xml:space="preserve">为周期，因此单频绝对距离以</w:t>
      </w:r>
      <w:r>
        <w:t xml:space="preserve"> </w:t>
      </w:r>
      <m:oMath>
        <m:r>
          <m:t>λ</m:t>
        </m:r>
        <m:r>
          <m:rPr>
            <m:sty m:val="p"/>
          </m:rPr>
          <m:t>/</m:t>
        </m:r>
        <m:r>
          <m:t>2</m:t>
        </m:r>
      </m:oMath>
      <w:r>
        <w:t xml:space="preserve"> </w:t>
      </w:r>
      <w:r>
        <w:t xml:space="preserve">为模糊周期。在约920 MHz时该周期约为0.163 m，单次相位测量本身不足以确定唯一距离。</w:t>
      </w:r>
    </w:p>
    <w:p>
      <w:pPr>
        <w:pStyle w:val="Normal"/>
      </w:pPr>
      <w:r>
        <w:t xml:space="preserve">多径应理解为多个复信号的叠加，而不是简单增加一个固定距离误差。叠加后的幅度和相位均可能变化，信号弱时相位尤其不稳定。参考标签方法通过局部共同扰动获得补偿；SAR则通过跨孔径传播轨迹的一致性筛选位置。二者都只能在其假设成立时抑制扰动，不能保证消除所有非视距效应。</w:t>
      </w:r>
    </w:p>
    <w:p>
      <w:pPr>
        <w:pStyle w:val="Heading1"/>
      </w:pPr>
      <w:r>
        <w:t xml:space="preserve">3　算法与协议总结归纳</w:t>
      </w:r>
    </w:p>
    <w:p>
      <w:pPr>
        <w:pStyle w:val="Heading2"/>
      </w:pPr>
      <w:r>
        <w:t xml:space="preserve">3.1　路径损耗反演与几何定位</w:t>
      </w:r>
    </w:p>
    <w:p>
      <w:pPr>
        <w:pStyle w:val="Normal"/>
      </w:pPr>
      <w:r>
        <w:t xml:space="preserve">根据式(1)，忽略零均值扰动后，可由RSSI得到距离估计</w:t>
      </w:r>
    </w:p>
    <w:p xmlns:m="http://schemas.openxmlformats.org/officeDocument/2006/math">
      <w:pPr>
        <w:pStyle w:val="Normal"/>
        <w:spacing w:lineRule="atLeast" w:line="360" w:before="60" w:after="100"/>
        <w:ind w:firstLine="0"/>
        <w:jc w:val="center"/>
      </w:pPr>
      <m:oMathPara>
        <m:oMathParaPr>
          <m:jc m:val="center"/>
        </m:oMathParaPr>
        <m:oMath>
          <m:sSub>
            <m:e>
              <m:acc>
                <m:accPr>
                  <m:chr m:val="̂"/>
                </m:accPr>
                <m:e>
                  <m:r>
                    <m:t>d</m:t>
                    <w:rPr>
                      <w:sz w:val="16"/>
                    </w:rPr>
                  </m:r>
                </m:e>
              </m:acc>
            </m:e>
            <m:sub>
              <m:r>
                <m:t>i</m:t>
                <w:rPr>
                  <w:sz w:val="16"/>
                </w:rPr>
              </m:r>
            </m:sub>
          </m:sSub>
          <m:r>
            <m:rPr>
              <m:sty m:val="p"/>
            </m:rPr>
            <m:t>=</m:t>
            <w:rPr>
              <w:sz w:val="16"/>
            </w:rPr>
          </m:r>
          <m:sSub>
            <m:e>
              <m:r>
                <m:t>d</m:t>
                <w:rPr>
                  <w:sz w:val="16"/>
                </w:rPr>
              </m:r>
            </m:e>
            <m:sub>
              <m:r>
                <m:t>0</m:t>
                <w:rPr>
                  <w:sz w:val="16"/>
                </w:rPr>
              </m:r>
            </m:sub>
          </m:sSub>
          <m:r>
            <m:t> </m:t>
            <w:rPr>
              <w:sz w:val="16"/>
            </w:rPr>
          </m:r>
          <m:sSup>
            <m:e>
              <m:r>
                <m:t>10</m:t>
                <w:rPr>
                  <w:sz w:val="16"/>
                </w:rPr>
              </m:r>
            </m:e>
            <m:sup>
              <m:d>
                <m:dPr>
                  <m:begChr m:val="["/>
                  <m:endChr m:val="]"/>
                  <m:sepChr m:val=""/>
                  <m:grow/>
                </m:dPr>
                <m:e>
                  <m:sSub>
                    <m:e>
                      <m:r>
                        <m:t>P</m:t>
                        <w:rPr>
                          <w:sz w:val="16"/>
                        </w:rPr>
                      </m:r>
                    </m:e>
                    <m:sub>
                      <m:r>
                        <m:t>i</m:t>
                        <w:rPr>
                          <w:sz w:val="16"/>
                        </w:rPr>
                      </m:r>
                    </m:sub>
                  </m:sSub>
                  <m:d>
                    <m:dPr>
                      <m:begChr m:val="("/>
                      <m:endChr m:val=")"/>
                      <m:sepChr m:val=""/>
                      <m:grow/>
                    </m:dPr>
                    <m:e>
                      <m:sSub>
                        <m:e>
                          <m:r>
                            <m:t>d</m:t>
                            <w:rPr>
                              <w:sz w:val="16"/>
                            </w:rPr>
                          </m:r>
                        </m:e>
                        <m:sub>
                          <m:r>
                            <m:t>0</m:t>
                            <w:rPr>
                              <w:sz w:val="16"/>
                            </w:rPr>
                          </m:r>
                        </m:sub>
                      </m:sSub>
                    </m:e>
                  </m:d>
                  <m:r>
                    <m:rPr>
                      <m:sty m:val="p"/>
                    </m:rPr>
                    <m:t>−</m:t>
                    <w:rPr>
                      <w:sz w:val="16"/>
                    </w:rPr>
                  </m:r>
                  <m:sSub>
                    <m:e>
                      <m:r>
                        <m:t>P</m:t>
                        <w:rPr>
                          <w:sz w:val="16"/>
                        </w:rPr>
                      </m:r>
                    </m:e>
                    <m:sub>
                      <m:r>
                        <m:t>i</m:t>
                        <w:rPr>
                          <w:sz w:val="16"/>
                        </w:rPr>
                      </m:r>
                    </m:sub>
                  </m:sSub>
                </m:e>
              </m:d>
              <m:r>
                <m:rPr>
                  <m:sty m:val="p"/>
                </m:rPr>
                <m:t>/</m:t>
                <w:rPr>
                  <w:sz w:val="16"/>
                </w:rPr>
              </m:r>
              <m:d>
                <m:dPr>
                  <m:begChr m:val="("/>
                  <m:endChr m:val=")"/>
                  <m:sepChr m:val=""/>
                  <m:grow/>
                </m:dPr>
                <m:e>
                  <m:r>
                    <m:t>10</m:t>
                    <w:rPr>
                      <w:sz w:val="16"/>
                    </w:rPr>
                  </m:r>
                  <m:sSub>
                    <m:e>
                      <m:r>
                        <m:t>n</m:t>
                        <w:rPr>
                          <w:sz w:val="16"/>
                        </w:rPr>
                      </m:r>
                    </m:e>
                    <m:sub>
                      <m:r>
                        <m:t>i</m:t>
                        <w:rPr>
                          <w:sz w:val="16"/>
                        </w:rPr>
                      </m:r>
                    </m:sub>
                  </m:sSub>
                </m:e>
              </m:d>
            </m:sup>
          </m:sSup>
          <m:r>
            <m:rPr>
              <m:sty m:val="p"/>
            </m:rPr>
            <m:t>.</m:t>
            <w:rPr>
              <w:sz w:val="16"/>
            </w:rPr>
          </m:r>
          <m:r>
            <m:t>  </m:t>
            <w:rPr>
              <w:sz w:val="16"/>
            </w:rPr>
          </m:r>
          <m:d>
            <m:dPr>
              <m:begChr m:val="("/>
              <m:endChr m:val=")"/>
              <m:sepChr m:val=""/>
              <m:grow/>
            </m:dPr>
            <m:e>
              <m:r>
                <m:t>3</m:t>
                <w:rPr>
                  <w:sz w:val="16"/>
                </w:rPr>
              </m:r>
            </m:e>
          </m:d>
        </m:oMath>
      </m:oMathPara>
    </w:p>
    <w:p>
      <w:pPr>
        <w:pStyle w:val="Normal"/>
      </w:pPr>
      <w:r>
        <w:t xml:space="preserve">输入为标定功率、路径损耗指数、目标RSSI及天线坐标；核心步骤是滤波、反演距离和求解坐标。二维三边定位在理想条件下至少需要三个不共线距离约束，实际有噪声时可采用加权非线性最小二乘：</w:t>
      </w:r>
    </w:p>
    <w:p xmlns:m="http://schemas.openxmlformats.org/officeDocument/2006/math">
      <w:pPr>
        <w:pStyle w:val="Normal"/>
        <w:spacing w:lineRule="atLeast" w:line="360" w:before="60" w:after="100"/>
        <w:ind w:firstLine="0"/>
        <w:jc w:val="center"/>
      </w:pPr>
      <m:oMathPara>
        <m:oMathParaPr>
          <m:jc m:val="center"/>
        </m:oMathParaPr>
        <m:oMath>
          <m:acc>
            <m:accPr>
              <m:chr m:val="̂"/>
            </m:accPr>
            <m:e>
              <m:r>
                <m:rPr>
                  <m:sty m:val="b"/>
                </m:rPr>
                <m:t>p</m:t>
                <w:rPr>
                  <w:sz w:val="16"/>
                </w:rPr>
              </m:r>
            </m:e>
          </m:acc>
          <m:r>
            <m:rPr>
              <m:sty m:val="p"/>
            </m:rPr>
            <m:t>=</m:t>
            <w:rPr>
              <w:sz w:val="16"/>
            </w:rPr>
          </m:r>
          <m:r>
            <m:rPr>
              <m:sty m:val="p"/>
            </m:rPr>
            <m:t>arg</m:t>
            <w:rPr>
              <w:sz w:val="16"/>
            </w:rPr>
          </m:r>
          <m:limLow>
            <m:e>
              <m:r>
                <m:rPr>
                  <m:sty m:val="p"/>
                </m:rPr>
                <m:t>min</m:t>
                <w:rPr>
                  <w:sz w:val="16"/>
                </w:rPr>
              </m:r>
            </m:e>
            <m:lim>
              <m:r>
                <m:rPr>
                  <m:sty m:val="b"/>
                </m:rPr>
                <m:t>p</m:t>
                <w:rPr>
                  <w:sz w:val="16"/>
                </w:rPr>
              </m:r>
            </m:lim>
          </m:limLow>
          <m:nary>
            <m:naryPr>
              <m:chr m:val="∑"/>
              <m:limLoc m:val="undOvr"/>
              <m:subHide m:val="off"/>
              <m:supHide m:val="off"/>
            </m:naryPr>
            <m:sub>
              <m:r>
                <m:t>i</m:t>
                <w:rPr>
                  <w:sz w:val="16"/>
                </w:rPr>
              </m:r>
              <m:r>
                <m:rPr>
                  <m:sty m:val="p"/>
                </m:rPr>
                <m:t>=</m:t>
                <w:rPr>
                  <w:sz w:val="16"/>
                </w:rPr>
              </m:r>
              <m:r>
                <m:t>1</m:t>
                <w:rPr>
                  <w:sz w:val="16"/>
                </w:rPr>
              </m:r>
            </m:sub>
            <m:sup>
              <m:r>
                <m:t>N</m:t>
                <w:rPr>
                  <w:sz w:val="16"/>
                </w:rPr>
              </m:r>
            </m:sup>
            <m:e>
              <m:sSub>
                <m:e>
                  <m:r>
                    <m:t>v</m:t>
                    <w:rPr>
                      <w:sz w:val="16"/>
                    </w:rPr>
                  </m:r>
                </m:e>
                <m:sub>
                  <m:r>
                    <m:t>i</m:t>
                    <w:rPr>
                      <w:sz w:val="16"/>
                    </w:rPr>
                  </m:r>
                </m:sub>
              </m:sSub>
            </m:e>
          </m:nary>
          <m:r>
            <m:rPr>
              <m:sty m:val="p"/>
            </m:rPr>
            <m:t>(</m:t>
            <w:rPr>
              <w:sz w:val="16"/>
            </w:rPr>
          </m:r>
          <m:r>
            <m:rPr>
              <m:sty m:val="p"/>
            </m:rPr>
            <m:t>∥</m:t>
            <w:rPr>
              <w:sz w:val="16"/>
            </w:rPr>
          </m:r>
          <m:r>
            <m:rPr>
              <m:sty m:val="b"/>
            </m:rPr>
            <m:t>p</m:t>
            <w:rPr>
              <w:sz w:val="16"/>
            </w:rPr>
          </m:r>
          <m:r>
            <m:rPr>
              <m:sty m:val="p"/>
            </m:rPr>
            <m:t>−</m:t>
            <w:rPr>
              <w:sz w:val="16"/>
            </w:rPr>
          </m:r>
          <m:sSub>
            <m:e>
              <m:r>
                <m:rPr>
                  <m:sty m:val="b"/>
                </m:rPr>
                <m:t>a</m:t>
                <w:rPr>
                  <w:sz w:val="16"/>
                </w:rPr>
              </m:r>
            </m:e>
            <m:sub>
              <m:r>
                <m:t>i</m:t>
                <w:rPr>
                  <w:sz w:val="16"/>
                </w:rPr>
              </m:r>
            </m:sub>
          </m:sSub>
          <m:sSub>
            <m:e>
              <m:r>
                <m:rPr>
                  <m:sty m:val="p"/>
                </m:rPr>
                <m:t>∥</m:t>
                <w:rPr>
                  <w:sz w:val="16"/>
                </w:rPr>
              </m:r>
            </m:e>
            <m:sub>
              <m:r>
                <m:t>2</m:t>
                <w:rPr>
                  <w:sz w:val="16"/>
                </w:rPr>
              </m:r>
            </m:sub>
          </m:sSub>
          <m:r>
            <m:rPr>
              <m:sty m:val="p"/>
            </m:rPr>
            <m:t>−</m:t>
            <w:rPr>
              <w:sz w:val="16"/>
            </w:rPr>
          </m:r>
          <m:sSub>
            <m:e>
              <m:acc>
                <m:accPr>
                  <m:chr m:val="̂"/>
                </m:accPr>
                <m:e>
                  <m:r>
                    <m:t>d</m:t>
                    <w:rPr>
                      <w:sz w:val="16"/>
                    </w:rPr>
                  </m:r>
                </m:e>
              </m:acc>
            </m:e>
            <m:sub>
              <m:r>
                <m:t>i</m:t>
                <w:rPr>
                  <w:sz w:val="16"/>
                </w:rPr>
              </m:r>
            </m:sub>
          </m:sSub>
          <m:sSup>
            <m:e>
              <m:r>
                <m:rPr>
                  <m:sty m:val="p"/>
                </m:rPr>
                <m:t>)</m:t>
                <w:rPr>
                  <w:sz w:val="16"/>
                </w:rPr>
              </m:r>
            </m:e>
            <m:sup>
              <m:r>
                <m:t>2</m:t>
                <w:rPr>
                  <w:sz w:val="16"/>
                </w:rPr>
              </m:r>
            </m:sup>
          </m:sSup>
          <m:r>
            <m:rPr>
              <m:sty m:val="p"/>
            </m:rPr>
            <m:t>.</m:t>
            <w:rPr>
              <w:sz w:val="16"/>
            </w:rPr>
          </m:r>
          <m:r>
            <m:t>  </m:t>
            <w:rPr>
              <w:sz w:val="16"/>
            </w:rPr>
          </m:r>
          <m:d>
            <m:dPr>
              <m:begChr m:val="("/>
              <m:endChr m:val=")"/>
              <m:sepChr m:val=""/>
              <m:grow/>
            </m:dPr>
            <m:e>
              <m:r>
                <m:t>4</m:t>
                <w:rPr>
                  <w:sz w:val="16"/>
                </w:rPr>
              </m:r>
            </m:e>
          </m:d>
        </m:oMath>
      </m:oMathPara>
    </w:p>
    <w:p xmlns:m="http://schemas.openxmlformats.org/officeDocument/2006/math">
      <w:pPr>
        <w:pStyle w:val="Normal"/>
      </w:pPr>
      <w:r>
        <w:t xml:space="preserve">其中</w:t>
      </w:r>
      <w:r>
        <w:t xml:space="preserve"> </w:t>
      </w:r>
      <m:oMath>
        <m:sSub>
          <m:e>
            <m:r>
              <m:t>v</m:t>
            </m:r>
          </m:e>
          <m:sub>
            <m:r>
              <m:t>i</m:t>
            </m:r>
          </m:sub>
        </m:sSub>
      </m:oMath>
      <w:r>
        <w:t xml:space="preserve"> </w:t>
      </w:r>
      <w:r>
        <w:t xml:space="preserve">可依据距离方差设定。以第一个圆方程为基准相减，可得到线性初值，再进行迭代细化。读取器接近共线时，几何条件变差，即使测距误差较小，也会在弱约束方向放大。常见中文“三角定位”应进一步区分：以距离交汇为三边定位，以方向交汇为测角定位[10]。</w:t>
      </w:r>
    </w:p>
    <w:p xmlns:m="http://schemas.openxmlformats.org/officeDocument/2006/math">
      <w:pPr>
        <w:pStyle w:val="Normal"/>
      </w:pPr>
      <w:r>
        <w:t xml:space="preserve">对式(3)作一阶敏感性分析，有</w:t>
      </w:r>
      <w:r>
        <w:t xml:space="preserve"> </w:t>
      </w:r>
      <m:oMath>
        <m:d>
          <m:dPr>
            <m:begChr m:val="|"/>
            <m:endChr m:val="|"/>
            <m:sepChr m:val=""/>
            <m:grow/>
          </m:dPr>
          <m:e>
            <m:r>
              <m:t>δ</m:t>
            </m:r>
            <m:r>
              <m:t>d</m:t>
            </m:r>
          </m:e>
        </m:d>
        <m:r>
          <m:rPr>
            <m:sty m:val="p"/>
          </m:rPr>
          <m:t>/</m:t>
        </m:r>
        <m:r>
          <m:t>d</m:t>
        </m:r>
        <m:r>
          <m:rPr>
            <m:sty m:val="p"/>
          </m:rPr>
          <m:t>≈</m:t>
        </m:r>
        <m:r>
          <m:rPr>
            <m:sty m:val="p"/>
          </m:rPr>
          <m:t>ln</m:t>
        </m:r>
        <m:d>
          <m:dPr>
            <m:begChr m:val="("/>
            <m:endChr m:val=")"/>
            <m:sepChr m:val=""/>
            <m:grow/>
          </m:dPr>
          <m:e>
            <m:r>
              <m:t>10</m:t>
            </m:r>
          </m:e>
        </m:d>
        <m:d>
          <m:dPr>
            <m:begChr m:val="|"/>
            <m:endChr m:val="|"/>
            <m:sepChr m:val=""/>
            <m:grow/>
          </m:dPr>
          <m:e>
            <m:r>
              <m:t>δ</m:t>
            </m:r>
            <m:r>
              <m:t>P</m:t>
            </m:r>
          </m:e>
        </m:d>
        <m:r>
          <m:rPr>
            <m:sty m:val="p"/>
          </m:rPr>
          <m:t>/</m:t>
        </m:r>
        <m:d>
          <m:dPr>
            <m:begChr m:val="("/>
            <m:endChr m:val=")"/>
            <m:sepChr m:val=""/>
            <m:grow/>
          </m:dPr>
          <m:e>
            <m:r>
              <m:t>10</m:t>
            </m:r>
            <m:r>
              <m:t>n</m:t>
            </m:r>
          </m:e>
        </m:d>
      </m:oMath>
      <w:r>
        <w:t xml:space="preserve">。以</w:t>
      </w:r>
      <w:r>
        <w:t xml:space="preserve"> </w:t>
      </w:r>
      <m:oMath>
        <m:r>
          <m:t>n</m:t>
        </m:r>
        <m:r>
          <m:rPr>
            <m:sty m:val="p"/>
          </m:rPr>
          <m:t>=</m:t>
        </m:r>
        <m:r>
          <m:t>2</m:t>
        </m:r>
      </m:oMath>
      <w:r>
        <w:t xml:space="preserve">、RSSI偏差3 dB为示例，精确的距离倍数为</w:t>
      </w:r>
      <w:r>
        <w:t xml:space="preserve"> </w:t>
      </w:r>
      <m:oMath>
        <m:sSup>
          <m:e>
            <m:r>
              <m:t>10</m:t>
            </m:r>
          </m:e>
          <m:sup>
            <m:r>
              <m:t>3</m:t>
            </m:r>
            <m:r>
              <m:rPr>
                <m:sty m:val="p"/>
              </m:rPr>
              <m:t>/</m:t>
            </m:r>
            <m:r>
              <m:t>20</m:t>
            </m:r>
          </m:sup>
        </m:sSup>
        <m:r>
          <m:rPr>
            <m:sty m:val="p"/>
          </m:rPr>
          <m:t>≈</m:t>
        </m:r>
        <m:r>
          <m:t>1.41</m:t>
        </m:r>
      </m:oMath>
      <w:r>
        <w:t xml:space="preserve">；这是公式演算，非论文实测。由此可见，固定功率偏差会形成随距离增大的误差。路径损耗方法节省参考标签，但须付出场景标定成本，且定位算法无法弥补错误的传播参数。</w:t>
      </w:r>
    </w:p>
    <w:p>
      <w:pPr>
        <w:pStyle w:val="Heading2"/>
      </w:pPr>
      <w:r>
        <w:t xml:space="preserve">3.2　LANDMARC：信号空间相似性与坐标插值</w:t>
      </w:r>
    </w:p>
    <w:p xmlns:m="http://schemas.openxmlformats.org/officeDocument/2006/math">
      <w:pPr>
        <w:pStyle w:val="Normal"/>
      </w:pPr>
      <w:r>
        <w:t xml:space="preserve">LANDMARC[1]的输入为参考标签坐标及各标签在相同通道上的信号向量。记目标向量为</w:t>
      </w:r>
      <w:r>
        <w:t xml:space="preserve"> </w:t>
      </w:r>
      <m:oMath>
        <m:r>
          <m:rPr>
            <m:sty m:val="b"/>
          </m:rPr>
          <m:t>s</m:t>
        </m:r>
        <m:r>
          <m:rPr>
            <m:sty m:val="p"/>
          </m:rPr>
          <m:t>=</m:t>
        </m:r>
        <m:d>
          <m:dPr>
            <m:begChr m:val="("/>
            <m:endChr m:val=")"/>
            <m:sepChr m:val=""/>
            <m:grow/>
          </m:dPr>
          <m:e>
            <m:sSub>
              <m:e>
                <m:r>
                  <m:t>s</m:t>
                </m:r>
              </m:e>
              <m:sub>
                <m:r>
                  <m:t>1</m:t>
                </m:r>
              </m:sub>
            </m:sSub>
            <m:r>
              <m:rPr>
                <m:sty m:val="p"/>
              </m:rPr>
              <m:t>,</m:t>
            </m:r>
            <m:r>
              <m:rPr>
                <m:sty m:val="p"/>
              </m:rPr>
              <m:t>…</m:t>
            </m:r>
            <m:r>
              <m:rPr>
                <m:sty m:val="p"/>
              </m:rPr>
              <m:t>,</m:t>
            </m:r>
            <m:sSub>
              <m:e>
                <m:r>
                  <m:t>s</m:t>
                </m:r>
              </m:e>
              <m:sub>
                <m:r>
                  <m:t>N</m:t>
                </m:r>
              </m:sub>
            </m:sSub>
          </m:e>
        </m:d>
      </m:oMath>
      <w:r>
        <w:t xml:space="preserve">，参考向量为</w:t>
      </w:r>
      <w:r>
        <w:t xml:space="preserve"> </w:t>
      </w:r>
      <m:oMath>
        <m:sSub>
          <m:e>
            <m:r>
              <m:rPr>
                <m:sty m:val="b"/>
              </m:rPr>
              <m:t>θ</m:t>
            </m:r>
          </m:e>
          <m:sub>
            <m:r>
              <m:t>j</m:t>
            </m:r>
          </m:sub>
        </m:sSub>
        <m:r>
          <m:rPr>
            <m:sty m:val="p"/>
          </m:rPr>
          <m:t>=</m:t>
        </m:r>
        <m:d>
          <m:dPr>
            <m:begChr m:val="("/>
            <m:endChr m:val=")"/>
            <m:sepChr m:val=""/>
            <m:grow/>
          </m:dPr>
          <m:e>
            <m:sSub>
              <m:e>
                <m:r>
                  <m:t>θ</m:t>
                </m:r>
              </m:e>
              <m:sub>
                <m:r>
                  <m:t>j</m:t>
                </m:r>
                <m:r>
                  <m:t>1</m:t>
                </m:r>
              </m:sub>
            </m:sSub>
            <m:r>
              <m:rPr>
                <m:sty m:val="p"/>
              </m:rPr>
              <m:t>,</m:t>
            </m:r>
            <m:r>
              <m:rPr>
                <m:sty m:val="p"/>
              </m:rPr>
              <m:t>…</m:t>
            </m:r>
            <m:r>
              <m:rPr>
                <m:sty m:val="p"/>
              </m:rPr>
              <m:t>,</m:t>
            </m:r>
            <m:sSub>
              <m:e>
                <m:r>
                  <m:t>θ</m:t>
                </m:r>
              </m:e>
              <m:sub>
                <m:r>
                  <m:t>j</m:t>
                </m:r>
                <m:r>
                  <m:t>N</m:t>
                </m:r>
              </m:sub>
            </m:sSub>
          </m:e>
        </m:d>
      </m:oMath>
      <w:r>
        <w:t xml:space="preserve">。对每个参考标签计算</w:t>
      </w:r>
    </w:p>
    <w:p xmlns:m="http://schemas.openxmlformats.org/officeDocument/2006/math">
      <w:pPr>
        <w:pStyle w:val="Normal"/>
        <w:spacing w:lineRule="atLeast" w:line="360" w:before="60" w:after="100"/>
        <w:ind w:firstLine="0"/>
        <w:jc w:val="center"/>
      </w:pPr>
      <m:oMathPara>
        <m:oMathParaPr>
          <m:jc m:val="center"/>
        </m:oMathParaPr>
        <m:oMath>
          <m:sSub>
            <m:e>
              <m:r>
                <m:t>E</m:t>
                <w:rPr>
                  <w:sz w:val="16"/>
                </w:rPr>
              </m:r>
            </m:e>
            <m:sub>
              <m:r>
                <m:t>j</m:t>
                <w:rPr>
                  <w:sz w:val="16"/>
                </w:rPr>
              </m:r>
            </m:sub>
          </m:sSub>
          <m:r>
            <m:rPr>
              <m:sty m:val="p"/>
            </m:rPr>
            <m:t>=</m:t>
            <w:rPr>
              <w:sz w:val="16"/>
            </w:rPr>
          </m:r>
          <m:rad>
            <m:radPr>
              <m:degHide m:val="on"/>
            </m:radPr>
            <m:deg/>
            <m:e>
              <m:nary>
                <m:naryPr>
                  <m:chr m:val="∑"/>
                  <m:limLoc m:val="undOvr"/>
                  <m:subHide m:val="off"/>
                  <m:supHide m:val="off"/>
                </m:naryPr>
                <m:sub>
                  <m:r>
                    <m:t>i</m:t>
                    <w:rPr>
                      <w:sz w:val="16"/>
                    </w:rPr>
                  </m:r>
                  <m:r>
                    <m:rPr>
                      <m:sty m:val="p"/>
                    </m:rPr>
                    <m:t>=</m:t>
                    <w:rPr>
                      <w:sz w:val="16"/>
                    </w:rPr>
                  </m:r>
                  <m:r>
                    <m:t>1</m:t>
                    <w:rPr>
                      <w:sz w:val="16"/>
                    </w:rPr>
                  </m:r>
                </m:sub>
                <m:sup>
                  <m:r>
                    <m:t>N</m:t>
                    <w:rPr>
                      <w:sz w:val="16"/>
                    </w:rPr>
                  </m:r>
                </m:sup>
                <m:e>
                  <m:sSup>
                    <m:e>
                      <m:d>
                        <m:dPr>
                          <m:begChr m:val="("/>
                          <m:endChr m:val=")"/>
                          <m:sepChr m:val=""/>
                          <m:grow/>
                        </m:dPr>
                        <m:e>
                          <m:sSub>
                            <m:e>
                              <m:r>
                                <m:t>s</m:t>
                                <w:rPr>
                                  <w:sz w:val="16"/>
                                </w:rPr>
                              </m:r>
                            </m:e>
                            <m:sub>
                              <m:r>
                                <m:t>i</m:t>
                                <w:rPr>
                                  <w:sz w:val="16"/>
                                </w:rPr>
                              </m:r>
                            </m:sub>
                          </m:sSub>
                          <m:r>
                            <m:rPr>
                              <m:sty m:val="p"/>
                            </m:rPr>
                            <m:t>−</m:t>
                            <w:rPr>
                              <w:sz w:val="16"/>
                            </w:rPr>
                          </m:r>
                          <m:sSub>
                            <m:e>
                              <m:r>
                                <m:t>θ</m:t>
                                <w:rPr>
                                  <w:sz w:val="16"/>
                                </w:rPr>
                              </m:r>
                            </m:e>
                            <m:sub>
                              <m:r>
                                <m:t>j</m:t>
                                <w:rPr>
                                  <w:sz w:val="16"/>
                                </w:rPr>
                              </m:r>
                              <m:r>
                                <m:t>i</m:t>
                                <w:rPr>
                                  <w:sz w:val="16"/>
                                </w:rPr>
                              </m:r>
                            </m:sub>
                          </m:sSub>
                        </m:e>
                      </m:d>
                    </m:e>
                    <m:sup>
                      <m:r>
                        <m:t>2</m:t>
                        <w:rPr>
                          <w:sz w:val="16"/>
                        </w:rPr>
                      </m:r>
                    </m:sup>
                  </m:sSup>
                </m:e>
              </m:nary>
            </m:e>
          </m:rad>
          <m:r>
            <m:rPr>
              <m:sty m:val="p"/>
            </m:rPr>
            <m:t>.</m:t>
            <w:rPr>
              <w:sz w:val="16"/>
            </w:rPr>
          </m:r>
          <m:r>
            <m:t>  </m:t>
            <w:rPr>
              <w:sz w:val="16"/>
            </w:rPr>
          </m:r>
          <m:d>
            <m:dPr>
              <m:begChr m:val="("/>
              <m:endChr m:val=")"/>
              <m:sepChr m:val=""/>
              <m:grow/>
            </m:dPr>
            <m:e>
              <m:r>
                <m:t>5</m:t>
                <w:rPr>
                  <w:sz w:val="16"/>
                </w:rPr>
              </m:r>
            </m:e>
          </m:d>
        </m:oMath>
      </m:oMathPara>
    </w:p>
    <w:p xmlns:m="http://schemas.openxmlformats.org/officeDocument/2006/math">
      <w:pPr>
        <w:pStyle w:val="Normal"/>
      </w:pPr>
      <w:r>
        <w:t xml:space="preserve">按</w:t>
      </w:r>
      <w:r>
        <w:t xml:space="preserve"> </w:t>
      </w:r>
      <m:oMath>
        <m:sSub>
          <m:e>
            <m:r>
              <m:t>E</m:t>
            </m:r>
          </m:e>
          <m:sub>
            <m:r>
              <m:t>j</m:t>
            </m:r>
          </m:sub>
        </m:sSub>
      </m:oMath>
      <w:r>
        <w:t xml:space="preserve"> </w:t>
      </w:r>
      <w:r>
        <w:t xml:space="preserve">升序选取</w:t>
      </w:r>
      <w:r>
        <w:t xml:space="preserve"> </w:t>
      </w:r>
      <m:oMath>
        <m:r>
          <m:t>k</m:t>
        </m:r>
      </m:oMath>
      <w:r>
        <w:t xml:space="preserve"> </w:t>
      </w:r>
      <w:r>
        <w:t xml:space="preserve">个邻居，构成集合</w:t>
      </w:r>
      <w:r>
        <w:t xml:space="preserve"> </w:t>
      </w:r>
      <m:oMath>
        <m:sSub>
          <m:e>
            <m:r>
              <m:rPr>
                <m:sty m:val="p"/>
                <m:scr m:val="script"/>
              </m:rPr>
              <m:t>N</m:t>
            </m:r>
          </m:e>
          <m:sub>
            <m:r>
              <m:t>k</m:t>
            </m:r>
          </m:sub>
        </m:sSub>
      </m:oMath>
      <w:r>
        <w:t xml:space="preserve">，再以逆平方信号距离分配权重：</w:t>
      </w:r>
    </w:p>
    <w:p xmlns:m="http://schemas.openxmlformats.org/officeDocument/2006/math">
      <w:pPr>
        <w:pStyle w:val="Normal"/>
        <w:spacing w:lineRule="atLeast" w:line="360" w:before="60" w:after="100"/>
        <w:ind w:firstLine="0"/>
        <w:jc w:val="center"/>
      </w:pPr>
      <m:oMathPara>
        <m:oMathParaPr>
          <m:jc m:val="center"/>
        </m:oMathParaPr>
        <m:oMath>
          <m:sSub>
            <m:e>
              <m:r>
                <m:t>w</m:t>
                <w:rPr>
                  <w:sz w:val="16"/>
                </w:rPr>
              </m:r>
            </m:e>
            <m:sub>
              <m:r>
                <m:t>j</m:t>
                <w:rPr>
                  <w:sz w:val="16"/>
                </w:rPr>
              </m:r>
            </m:sub>
          </m:sSub>
          <m:r>
            <m:rPr>
              <m:sty m:val="p"/>
            </m:rPr>
            <m:t>=</m:t>
            <w:rPr>
              <w:sz w:val="16"/>
            </w:rPr>
          </m:r>
          <m:f>
            <m:fPr>
              <m:type m:val="bar"/>
            </m:fPr>
            <m:num>
              <m:sSubSup>
                <m:e>
                  <m:r>
                    <m:t>E</m:t>
                    <w:rPr>
                      <w:sz w:val="16"/>
                    </w:rPr>
                  </m:r>
                </m:e>
                <m:sub>
                  <m:r>
                    <m:t>j</m:t>
                    <w:rPr>
                      <w:sz w:val="16"/>
                    </w:rPr>
                  </m:r>
                </m:sub>
                <m:sup>
                  <m:r>
                    <m:rPr>
                      <m:sty m:val="p"/>
                    </m:rPr>
                    <m:t>−</m:t>
                    <w:rPr>
                      <w:sz w:val="16"/>
                    </w:rPr>
                  </m:r>
                  <m:r>
                    <m:t>2</m:t>
                    <w:rPr>
                      <w:sz w:val="16"/>
                    </w:rPr>
                  </m:r>
                </m:sup>
              </m:sSubSup>
            </m:num>
            <m:den>
              <m:nary>
                <m:naryPr>
                  <m:chr m:val="∑"/>
                  <m:limLoc m:val="undOvr"/>
                  <m:subHide m:val="off"/>
                  <m:supHide m:val="on"/>
                </m:naryPr>
                <m:sub>
                  <m:r>
                    <m:t>h</m:t>
                    <w:rPr>
                      <w:sz w:val="16"/>
                    </w:rPr>
                  </m:r>
                  <m:r>
                    <m:rPr>
                      <m:sty m:val="p"/>
                    </m:rPr>
                    <m:t>∈</m:t>
                    <w:rPr>
                      <w:sz w:val="16"/>
                    </w:rPr>
                  </m:r>
                  <m:sSub>
                    <m:e>
                      <m:r>
                        <m:rPr>
                          <m:sty m:val="p"/>
                          <m:scr m:val="script"/>
                        </m:rPr>
                        <m:t>N</m:t>
                        <w:rPr>
                          <w:sz w:val="16"/>
                        </w:rPr>
                      </m:r>
                    </m:e>
                    <m:sub>
                      <m:r>
                        <m:t>k</m:t>
                        <w:rPr>
                          <w:sz w:val="16"/>
                        </w:rPr>
                      </m:r>
                    </m:sub>
                  </m:sSub>
                </m:sub>
                <m:sup>
                  <m:r>
                    <m:t>​</m:t>
                    <w:rPr>
                      <w:sz w:val="16"/>
                    </w:rPr>
                  </m:r>
                </m:sup>
                <m:e>
                  <m:sSubSup>
                    <m:e>
                      <m:r>
                        <m:t>E</m:t>
                        <w:rPr>
                          <w:sz w:val="16"/>
                        </w:rPr>
                      </m:r>
                    </m:e>
                    <m:sub>
                      <m:r>
                        <m:t>h</m:t>
                        <w:rPr>
                          <w:sz w:val="16"/>
                        </w:rPr>
                      </m:r>
                    </m:sub>
                    <m:sup>
                      <m:r>
                        <m:rPr>
                          <m:sty m:val="p"/>
                        </m:rPr>
                        <m:t>−</m:t>
                        <w:rPr>
                          <w:sz w:val="16"/>
                        </w:rPr>
                      </m:r>
                      <m:r>
                        <m:t>2</m:t>
                        <w:rPr>
                          <w:sz w:val="16"/>
                        </w:rPr>
                      </m:r>
                    </m:sup>
                  </m:sSubSup>
                </m:e>
              </m:nary>
            </m:den>
          </m:f>
          <m:r>
            <m:rPr>
              <m:sty m:val="p"/>
            </m:rPr>
            <m:t>,</m:t>
            <w:rPr>
              <w:sz w:val="16"/>
            </w:rPr>
          </m:r>
          <m:r>
            <m:t> </m:t>
            <w:rPr>
              <w:sz w:val="16"/>
            </w:rPr>
          </m:r>
          <m:acc>
            <m:accPr>
              <m:chr m:val="̂"/>
            </m:accPr>
            <m:e>
              <m:r>
                <m:rPr>
                  <m:sty m:val="b"/>
                </m:rPr>
                <m:t>p</m:t>
                <w:rPr>
                  <w:sz w:val="16"/>
                </w:rPr>
              </m:r>
            </m:e>
          </m:acc>
          <m:r>
            <m:rPr>
              <m:sty m:val="p"/>
            </m:rPr>
            <m:t>=</m:t>
            <w:rPr>
              <w:sz w:val="16"/>
            </w:rPr>
          </m:r>
          <m:nary>
            <m:naryPr>
              <m:chr m:val="∑"/>
              <m:limLoc m:val="undOvr"/>
              <m:subHide m:val="off"/>
              <m:supHide m:val="on"/>
            </m:naryPr>
            <m:sub>
              <m:r>
                <m:t>j</m:t>
                <w:rPr>
                  <w:sz w:val="16"/>
                </w:rPr>
              </m:r>
              <m:r>
                <m:rPr>
                  <m:sty m:val="p"/>
                </m:rPr>
                <m:t>∈</m:t>
                <w:rPr>
                  <w:sz w:val="16"/>
                </w:rPr>
              </m:r>
              <m:sSub>
                <m:e>
                  <m:r>
                    <m:rPr>
                      <m:sty m:val="p"/>
                      <m:scr m:val="script"/>
                    </m:rPr>
                    <m:t>N</m:t>
                    <w:rPr>
                      <w:sz w:val="16"/>
                    </w:rPr>
                  </m:r>
                </m:e>
                <m:sub>
                  <m:r>
                    <m:t>k</m:t>
                    <w:rPr>
                      <w:sz w:val="16"/>
                    </w:rPr>
                  </m:r>
                </m:sub>
              </m:sSub>
            </m:sub>
            <m:sup>
              <m:r>
                <m:t>​</m:t>
                <w:rPr>
                  <w:sz w:val="16"/>
                </w:rPr>
              </m:r>
            </m:sup>
            <m:e>
              <m:sSub>
                <m:e>
                  <m:r>
                    <m:t>w</m:t>
                    <w:rPr>
                      <w:sz w:val="16"/>
                    </w:rPr>
                  </m:r>
                </m:e>
                <m:sub>
                  <m:r>
                    <m:t>j</m:t>
                    <w:rPr>
                      <w:sz w:val="16"/>
                    </w:rPr>
                  </m:r>
                </m:sub>
              </m:sSub>
            </m:e>
          </m:nary>
          <m:sSub>
            <m:e>
              <m:r>
                <m:rPr>
                  <m:sty m:val="b"/>
                </m:rPr>
                <m:t>r</m:t>
                <w:rPr>
                  <w:sz w:val="16"/>
                </w:rPr>
              </m:r>
            </m:e>
            <m:sub>
              <m:r>
                <m:t>j</m:t>
                <w:rPr>
                  <w:sz w:val="16"/>
                </w:rPr>
              </m:r>
            </m:sub>
          </m:sSub>
          <m:r>
            <m:rPr>
              <m:sty m:val="p"/>
            </m:rPr>
            <m:t>.</m:t>
            <w:rPr>
              <w:sz w:val="16"/>
            </w:rPr>
          </m:r>
          <m:r>
            <m:t>  </m:t>
            <w:rPr>
              <w:sz w:val="16"/>
            </w:rPr>
          </m:r>
          <m:d>
            <m:dPr>
              <m:begChr m:val="("/>
              <m:endChr m:val=")"/>
              <m:sepChr m:val=""/>
              <m:grow/>
            </m:dPr>
            <m:e>
              <m:r>
                <m:t>6</m:t>
                <w:rPr>
                  <w:sz w:val="16"/>
                </w:rPr>
              </m:r>
            </m:e>
          </m:d>
        </m:oMath>
      </m:oMathPara>
    </w:p>
    <w:p>
      <w:pPr>
        <w:pStyle w:val="Normal"/>
      </w:pPr>
      <w:r>
        <w:t xml:space="preserve">式(5)是信号空间的欧氏距离，不能读作目标与参考标签的实际距离。式(6)的逆平方是经验加权规则，也不能由自由空间功率定律直接推得最优性。原始系统以读取器报告的检测等级替代连续RSSI；其几何意义依赖同一设备条件下信号模式具有局部相似性。部署参考标签的作用是提供实时锚点，而非精确恢复传播模型。</w:t>
      </w:r>
    </w:p>
    <w:p xmlns:m="http://schemas.openxmlformats.org/officeDocument/2006/math">
      <w:pPr>
        <w:pStyle w:val="Normal"/>
      </w:pPr>
      <w:r>
        <w:t xml:space="preserve">实现中若</w:t>
      </w:r>
      <w:r>
        <w:t xml:space="preserve"> </w:t>
      </w:r>
      <m:oMath>
        <m:sSub>
          <m:e>
            <m:r>
              <m:t>E</m:t>
            </m:r>
          </m:e>
          <m:sub>
            <m:r>
              <m:t>j</m:t>
            </m:r>
          </m:sub>
        </m:sSub>
        <m:r>
          <m:rPr>
            <m:sty m:val="p"/>
          </m:rPr>
          <m:t>=</m:t>
        </m:r>
        <m:r>
          <m:t>0</m:t>
        </m:r>
      </m:oMath>
      <w:r>
        <w:t xml:space="preserve">，应单独处理：仅对零距离参考点求均值，或者用</w:t>
      </w:r>
      <w:r>
        <w:t xml:space="preserve"> </w:t>
      </w:r>
      <m:oMath>
        <m:sSubSup>
          <m:e>
            <m:r>
              <m:t>E</m:t>
            </m:r>
          </m:e>
          <m:sub>
            <m:r>
              <m:t>j</m:t>
            </m:r>
          </m:sub>
          <m:sup>
            <m:r>
              <m:t>2</m:t>
            </m:r>
          </m:sup>
        </m:sSubSup>
        <m:r>
          <m:rPr>
            <m:sty m:val="p"/>
          </m:rPr>
          <m:t>+</m:t>
        </m:r>
        <m:r>
          <m:t>ε</m:t>
        </m:r>
      </m:oMath>
      <w:r>
        <w:t xml:space="preserve"> </w:t>
      </w:r>
      <w:r>
        <w:t xml:space="preserve">正则化，避免除零。多个参考点信号向量相同但位置相距很远，说明观测不具备足够区分能力，不能把平均坐标解释成高置信定位。通道量程不同或方差差异明显时，可先标准化，或采用由方差加权的距离；这些属于实现扩展，需另行验证效果。</w:t>
      </w:r>
    </w:p>
    <w:p xmlns:m="http://schemas.openxmlformats.org/officeDocument/2006/math">
      <w:pPr>
        <w:pStyle w:val="Normal"/>
      </w:pPr>
      <w:r>
        <w:t xml:space="preserve">算法输出为一个位置点。距离计算复杂度为</w:t>
      </w:r>
      <w:r>
        <w:t xml:space="preserve"> </w:t>
      </w:r>
      <m:oMath>
        <m:r>
          <m:t>O</m:t>
        </m:r>
        <m:d>
          <m:dPr>
            <m:begChr m:val="("/>
            <m:endChr m:val=")"/>
            <m:sepChr m:val=""/>
            <m:grow/>
          </m:dPr>
          <m:e>
            <m:r>
              <m:t>M</m:t>
            </m:r>
            <m:r>
              <m:t>N</m:t>
            </m:r>
          </m:e>
        </m:d>
      </m:oMath>
      <w:r>
        <w:t xml:space="preserve">，完整排序为</w:t>
      </w:r>
      <w:r>
        <w:t xml:space="preserve"> </w:t>
      </w:r>
      <m:oMath>
        <m:r>
          <m:t>O</m:t>
        </m:r>
        <m:d>
          <m:dPr>
            <m:begChr m:val="("/>
            <m:endChr m:val=")"/>
            <m:sepChr m:val=""/>
            <m:grow/>
          </m:dPr>
          <m:e>
            <m:r>
              <m:t>M</m:t>
            </m:r>
            <m:r>
              <m:rPr>
                <m:sty m:val="p"/>
              </m:rPr>
              <m:t>log</m:t>
            </m:r>
            <m:r>
              <m:t>M</m:t>
            </m:r>
          </m:e>
        </m:d>
      </m:oMath>
      <w:r>
        <w:t xml:space="preserve">；维护大小为</w:t>
      </w:r>
      <w:r>
        <w:t xml:space="preserve"> </w:t>
      </w:r>
      <m:oMath>
        <m:r>
          <m:t>k</m:t>
        </m:r>
      </m:oMath>
      <w:r>
        <w:t xml:space="preserve"> </w:t>
      </w:r>
      <w:r>
        <w:t xml:space="preserve">的堆可将邻居筛选改为</w:t>
      </w:r>
      <w:r>
        <w:t xml:space="preserve"> </w:t>
      </w:r>
      <m:oMath>
        <m:r>
          <m:t>O</m:t>
        </m:r>
        <m:d>
          <m:dPr>
            <m:begChr m:val="("/>
            <m:endChr m:val=")"/>
            <m:sepChr m:val=""/>
            <m:grow/>
          </m:dPr>
          <m:e>
            <m:r>
              <m:t>M</m:t>
            </m:r>
            <m:r>
              <m:rPr>
                <m:sty m:val="p"/>
              </m:rPr>
              <m:t>log</m:t>
            </m:r>
            <m:r>
              <m:t>k</m:t>
            </m:r>
          </m:e>
        </m:d>
      </m:oMath>
      <w:r>
        <w:t xml:space="preserve">。原文实验中四个读取器与16个参考标签构成测试系统，多数条件下</w:t>
      </w:r>
      <w:r>
        <w:t xml:space="preserve"> </w:t>
      </w:r>
      <m:oMath>
        <m:r>
          <m:t>k</m:t>
        </m:r>
        <m:r>
          <m:rPr>
            <m:sty m:val="p"/>
          </m:rPr>
          <m:t>=</m:t>
        </m:r>
        <m:r>
          <m:t>4</m:t>
        </m:r>
      </m:oMath>
      <w:r>
        <w:t xml:space="preserve"> </w:t>
      </w:r>
      <w:r>
        <w:t xml:space="preserve">较好，中位定位误差约1 m[1]。这些数据支持该配置中的可行性，而不构成任意场景的精度承诺。</w:t>
      </w:r>
    </w:p>
    <w:p xmlns:m="http://schemas.openxmlformats.org/officeDocument/2006/math">
      <w:pPr>
        <w:pStyle w:val="Normal"/>
      </w:pPr>
      <w:r>
        <w:t xml:space="preserve">从估计性质看，非负且归一化的权重使结果位于所选参考点的凸包内。参考标签只布置在一侧时，目标越出凸包将带来无法由加权插值消除的边界偏差。增大</w:t>
      </w:r>
      <w:r>
        <w:t xml:space="preserve"> </w:t>
      </w:r>
      <m:oMath>
        <m:r>
          <m:t>k</m:t>
        </m:r>
      </m:oMath>
      <w:r>
        <w:t xml:space="preserve"> </w:t>
      </w:r>
      <w:r>
        <w:t xml:space="preserve">可缓解局部噪声，但也会引入更远或受不同遮挡影响的参考点；减小</w:t>
      </w:r>
      <w:r>
        <w:t xml:space="preserve"> </w:t>
      </w:r>
      <m:oMath>
        <m:r>
          <m:t>k</m:t>
        </m:r>
      </m:oMath>
      <w:r>
        <w:t xml:space="preserve"> </w:t>
      </w:r>
      <w:r>
        <w:t xml:space="preserve">可降低混合偏差，却容易使输出跳向某个错误近邻。这体现了局部性与稳定性之间的权衡。</w:t>
      </w:r>
    </w:p>
    <w:p xmlns:m="http://schemas.openxmlformats.org/officeDocument/2006/math">
      <w:pPr>
        <w:pStyle w:val="Normal"/>
      </w:pPr>
      <w:r>
        <w:t xml:space="preserve">例如两个实际远离的标签因金属反射具有相似信号向量，算法仍会把它们视为近邻。增加同一方向上的读取器未必解决歧义，增加具有不同空间视角的通道才可能提高可辨识性。同样，参考标签与目标附着在不同材质上时，不能假定它们承受相同扰动。实践中应报告参考网格、朝向、材料、边界测试位置及采样窗口，而非仅报告</w:t>
      </w:r>
      <w:r>
        <w:t xml:space="preserve"> </w:t>
      </w:r>
      <m:oMath>
        <m:r>
          <m:t>k</m:t>
        </m:r>
      </m:oMath>
      <w:r>
        <w:t xml:space="preserve"> </w:t>
      </w:r>
      <w:r>
        <w:t xml:space="preserve">值。</w:t>
      </w:r>
    </w:p>
    <w:p>
      <w:pPr>
        <w:pStyle w:val="Heading2"/>
      </w:pPr>
      <w:r>
        <w:t xml:space="preserve">3.3　可信度检验、偏差校正与证据冲突</w:t>
      </w:r>
    </w:p>
    <w:p xmlns:m="http://schemas.openxmlformats.org/officeDocument/2006/math">
      <w:pPr>
        <w:pStyle w:val="Normal"/>
      </w:pPr>
      <w:r>
        <w:t xml:space="preserve">文献[4]明确给出的流程是检查最近邻参考标签的可信度、舍弃不可信标签，再利用最终邻居进行定位偏差自校正。文献[5]还讨论动态</w:t>
      </w:r>
      <w:r>
        <w:t xml:space="preserve"> </w:t>
      </w:r>
      <m:oMath>
        <m:r>
          <m:t>k</m:t>
        </m:r>
      </m:oMath>
      <w:r>
        <w:t xml:space="preserve"> </w:t>
      </w:r>
      <w:r>
        <w:t xml:space="preserve">与历史轨迹，说明自适应邻居选择已有研究基础。二者的可核验摘要支持上述机制，但本次未取得全部公式和原始误差表，故不补写其阈值，也不将D-S证据融合描述成这两篇论文已经采用的方法。</w:t>
      </w:r>
    </w:p>
    <w:p>
      <w:pPr>
        <w:pStyle w:val="Normal"/>
      </w:pPr>
      <w:r>
        <w:t xml:space="preserve">为将这种机制转化为可讨论的实现，本文给出一个明确标注为“综述性建模”的框架。把每个已知参考标签暂时当作未知标签，排除自身后用其余参考点估计位置，得到残差</w:t>
      </w:r>
    </w:p>
    <w:p xmlns:m="http://schemas.openxmlformats.org/officeDocument/2006/math">
      <w:pPr>
        <w:pStyle w:val="Normal"/>
        <w:spacing w:lineRule="atLeast" w:line="360" w:before="60" w:after="100"/>
        <w:ind w:firstLine="0"/>
        <w:jc w:val="center"/>
      </w:pPr>
      <m:oMathPara>
        <m:oMathParaPr>
          <m:jc m:val="center"/>
        </m:oMathParaPr>
        <m:oMath>
          <m:sSub>
            <m:e>
              <m:r>
                <m:rPr>
                  <m:sty m:val="b"/>
                </m:rPr>
                <m:t>b</m:t>
                <w:rPr>
                  <w:sz w:val="16"/>
                </w:rPr>
              </m:r>
            </m:e>
            <m:sub>
              <m:r>
                <m:t>j</m:t>
                <w:rPr>
                  <w:sz w:val="16"/>
                </w:rPr>
              </m:r>
            </m:sub>
          </m:sSub>
          <m:r>
            <m:rPr>
              <m:sty m:val="p"/>
            </m:rPr>
            <m:t>=</m:t>
            <w:rPr>
              <w:sz w:val="16"/>
            </w:rPr>
          </m:r>
          <m:sSubSup>
            <m:e>
              <m:acc>
                <m:accPr>
                  <m:chr m:val="̂"/>
                </m:accPr>
                <m:e>
                  <m:r>
                    <m:rPr>
                      <m:sty m:val="b"/>
                    </m:rPr>
                    <m:t>r</m:t>
                    <w:rPr>
                      <w:sz w:val="16"/>
                    </w:rPr>
                  </m:r>
                </m:e>
              </m:acc>
            </m:e>
            <m:sub>
              <m:r>
                <m:t>j</m:t>
                <w:rPr>
                  <w:sz w:val="16"/>
                </w:rPr>
              </m:r>
            </m:sub>
            <m:sup>
              <m:d>
                <m:dPr>
                  <m:begChr m:val="("/>
                  <m:endChr m:val=")"/>
                  <m:sepChr m:val=""/>
                  <m:grow/>
                </m:dPr>
                <m:e>
                  <m:r>
                    <m:rPr>
                      <m:sty m:val="p"/>
                    </m:rPr>
                    <m:t>−</m:t>
                    <w:rPr>
                      <w:sz w:val="16"/>
                    </w:rPr>
                  </m:r>
                  <m:r>
                    <m:t>j</m:t>
                    <w:rPr>
                      <w:sz w:val="16"/>
                    </w:rPr>
                  </m:r>
                </m:e>
              </m:d>
            </m:sup>
          </m:sSubSup>
          <m:r>
            <m:rPr>
              <m:sty m:val="p"/>
            </m:rPr>
            <m:t>−</m:t>
            <w:rPr>
              <w:sz w:val="16"/>
            </w:rPr>
          </m:r>
          <m:sSub>
            <m:e>
              <m:r>
                <m:rPr>
                  <m:sty m:val="b"/>
                </m:rPr>
                <m:t>r</m:t>
                <w:rPr>
                  <w:sz w:val="16"/>
                </w:rPr>
              </m:r>
            </m:e>
            <m:sub>
              <m:r>
                <m:t>j</m:t>
                <w:rPr>
                  <w:sz w:val="16"/>
                </w:rPr>
              </m:r>
            </m:sub>
          </m:sSub>
          <m:r>
            <m:rPr>
              <m:sty m:val="p"/>
            </m:rPr>
            <m:t>.</m:t>
            <w:rPr>
              <w:sz w:val="16"/>
            </w:rPr>
          </m:r>
          <m:r>
            <m:t>  </m:t>
            <w:rPr>
              <w:sz w:val="16"/>
            </w:rPr>
          </m:r>
          <m:d>
            <m:dPr>
              <m:begChr m:val="("/>
              <m:endChr m:val=")"/>
              <m:sepChr m:val=""/>
              <m:grow/>
            </m:dPr>
            <m:e>
              <m:r>
                <m:t>7</m:t>
                <w:rPr>
                  <w:sz w:val="16"/>
                </w:rPr>
              </m:r>
            </m:e>
          </m:d>
        </m:oMath>
      </m:oMathPara>
    </w:p>
    <w:p>
      <w:pPr>
        <w:pStyle w:val="Normal"/>
      </w:pPr>
      <w:r>
        <w:t xml:space="preserve">残差反映当前布局和信号模型对该标签的自洽程度，但边界标签即使正常，也可能有较大残差。可信度评估因而应同时使用读到率、窗口内波动、观测新鲜度与残差，并按内点、边界等位置类别分别标定阈值。只把残差大的标签判为故障，会造成系统性剔除边界锚点。</w:t>
      </w:r>
    </w:p>
    <w:p xmlns:m="http://schemas.openxmlformats.org/officeDocument/2006/math">
      <w:pPr>
        <w:pStyle w:val="Normal"/>
      </w:pPr>
      <w:r>
        <w:t xml:space="preserve">设质量矩阵</w:t>
      </w:r>
      <w:r>
        <w:t xml:space="preserve"> </w:t>
      </w:r>
      <m:oMath>
        <m:r>
          <m:t>T</m:t>
        </m:r>
        <m:r>
          <m:rPr>
            <m:sty m:val="p"/>
          </m:rPr>
          <m:t>=</m:t>
        </m:r>
        <m:d>
          <m:dPr>
            <m:begChr m:val="["/>
            <m:endChr m:val="]"/>
            <m:sepChr m:val=""/>
            <m:grow/>
          </m:dPr>
          <m:e>
            <m:sSub>
              <m:e>
                <m:r>
                  <m:t>t</m:t>
                </m:r>
              </m:e>
              <m:sub>
                <m:r>
                  <m:t>i</m:t>
                </m:r>
                <m:r>
                  <m:t>j</m:t>
                </m:r>
              </m:sub>
            </m:sSub>
          </m:e>
        </m:d>
      </m:oMath>
      <w:r>
        <w:t xml:space="preserve"> </w:t>
      </w:r>
      <w:r>
        <w:t xml:space="preserve">的行对应观测通道、列对应参考标签，</w:t>
      </w:r>
      <m:oMath>
        <m:sSub>
          <m:e>
            <m:r>
              <m:t>t</m:t>
            </m:r>
          </m:e>
          <m:sub>
            <m:r>
              <m:t>i</m:t>
            </m:r>
            <m:r>
              <m:t>j</m:t>
            </m:r>
          </m:sub>
        </m:sSub>
        <m:r>
          <m:rPr>
            <m:sty m:val="p"/>
          </m:rPr>
          <m:t>∈</m:t>
        </m:r>
        <m:d>
          <m:dPr>
            <m:begChr m:val="["/>
            <m:endChr m:val="]"/>
            <m:sepChr m:val=""/>
            <m:grow/>
          </m:dPr>
          <m:e>
            <m:r>
              <m:t>0</m:t>
            </m:r>
            <m:r>
              <m:rPr>
                <m:sty m:val="p"/>
              </m:rPr>
              <m:t>,</m:t>
            </m:r>
            <m:r>
              <m:t>1</m:t>
            </m:r>
          </m:e>
        </m:d>
      </m:oMath>
      <w:r>
        <w:t xml:space="preserve"> </w:t>
      </w:r>
      <w:r>
        <w:t xml:space="preserve">表示该通道对参考标签的质量评分。评分不是标准空中协议字段，也不是认证意义的身份可信度。可用有效读到率与归一化方差形成通道评分，再用留一残差作为独立诊断。各指标之间可能相关，重复使用同一批RSSI派生的指标会制造虚假的独立证据。</w:t>
      </w:r>
    </w:p>
    <w:p xmlns:m="http://schemas.openxmlformats.org/officeDocument/2006/math">
      <w:pPr>
        <w:pStyle w:val="Normal"/>
      </w:pPr>
      <w:r>
        <w:t xml:space="preserve">若要实现计划书提出的“冲突证据处理”，可以在质量控制层采用Dempster-Shafer（D-S）证据表示[11]。本文仅作设计性归纳，定义识别框架</w:t>
      </w:r>
      <w:r>
        <w:t xml:space="preserve"> </w:t>
      </w:r>
      <m:oMath>
        <m:r>
          <m:t>Θ</m:t>
        </m:r>
        <m:r>
          <m:rPr>
            <m:sty m:val="p"/>
          </m:rPr>
          <m:t>=</m:t>
        </m:r>
        <m:r>
          <m:rPr>
            <m:sty m:val="p"/>
          </m:rPr>
          <m:t>{</m:t>
        </m:r>
        <m:r>
          <m:t>G</m:t>
        </m:r>
        <m:r>
          <m:rPr>
            <m:sty m:val="p"/>
          </m:rPr>
          <m:t>,</m:t>
        </m:r>
        <m:r>
          <m:t>B</m:t>
        </m:r>
        <m:r>
          <m:rPr>
            <m:sty m:val="p"/>
          </m:rPr>
          <m:t>}</m:t>
        </m:r>
      </m:oMath>
      <w:r>
        <w:t xml:space="preserve">，分别表示可靠与异常，另给全集</w:t>
      </w:r>
      <w:r>
        <w:t xml:space="preserve"> </w:t>
      </w:r>
      <m:oMath>
        <m:r>
          <m:t>Θ</m:t>
        </m:r>
      </m:oMath>
      <w:r>
        <w:t xml:space="preserve"> </w:t>
      </w:r>
      <w:r>
        <w:t xml:space="preserve">分配未确定质量。设两个证据源的基本概率分配为</w:t>
      </w:r>
      <w:r>
        <w:t xml:space="preserve"> </w:t>
      </w:r>
      <m:oMath>
        <m:sSub>
          <m:e>
            <m:r>
              <m:t>m</m:t>
            </m:r>
          </m:e>
          <m:sub>
            <m:r>
              <m:t>1</m:t>
            </m:r>
          </m:sub>
        </m:sSub>
        <m:r>
          <m:rPr>
            <m:sty m:val="p"/>
          </m:rPr>
          <m:t>,</m:t>
        </m:r>
        <m:sSub>
          <m:e>
            <m:r>
              <m:t>m</m:t>
            </m:r>
          </m:e>
          <m:sub>
            <m:r>
              <m:t>2</m:t>
            </m:r>
          </m:sub>
        </m:sSub>
      </m:oMath>
      <w:r>
        <w:t xml:space="preserve">，冲突系数及归一化组合为</w:t>
      </w:r>
    </w:p>
    <w:p xmlns:m="http://schemas.openxmlformats.org/officeDocument/2006/math">
      <w:pPr>
        <w:pStyle w:val="Normal"/>
        <w:spacing w:lineRule="atLeast" w:line="360" w:before="60" w:after="100"/>
        <w:ind w:firstLine="0"/>
        <w:jc w:val="center"/>
      </w:pPr>
      <m:oMathPara>
        <m:oMathParaPr>
          <m:jc m:val="center"/>
        </m:oMathParaPr>
        <m:oMath>
          <m:r>
            <m:t>K</m:t>
            <w:rPr>
              <w:sz w:val="16"/>
            </w:rPr>
          </m:r>
          <m:r>
            <m:rPr>
              <m:sty m:val="p"/>
            </m:rPr>
            <m:t>=</m:t>
            <w:rPr>
              <w:sz w:val="16"/>
            </w:rPr>
          </m:r>
          <m:nary>
            <m:naryPr>
              <m:chr m:val="∑"/>
              <m:limLoc m:val="undOvr"/>
              <m:subHide m:val="off"/>
              <m:supHide m:val="on"/>
            </m:naryPr>
            <m:sub>
              <m:r>
                <m:t>A</m:t>
                <w:rPr>
                  <w:sz w:val="16"/>
                </w:rPr>
              </m:r>
              <m:r>
                <m:rPr>
                  <m:sty m:val="p"/>
                </m:rPr>
                <m:t>∩</m:t>
                <w:rPr>
                  <w:sz w:val="16"/>
                </w:rPr>
              </m:r>
              <m:r>
                <m:t>B</m:t>
                <w:rPr>
                  <w:sz w:val="16"/>
                </w:rPr>
              </m:r>
              <m:r>
                <m:rPr>
                  <m:sty m:val="p"/>
                </m:rPr>
                <m:t>=</m:t>
                <w:rPr>
                  <w:sz w:val="16"/>
                </w:rPr>
              </m:r>
              <m:r>
                <m:rPr>
                  <m:sty m:val="p"/>
                </m:rPr>
                <m:t>⌀</m:t>
                <w:rPr>
                  <w:sz w:val="16"/>
                </w:rPr>
              </m:r>
            </m:sub>
            <m:sup>
              <m:r>
                <m:t>​</m:t>
                <w:rPr>
                  <w:sz w:val="16"/>
                </w:rPr>
              </m:r>
            </m:sup>
            <m:e>
              <m:sSub>
                <m:e>
                  <m:r>
                    <m:t>m</m:t>
                    <w:rPr>
                      <w:sz w:val="16"/>
                    </w:rPr>
                  </m:r>
                </m:e>
                <m:sub>
                  <m:r>
                    <m:t>1</m:t>
                    <w:rPr>
                      <w:sz w:val="16"/>
                    </w:rPr>
                  </m:r>
                </m:sub>
              </m:sSub>
            </m:e>
          </m:nary>
          <m:d>
            <m:dPr>
              <m:begChr m:val="("/>
              <m:endChr m:val=")"/>
              <m:sepChr m:val=""/>
              <m:grow/>
            </m:dPr>
            <m:e>
              <m:r>
                <m:t>A</m:t>
                <w:rPr>
                  <w:sz w:val="16"/>
                </w:rPr>
              </m:r>
            </m:e>
          </m:d>
          <m:sSub>
            <m:e>
              <m:r>
                <m:t>m</m:t>
                <w:rPr>
                  <w:sz w:val="16"/>
                </w:rPr>
              </m:r>
            </m:e>
            <m:sub>
              <m:r>
                <m:t>2</m:t>
                <w:rPr>
                  <w:sz w:val="16"/>
                </w:rPr>
              </m:r>
            </m:sub>
          </m:sSub>
          <m:d>
            <m:dPr>
              <m:begChr m:val="("/>
              <m:endChr m:val=")"/>
              <m:sepChr m:val=""/>
              <m:grow/>
            </m:dPr>
            <m:e>
              <m:r>
                <m:t>B</m:t>
                <w:rPr>
                  <w:sz w:val="16"/>
                </w:rPr>
              </m:r>
            </m:e>
          </m:d>
          <m:r>
            <m:rPr>
              <m:sty m:val="p"/>
            </m:rPr>
            <m:t>,</m:t>
            <w:rPr>
              <w:sz w:val="16"/>
            </w:rPr>
          </m:r>
          <m:r>
            <m:t>  </m:t>
            <w:rPr>
              <w:sz w:val="16"/>
            </w:rPr>
          </m:r>
          <m:d>
            <m:dPr>
              <m:begChr m:val="("/>
              <m:endChr m:val=")"/>
              <m:sepChr m:val=""/>
              <m:grow/>
            </m:dPr>
            <m:e>
              <m:r>
                <m:t>8</m:t>
                <w:rPr>
                  <w:sz w:val="16"/>
                </w:rPr>
              </m:r>
            </m:e>
          </m:d>
        </m:oMath>
      </m:oMathPara>
    </w:p>
    <w:p xmlns:m="http://schemas.openxmlformats.org/officeDocument/2006/math">
      <w:pPr>
        <w:pStyle w:val="Normal"/>
        <w:spacing w:lineRule="atLeast" w:line="360" w:before="60" w:after="100"/>
        <w:ind w:firstLine="0"/>
        <w:jc w:val="center"/>
      </w:pPr>
      <m:oMathPara>
        <m:oMathParaPr>
          <m:jc m:val="center"/>
        </m:oMathParaPr>
        <m:oMath>
          <m:r>
            <m:t>m</m:t>
            <w:rPr>
              <w:sz w:val="16"/>
            </w:rPr>
          </m:r>
          <m:d>
            <m:dPr>
              <m:begChr m:val="("/>
              <m:endChr m:val=")"/>
              <m:sepChr m:val=""/>
              <m:grow/>
            </m:dPr>
            <m:e>
              <m:r>
                <m:t>C</m:t>
                <w:rPr>
                  <w:sz w:val="16"/>
                </w:rPr>
              </m:r>
            </m:e>
          </m:d>
          <m:r>
            <m:rPr>
              <m:sty m:val="p"/>
            </m:rPr>
            <m:t>=</m:t>
            <w:rPr>
              <w:sz w:val="16"/>
            </w:rPr>
          </m:r>
          <m:f>
            <m:fPr>
              <m:type m:val="bar"/>
            </m:fPr>
            <m:num>
              <m:nary>
                <m:naryPr>
                  <m:chr m:val="∑"/>
                  <m:limLoc m:val="undOvr"/>
                  <m:subHide m:val="off"/>
                  <m:supHide m:val="on"/>
                </m:naryPr>
                <m:sub>
                  <m:r>
                    <m:t>A</m:t>
                    <w:rPr>
                      <w:sz w:val="16"/>
                    </w:rPr>
                  </m:r>
                  <m:r>
                    <m:rPr>
                      <m:sty m:val="p"/>
                    </m:rPr>
                    <m:t>∩</m:t>
                    <w:rPr>
                      <w:sz w:val="16"/>
                    </w:rPr>
                  </m:r>
                  <m:r>
                    <m:t>B</m:t>
                    <w:rPr>
                      <w:sz w:val="16"/>
                    </w:rPr>
                  </m:r>
                  <m:r>
                    <m:rPr>
                      <m:sty m:val="p"/>
                    </m:rPr>
                    <m:t>=</m:t>
                    <w:rPr>
                      <w:sz w:val="16"/>
                    </w:rPr>
                  </m:r>
                  <m:r>
                    <m:t>C</m:t>
                    <w:rPr>
                      <w:sz w:val="16"/>
                    </w:rPr>
                  </m:r>
                </m:sub>
                <m:sup>
                  <m:r>
                    <m:t>​</m:t>
                    <w:rPr>
                      <w:sz w:val="16"/>
                    </w:rPr>
                  </m:r>
                </m:sup>
                <m:e>
                  <m:sSub>
                    <m:e>
                      <m:r>
                        <m:t>m</m:t>
                        <w:rPr>
                          <w:sz w:val="16"/>
                        </w:rPr>
                      </m:r>
                    </m:e>
                    <m:sub>
                      <m:r>
                        <m:t>1</m:t>
                        <w:rPr>
                          <w:sz w:val="16"/>
                        </w:rPr>
                      </m:r>
                    </m:sub>
                  </m:sSub>
                </m:e>
              </m:nary>
              <m:d>
                <m:dPr>
                  <m:begChr m:val="("/>
                  <m:endChr m:val=")"/>
                  <m:sepChr m:val=""/>
                  <m:grow/>
                </m:dPr>
                <m:e>
                  <m:r>
                    <m:t>A</m:t>
                    <w:rPr>
                      <w:sz w:val="16"/>
                    </w:rPr>
                  </m:r>
                </m:e>
              </m:d>
              <m:sSub>
                <m:e>
                  <m:r>
                    <m:t>m</m:t>
                    <w:rPr>
                      <w:sz w:val="16"/>
                    </w:rPr>
                  </m:r>
                </m:e>
                <m:sub>
                  <m:r>
                    <m:t>2</m:t>
                    <w:rPr>
                      <w:sz w:val="16"/>
                    </w:rPr>
                  </m:r>
                </m:sub>
              </m:sSub>
              <m:d>
                <m:dPr>
                  <m:begChr m:val="("/>
                  <m:endChr m:val=")"/>
                  <m:sepChr m:val=""/>
                  <m:grow/>
                </m:dPr>
                <m:e>
                  <m:r>
                    <m:t>B</m:t>
                    <w:rPr>
                      <w:sz w:val="16"/>
                    </w:rPr>
                  </m:r>
                </m:e>
              </m:d>
            </m:num>
            <m:den>
              <m:r>
                <m:t>1</m:t>
                <w:rPr>
                  <w:sz w:val="16"/>
                </w:rPr>
              </m:r>
              <m:r>
                <m:rPr>
                  <m:sty m:val="p"/>
                </m:rPr>
                <m:t>−</m:t>
                <w:rPr>
                  <w:sz w:val="16"/>
                </w:rPr>
              </m:r>
              <m:r>
                <m:t>K</m:t>
                <w:rPr>
                  <w:sz w:val="16"/>
                </w:rPr>
              </m:r>
            </m:den>
          </m:f>
          <m:r>
            <m:rPr>
              <m:sty m:val="p"/>
            </m:rPr>
            <m:t>,</m:t>
            <w:rPr>
              <w:sz w:val="16"/>
            </w:rPr>
          </m:r>
          <m:r>
            <m:t> </m:t>
            <w:rPr>
              <w:sz w:val="16"/>
            </w:rPr>
          </m:r>
          <m:r>
            <m:t>C</m:t>
            <w:rPr>
              <w:sz w:val="16"/>
            </w:rPr>
          </m:r>
          <m:r>
            <m:rPr>
              <m:sty m:val="p"/>
            </m:rPr>
            <m:t>≠</m:t>
            <w:rPr>
              <w:sz w:val="16"/>
            </w:rPr>
          </m:r>
          <m:r>
            <m:rPr>
              <m:sty m:val="p"/>
            </m:rPr>
            <m:t>⌀</m:t>
            <w:rPr>
              <w:sz w:val="16"/>
            </w:rPr>
          </m:r>
          <m:r>
            <m:rPr>
              <m:sty m:val="p"/>
            </m:rPr>
            <m:t>.</m:t>
            <w:rPr>
              <w:sz w:val="16"/>
            </w:rPr>
          </m:r>
          <m:r>
            <m:t>  </m:t>
            <w:rPr>
              <w:sz w:val="16"/>
            </w:rPr>
          </m:r>
          <m:d>
            <m:dPr>
              <m:begChr m:val="("/>
              <m:endChr m:val=")"/>
              <m:sepChr m:val=""/>
              <m:grow/>
            </m:dPr>
            <m:e>
              <m:r>
                <m:t>9</m:t>
                <w:rPr>
                  <w:sz w:val="16"/>
                </w:rPr>
              </m:r>
            </m:e>
          </m:d>
        </m:oMath>
      </m:oMathPara>
    </w:p>
    <w:p xmlns:m="http://schemas.openxmlformats.org/officeDocument/2006/math">
      <w:pPr>
        <w:pStyle w:val="Normal"/>
      </w:pPr>
      <w:r>
        <w:t xml:space="preserve">采用该规则的前提是证据源具有适当独立性，且</w:t>
      </w:r>
      <w:r>
        <w:t xml:space="preserve"> </w:t>
      </w:r>
      <m:oMath>
        <m:r>
          <m:t>K</m:t>
        </m:r>
        <m:r>
          <m:rPr>
            <m:sty m:val="p"/>
          </m:rPr>
          <m:t>&lt;</m:t>
        </m:r>
        <m:r>
          <m:t>1</m:t>
        </m:r>
      </m:oMath>
      <w:r>
        <w:t xml:space="preserve">。当</w:t>
      </w:r>
      <w:r>
        <w:t xml:space="preserve"> </w:t>
      </w:r>
      <m:oMath>
        <m:r>
          <m:t>K</m:t>
        </m:r>
      </m:oMath>
      <w:r>
        <w:t xml:space="preserve"> </w:t>
      </w:r>
      <w:r>
        <w:t xml:space="preserve">接近1时，归一化可能把少量剩余质量放大成看似确定的判断。安全的实现应先设冲突门限，把高冲突状态标为不确定并重采样，而非强行融合。门限和概率分配须由标定数据确定，不能直接由未经校准的评分代替概率。</w:t>
      </w:r>
    </w:p>
    <w:p xmlns:m="http://schemas.openxmlformats.org/officeDocument/2006/math">
      <w:pPr>
        <w:pStyle w:val="Normal"/>
      </w:pPr>
      <w:r>
        <w:t xml:space="preserve">假设可信度聚合得到</w:t>
      </w:r>
      <w:r>
        <w:t xml:space="preserve"> </w:t>
      </w:r>
      <m:oMath>
        <m:sSub>
          <m:e>
            <m:r>
              <m:t>q</m:t>
            </m:r>
          </m:e>
          <m:sub>
            <m:r>
              <m:t>j</m:t>
            </m:r>
          </m:sub>
        </m:sSub>
      </m:oMath>
      <w:r>
        <w:t xml:space="preserve">，选出</w:t>
      </w:r>
      <w:r>
        <w:t xml:space="preserve"> </w:t>
      </w:r>
      <m:oMath>
        <m:sSub>
          <m:e>
            <m:r>
              <m:t>q</m:t>
            </m:r>
          </m:e>
          <m:sub>
            <m:r>
              <m:t>j</m:t>
            </m:r>
          </m:sub>
        </m:sSub>
        <m:r>
          <m:rPr>
            <m:sty m:val="p"/>
          </m:rPr>
          <m:t>≥</m:t>
        </m:r>
        <m:r>
          <m:t>τ</m:t>
        </m:r>
      </m:oMath>
      <w:r>
        <w:t xml:space="preserve"> </w:t>
      </w:r>
      <w:r>
        <w:t xml:space="preserve">的邻居后，可按质量和相似性共同加权，再用参考位置残差校正：</w:t>
      </w:r>
    </w:p>
    <w:p xmlns:m="http://schemas.openxmlformats.org/officeDocument/2006/math">
      <w:pPr>
        <w:pStyle w:val="Normal"/>
        <w:spacing w:lineRule="atLeast" w:line="360" w:before="60" w:after="100"/>
        <w:ind w:firstLine="0"/>
        <w:jc w:val="center"/>
      </w:pPr>
      <m:oMathPara>
        <m:oMathParaPr>
          <m:jc m:val="center"/>
        </m:oMathParaPr>
        <m:oMath>
          <m:sSub>
            <m:e>
              <m:acc>
                <m:accPr>
                  <m:chr m:val="̃"/>
                </m:accPr>
                <m:e>
                  <m:r>
                    <m:t>w</m:t>
                    <w:rPr>
                      <w:sz w:val="16"/>
                    </w:rPr>
                  </m:r>
                </m:e>
              </m:acc>
            </m:e>
            <m:sub>
              <m:r>
                <m:t>j</m:t>
                <w:rPr>
                  <w:sz w:val="16"/>
                </w:rPr>
              </m:r>
            </m:sub>
          </m:sSub>
          <m:r>
            <m:rPr>
              <m:sty m:val="p"/>
            </m:rPr>
            <m:t>=</m:t>
            <w:rPr>
              <w:sz w:val="16"/>
            </w:rPr>
          </m:r>
          <m:f>
            <m:fPr>
              <m:type m:val="bar"/>
            </m:fPr>
            <m:num>
              <m:sSub>
                <m:e>
                  <m:r>
                    <m:t>q</m:t>
                    <w:rPr>
                      <w:sz w:val="16"/>
                    </w:rPr>
                  </m:r>
                </m:e>
                <m:sub>
                  <m:r>
                    <m:t>j</m:t>
                    <w:rPr>
                      <w:sz w:val="16"/>
                    </w:rPr>
                  </m:r>
                </m:sub>
              </m:sSub>
              <m:r>
                <m:rPr>
                  <m:sty m:val="p"/>
                </m:rPr>
                <m:t>/</m:t>
                <w:rPr>
                  <w:sz w:val="16"/>
                </w:rPr>
              </m:r>
              <m:d>
                <m:dPr>
                  <m:begChr m:val="("/>
                  <m:endChr m:val=")"/>
                  <m:sepChr m:val=""/>
                  <m:grow/>
                </m:dPr>
                <m:e>
                  <m:sSubSup>
                    <m:e>
                      <m:r>
                        <m:t>E</m:t>
                        <w:rPr>
                          <w:sz w:val="16"/>
                        </w:rPr>
                      </m:r>
                    </m:e>
                    <m:sub>
                      <m:r>
                        <m:t>j</m:t>
                        <w:rPr>
                          <w:sz w:val="16"/>
                        </w:rPr>
                      </m:r>
                    </m:sub>
                    <m:sup>
                      <m:r>
                        <m:t>2</m:t>
                        <w:rPr>
                          <w:sz w:val="16"/>
                        </w:rPr>
                      </m:r>
                    </m:sup>
                  </m:sSubSup>
                  <m:r>
                    <m:rPr>
                      <m:sty m:val="p"/>
                    </m:rPr>
                    <m:t>+</m:t>
                    <w:rPr>
                      <w:sz w:val="16"/>
                    </w:rPr>
                  </m:r>
                  <m:r>
                    <m:t>ε</m:t>
                    <w:rPr>
                      <w:sz w:val="16"/>
                    </w:rPr>
                  </m:r>
                </m:e>
              </m:d>
            </m:num>
            <m:den>
              <m:nary>
                <m:naryPr>
                  <m:chr m:val="∑"/>
                  <m:limLoc m:val="undOvr"/>
                  <m:subHide m:val="off"/>
                  <m:supHide m:val="on"/>
                </m:naryPr>
                <m:sub>
                  <m:r>
                    <m:t>h</m:t>
                    <w:rPr>
                      <w:sz w:val="16"/>
                    </w:rPr>
                  </m:r>
                  <m:r>
                    <m:rPr>
                      <m:sty m:val="p"/>
                    </m:rPr>
                    <m:t>∈</m:t>
                    <w:rPr>
                      <w:sz w:val="16"/>
                    </w:rPr>
                  </m:r>
                  <m:r>
                    <m:rPr>
                      <m:sty m:val="p"/>
                      <m:scr m:val="script"/>
                    </m:rPr>
                    <m:t>N</m:t>
                    <w:rPr>
                      <w:sz w:val="16"/>
                    </w:rPr>
                  </m:r>
                </m:sub>
                <m:sup>
                  <m:r>
                    <m:t>​</m:t>
                    <w:rPr>
                      <w:sz w:val="16"/>
                    </w:rPr>
                  </m:r>
                </m:sup>
                <m:e>
                  <m:sSub>
                    <m:e>
                      <m:r>
                        <m:t>q</m:t>
                        <w:rPr>
                          <w:sz w:val="16"/>
                        </w:rPr>
                      </m:r>
                    </m:e>
                    <m:sub>
                      <m:r>
                        <m:t>h</m:t>
                        <w:rPr>
                          <w:sz w:val="16"/>
                        </w:rPr>
                      </m:r>
                    </m:sub>
                  </m:sSub>
                </m:e>
              </m:nary>
              <m:r>
                <m:rPr>
                  <m:sty m:val="p"/>
                </m:rPr>
                <m:t>/</m:t>
                <w:rPr>
                  <w:sz w:val="16"/>
                </w:rPr>
              </m:r>
              <m:d>
                <m:dPr>
                  <m:begChr m:val="("/>
                  <m:endChr m:val=")"/>
                  <m:sepChr m:val=""/>
                  <m:grow/>
                </m:dPr>
                <m:e>
                  <m:sSubSup>
                    <m:e>
                      <m:r>
                        <m:t>E</m:t>
                        <w:rPr>
                          <w:sz w:val="16"/>
                        </w:rPr>
                      </m:r>
                    </m:e>
                    <m:sub>
                      <m:r>
                        <m:t>h</m:t>
                        <w:rPr>
                          <w:sz w:val="16"/>
                        </w:rPr>
                      </m:r>
                    </m:sub>
                    <m:sup>
                      <m:r>
                        <m:t>2</m:t>
                        <w:rPr>
                          <w:sz w:val="16"/>
                        </w:rPr>
                      </m:r>
                    </m:sup>
                  </m:sSubSup>
                  <m:r>
                    <m:rPr>
                      <m:sty m:val="p"/>
                    </m:rPr>
                    <m:t>+</m:t>
                    <w:rPr>
                      <w:sz w:val="16"/>
                    </w:rPr>
                  </m:r>
                  <m:r>
                    <m:t>ε</m:t>
                    <w:rPr>
                      <w:sz w:val="16"/>
                    </w:rPr>
                  </m:r>
                </m:e>
              </m:d>
            </m:den>
          </m:f>
          <m:r>
            <m:rPr>
              <m:sty m:val="p"/>
            </m:rPr>
            <m:t>,</m:t>
            <w:rPr>
              <w:sz w:val="16"/>
            </w:rPr>
          </m:r>
          <m:r>
            <m:t>  </m:t>
            <w:rPr>
              <w:sz w:val="16"/>
            </w:rPr>
          </m:r>
          <m:d>
            <m:dPr>
              <m:begChr m:val="("/>
              <m:endChr m:val=")"/>
              <m:sepChr m:val=""/>
              <m:grow/>
            </m:dPr>
            <m:e>
              <m:r>
                <m:t>10</m:t>
                <w:rPr>
                  <w:sz w:val="16"/>
                </w:rPr>
              </m:r>
            </m:e>
          </m:d>
        </m:oMath>
      </m:oMathPara>
    </w:p>
    <w:p xmlns:m="http://schemas.openxmlformats.org/officeDocument/2006/math">
      <w:pPr>
        <w:pStyle w:val="Normal"/>
        <w:spacing w:lineRule="atLeast" w:line="360" w:before="60" w:after="100"/>
        <w:ind w:firstLine="0"/>
        <w:jc w:val="center"/>
      </w:pPr>
      <m:oMathPara>
        <m:oMathParaPr>
          <m:jc m:val="center"/>
        </m:oMathParaPr>
        <m:oMath>
          <m:sSub>
            <m:e>
              <m:acc>
                <m:accPr>
                  <m:chr m:val="̂"/>
                </m:accPr>
                <m:e>
                  <m:r>
                    <m:rPr>
                      <m:sty m:val="b"/>
                    </m:rPr>
                    <m:t>p</m:t>
                    <w:rPr>
                      <w:sz w:val="16"/>
                    </w:rPr>
                  </m:r>
                </m:e>
              </m:acc>
            </m:e>
            <m:sub>
              <m:r>
                <m:t>c</m:t>
                <w:rPr>
                  <w:sz w:val="16"/>
                </w:rPr>
              </m:r>
            </m:sub>
          </m:sSub>
          <m:r>
            <m:rPr>
              <m:sty m:val="p"/>
            </m:rPr>
            <m:t>=</m:t>
            <w:rPr>
              <w:sz w:val="16"/>
            </w:rPr>
          </m:r>
          <m:nary>
            <m:naryPr>
              <m:chr m:val="∑"/>
              <m:limLoc m:val="undOvr"/>
              <m:subHide m:val="off"/>
              <m:supHide m:val="on"/>
            </m:naryPr>
            <m:sub>
              <m:r>
                <m:t>j</m:t>
                <w:rPr>
                  <w:sz w:val="16"/>
                </w:rPr>
              </m:r>
              <m:r>
                <m:rPr>
                  <m:sty m:val="p"/>
                </m:rPr>
                <m:t>∈</m:t>
                <w:rPr>
                  <w:sz w:val="16"/>
                </w:rPr>
              </m:r>
              <m:r>
                <m:rPr>
                  <m:sty m:val="p"/>
                  <m:scr m:val="script"/>
                </m:rPr>
                <m:t>N</m:t>
                <w:rPr>
                  <w:sz w:val="16"/>
                </w:rPr>
              </m:r>
            </m:sub>
            <m:sup>
              <m:r>
                <m:t>​</m:t>
                <w:rPr>
                  <w:sz w:val="16"/>
                </w:rPr>
              </m:r>
            </m:sup>
            <m:e>
              <m:sSub>
                <m:e>
                  <m:acc>
                    <m:accPr>
                      <m:chr m:val="̃"/>
                    </m:accPr>
                    <m:e>
                      <m:r>
                        <m:t>w</m:t>
                        <w:rPr>
                          <w:sz w:val="16"/>
                        </w:rPr>
                      </m:r>
                    </m:e>
                  </m:acc>
                </m:e>
                <m:sub>
                  <m:r>
                    <m:t>j</m:t>
                    <w:rPr>
                      <w:sz w:val="16"/>
                    </w:rPr>
                  </m:r>
                </m:sub>
              </m:sSub>
            </m:e>
          </m:nary>
          <m:d>
            <m:dPr>
              <m:begChr m:val="("/>
              <m:endChr m:val=")"/>
              <m:sepChr m:val=""/>
              <m:grow/>
            </m:dPr>
            <m:e>
              <m:sSub>
                <m:e>
                  <m:r>
                    <m:rPr>
                      <m:sty m:val="b"/>
                    </m:rPr>
                    <m:t>r</m:t>
                    <w:rPr>
                      <w:sz w:val="16"/>
                    </w:rPr>
                  </m:r>
                </m:e>
                <m:sub>
                  <m:r>
                    <m:t>j</m:t>
                    <w:rPr>
                      <w:sz w:val="16"/>
                    </w:rPr>
                  </m:r>
                </m:sub>
              </m:sSub>
              <m:r>
                <m:rPr>
                  <m:sty m:val="p"/>
                </m:rPr>
                <m:t>−</m:t>
                <w:rPr>
                  <w:sz w:val="16"/>
                </w:rPr>
              </m:r>
              <m:sSub>
                <m:e>
                  <m:r>
                    <m:rPr>
                      <m:sty m:val="b"/>
                    </m:rPr>
                    <m:t>b</m:t>
                    <w:rPr>
                      <w:sz w:val="16"/>
                    </w:rPr>
                  </m:r>
                </m:e>
                <m:sub>
                  <m:r>
                    <m:t>j</m:t>
                    <w:rPr>
                      <w:sz w:val="16"/>
                    </w:rPr>
                  </m:r>
                </m:sub>
              </m:sSub>
            </m:e>
          </m:d>
          <m:r>
            <m:rPr>
              <m:sty m:val="p"/>
            </m:rPr>
            <m:t>.</m:t>
            <w:rPr>
              <w:sz w:val="16"/>
            </w:rPr>
          </m:r>
          <m:r>
            <m:t>  </m:t>
            <w:rPr>
              <w:sz w:val="16"/>
            </w:rPr>
          </m:r>
          <m:d>
            <m:dPr>
              <m:begChr m:val="("/>
              <m:endChr m:val=")"/>
              <m:sepChr m:val=""/>
              <m:grow/>
            </m:dPr>
            <m:e>
              <m:r>
                <m:t>11</m:t>
                <w:rPr>
                  <w:sz w:val="16"/>
                </w:rPr>
              </m:r>
            </m:e>
          </m:d>
        </m:oMath>
      </m:oMathPara>
    </w:p>
    <w:p>
      <w:pPr>
        <w:pStyle w:val="Normal"/>
      </w:pPr>
      <w:r>
        <w:t xml:space="preserve">式(7)至式(11)是本文对质量控制与校正思路的形式化说明，不是推荐论文B的公式复述。校正成立须假设参考标签残差可代表目标附近的局部偏差；障碍物两侧或附着材质不一致时，这种迁移可能失效。残差应在独立或滞后的标定窗口计算，防止当前估计与校正量互相强化。</w:t>
      </w:r>
    </w:p>
    <w:p>
      <w:pPr>
        <w:pStyle w:val="Normal"/>
      </w:pPr>
      <w:r>
        <w:t xml:space="preserve">质量控制可归纳为服务器上的“采集—检查—筛选—估计—反馈”交互规则。与普通LANDMARC相比，它关注的是哪些观测值得进入估计，而不是仅改变距离函数。代价包括额外计算、被剔除标签导致的覆盖损失，以及重新盘存引入的时间延迟。设计必须输出有效邻居数、剔除原因和失败状态，避免只报告成功样本误差。</w:t>
      </w:r>
    </w:p>
    <w:p>
      <w:pPr>
        <w:pStyle w:val="Heading2"/>
      </w:pPr>
      <w:r>
        <w:t xml:space="preserve">3.4　SVR-LANDMARC：从近邻插值到学习映射</w:t>
      </w:r>
    </w:p>
    <w:p>
      <w:pPr>
        <w:pStyle w:val="Normal"/>
      </w:pPr>
      <w:r>
        <w:t xml:space="preserve">文献[2]把Gaussian-Kalman预处理与支持向量回归（support vector regression，SVR）结合。输入为参考位置及RSSI样本，先筛去低概率异常观测，再平滑剩余序列；分别训练两个坐标回归器，预测目标位置。相较近邻质心，SVR把参考样本转化为可复用的映射模型，可刻画信号与位置的非线性关系。</w:t>
      </w:r>
    </w:p>
    <w:p xmlns:m="http://schemas.openxmlformats.org/officeDocument/2006/math">
      <w:pPr>
        <w:pStyle w:val="Normal"/>
      </w:pPr>
      <w:r>
        <w:t xml:space="preserve">为便于复现，用标准</w:t>
      </w:r>
      <w:r>
        <w:t xml:space="preserve"> </w:t>
      </w:r>
      <m:oMath>
        <m:r>
          <m:t>ϵ</m:t>
        </m:r>
      </m:oMath>
      <w:r>
        <w:t xml:space="preserve"> </w:t>
      </w:r>
      <w:r>
        <w:t xml:space="preserve">不敏感损失统一表达一个坐标轴的训练目标：</w:t>
      </w:r>
    </w:p>
    <w:p xmlns:m="http://schemas.openxmlformats.org/officeDocument/2006/math">
      <w:pPr>
        <w:pStyle w:val="Normal"/>
        <w:spacing w:lineRule="atLeast" w:line="360" w:before="60" w:after="100"/>
        <w:ind w:firstLine="0"/>
        <w:jc w:val="center"/>
      </w:pPr>
      <m:oMathPara>
        <m:oMathParaPr>
          <m:jc m:val="center"/>
        </m:oMathParaPr>
        <m:oMath>
          <m:limLow>
            <m:e>
              <m:r>
                <m:rPr>
                  <m:sty m:val="p"/>
                </m:rPr>
                <m:t>min</m:t>
                <w:rPr>
                  <w:sz w:val="16"/>
                </w:rPr>
              </m:r>
            </m:e>
            <m:lim>
              <m:r>
                <m:rPr>
                  <m:sty m:val="b"/>
                </m:rPr>
                <m:t>u</m:t>
                <w:rPr>
                  <w:sz w:val="16"/>
                </w:rPr>
              </m:r>
              <m:r>
                <m:rPr>
                  <m:sty m:val="p"/>
                </m:rPr>
                <m:t>,</m:t>
                <w:rPr>
                  <w:sz w:val="16"/>
                </w:rPr>
              </m:r>
              <m:r>
                <m:t>b</m:t>
                <w:rPr>
                  <w:sz w:val="16"/>
                </w:rPr>
              </m:r>
            </m:lim>
          </m:limLow>
          <m:f>
            <m:fPr>
              <m:type m:val="bar"/>
            </m:fPr>
            <m:num>
              <m:r>
                <m:t>1</m:t>
                <w:rPr>
                  <w:sz w:val="16"/>
                </w:rPr>
              </m:r>
            </m:num>
            <m:den>
              <m:r>
                <m:t>2</m:t>
                <w:rPr>
                  <w:sz w:val="16"/>
                </w:rPr>
              </m:r>
            </m:den>
          </m:f>
          <m:r>
            <m:rPr>
              <m:sty m:val="p"/>
            </m:rPr>
            <m:t>∥</m:t>
            <w:rPr>
              <w:sz w:val="16"/>
            </w:rPr>
          </m:r>
          <m:r>
            <m:rPr>
              <m:sty m:val="b"/>
            </m:rPr>
            <m:t>u</m:t>
            <w:rPr>
              <w:sz w:val="16"/>
            </w:rPr>
          </m:r>
          <m:sSup>
            <m:e>
              <m:r>
                <m:rPr>
                  <m:sty m:val="p"/>
                </m:rPr>
                <m:t>∥</m:t>
                <w:rPr>
                  <w:sz w:val="16"/>
                </w:rPr>
              </m:r>
            </m:e>
            <m:sup>
              <m:r>
                <m:t>2</m:t>
                <w:rPr>
                  <w:sz w:val="16"/>
                </w:rPr>
              </m:r>
            </m:sup>
          </m:sSup>
          <m:r>
            <m:rPr>
              <m:sty m:val="p"/>
            </m:rPr>
            <m:t>+</m:t>
            <w:rPr>
              <w:sz w:val="16"/>
            </w:rPr>
          </m:r>
          <m:r>
            <m:t>C</m:t>
            <w:rPr>
              <w:sz w:val="16"/>
            </w:rPr>
          </m:r>
          <m:nary>
            <m:naryPr>
              <m:chr m:val="∑"/>
              <m:limLoc m:val="undOvr"/>
              <m:subHide m:val="off"/>
              <m:supHide m:val="off"/>
            </m:naryPr>
            <m:sub>
              <m:r>
                <m:t>t</m:t>
                <w:rPr>
                  <w:sz w:val="16"/>
                </w:rPr>
              </m:r>
              <m:r>
                <m:rPr>
                  <m:sty m:val="p"/>
                </m:rPr>
                <m:t>=</m:t>
                <w:rPr>
                  <w:sz w:val="16"/>
                </w:rPr>
              </m:r>
              <m:r>
                <m:t>1</m:t>
                <w:rPr>
                  <w:sz w:val="16"/>
                </w:rPr>
              </m:r>
            </m:sub>
            <m:sup>
              <m:r>
                <m:t>H</m:t>
                <w:rPr>
                  <w:sz w:val="16"/>
                </w:rPr>
              </m:r>
            </m:sup>
            <m:e>
              <m:sSub>
                <m:e>
                  <m:r>
                    <m:rPr>
                      <m:sty m:val="p"/>
                    </m:rPr>
                    <m:t>ℓ</m:t>
                    <w:rPr>
                      <w:sz w:val="16"/>
                    </w:rPr>
                  </m:r>
                </m:e>
                <m:sub>
                  <m:r>
                    <m:t>ϵ</m:t>
                    <w:rPr>
                      <w:sz w:val="16"/>
                    </w:rPr>
                  </m:r>
                </m:sub>
              </m:sSub>
            </m:e>
          </m:nary>
          <m:d>
            <m:dPr>
              <m:begChr m:val="("/>
              <m:endChr m:val=")"/>
              <m:sepChr m:val=""/>
              <m:grow/>
            </m:dPr>
            <m:e>
              <m:r>
                <m:t>f</m:t>
                <w:rPr>
                  <w:sz w:val="16"/>
                </w:rPr>
              </m:r>
              <m:d>
                <m:dPr>
                  <m:begChr m:val="("/>
                  <m:endChr m:val=")"/>
                  <m:sepChr m:val=""/>
                  <m:grow/>
                </m:dPr>
                <m:e>
                  <m:sSub>
                    <m:e>
                      <m:r>
                        <m:rPr>
                          <m:sty m:val="b"/>
                        </m:rPr>
                        <m:t>s</m:t>
                        <w:rPr>
                          <w:sz w:val="16"/>
                        </w:rPr>
                      </m:r>
                    </m:e>
                    <m:sub>
                      <m:r>
                        <m:t>t</m:t>
                        <w:rPr>
                          <w:sz w:val="16"/>
                        </w:rPr>
                      </m:r>
                    </m:sub>
                  </m:sSub>
                </m:e>
              </m:d>
              <m:r>
                <m:rPr>
                  <m:sty m:val="p"/>
                </m:rPr>
                <m:t>−</m:t>
                <w:rPr>
                  <w:sz w:val="16"/>
                </w:rPr>
              </m:r>
              <m:sSub>
                <m:e>
                  <m:r>
                    <m:t>y</m:t>
                    <w:rPr>
                      <w:sz w:val="16"/>
                    </w:rPr>
                  </m:r>
                </m:e>
                <m:sub>
                  <m:r>
                    <m:t>t</m:t>
                    <w:rPr>
                      <w:sz w:val="16"/>
                    </w:rPr>
                  </m:r>
                </m:sub>
              </m:sSub>
            </m:e>
          </m:d>
          <m:r>
            <m:rPr>
              <m:sty m:val="p"/>
            </m:rPr>
            <m:t>.</m:t>
            <w:rPr>
              <w:sz w:val="16"/>
            </w:rPr>
          </m:r>
          <m:r>
            <m:t>  </m:t>
            <w:rPr>
              <w:sz w:val="16"/>
            </w:rPr>
          </m:r>
          <m:d>
            <m:dPr>
              <m:begChr m:val="("/>
              <m:endChr m:val=")"/>
              <m:sepChr m:val=""/>
              <m:grow/>
            </m:dPr>
            <m:e>
              <m:r>
                <m:t>12</m:t>
                <w:rPr>
                  <w:sz w:val="16"/>
                </w:rPr>
              </m:r>
            </m:e>
          </m:d>
        </m:oMath>
      </m:oMathPara>
    </w:p>
    <w:p xmlns:m="http://schemas.openxmlformats.org/officeDocument/2006/math">
      <w:pPr>
        <w:pStyle w:val="Normal"/>
      </w:pPr>
      <w:r>
        <w:t xml:space="preserve">其中</w:t>
      </w:r>
      <w:r>
        <w:t xml:space="preserve"> </w:t>
      </w:r>
      <m:oMath>
        <m:sSub>
          <m:e>
            <m:r>
              <m:rPr>
                <m:sty m:val="p"/>
              </m:rPr>
              <m:t>ℓ</m:t>
            </m:r>
          </m:e>
          <m:sub>
            <m:r>
              <m:t>ϵ</m:t>
            </m:r>
          </m:sub>
        </m:sSub>
        <m:d>
          <m:dPr>
            <m:begChr m:val="("/>
            <m:endChr m:val=")"/>
            <m:sepChr m:val=""/>
            <m:grow/>
          </m:dPr>
          <m:e>
            <m:r>
              <m:t>z</m:t>
            </m:r>
          </m:e>
        </m:d>
        <m:r>
          <m:rPr>
            <m:sty m:val="p"/>
          </m:rPr>
          <m:t>=</m:t>
        </m:r>
        <m:r>
          <m:rPr>
            <m:sty m:val="p"/>
          </m:rPr>
          <m:t>max</m:t>
        </m:r>
        <m:d>
          <m:dPr>
            <m:begChr m:val="("/>
            <m:endChr m:val=")"/>
            <m:sepChr m:val=""/>
            <m:grow/>
          </m:dPr>
          <m:e>
            <m:r>
              <m:t>0</m:t>
            </m:r>
            <m:r>
              <m:rPr>
                <m:sty m:val="p"/>
              </m:rPr>
              <m:t>,</m:t>
            </m:r>
            <m:d>
              <m:dPr>
                <m:begChr m:val="|"/>
                <m:endChr m:val="|"/>
                <m:sepChr m:val=""/>
                <m:grow/>
              </m:dPr>
              <m:e>
                <m:r>
                  <m:t>z</m:t>
                </m:r>
              </m:e>
            </m:d>
            <m:r>
              <m:rPr>
                <m:sty m:val="p"/>
              </m:rPr>
              <m:t>−</m:t>
            </m:r>
            <m:r>
              <m:t>ϵ</m:t>
            </m:r>
          </m:e>
        </m:d>
      </m:oMath>
      <w:r>
        <w:t xml:space="preserve">，</w:t>
      </w:r>
      <m:oMath>
        <m:r>
          <m:t>f</m:t>
        </m:r>
        <m:d>
          <m:dPr>
            <m:begChr m:val="("/>
            <m:endChr m:val=")"/>
            <m:sepChr m:val=""/>
            <m:grow/>
          </m:dPr>
          <m:e>
            <m:r>
              <m:rPr>
                <m:sty m:val="b"/>
              </m:rPr>
              <m:t>s</m:t>
            </m:r>
          </m:e>
        </m:d>
        <m:r>
          <m:rPr>
            <m:sty m:val="p"/>
          </m:rPr>
          <m:t>=</m:t>
        </m:r>
        <m:sSup>
          <m:e>
            <m:r>
              <m:rPr>
                <m:sty m:val="b"/>
              </m:rPr>
              <m:t>u</m:t>
            </m:r>
          </m:e>
          <m:sup>
            <m:r>
              <m:rPr>
                <m:sty m:val="p"/>
              </m:rPr>
              <m:t>T</m:t>
            </m:r>
          </m:sup>
        </m:sSup>
        <m:r>
          <m:t>ψ</m:t>
        </m:r>
        <m:d>
          <m:dPr>
            <m:begChr m:val="("/>
            <m:endChr m:val=")"/>
            <m:sepChr m:val=""/>
            <m:grow/>
          </m:dPr>
          <m:e>
            <m:r>
              <m:rPr>
                <m:sty m:val="b"/>
              </m:rPr>
              <m:t>s</m:t>
            </m:r>
          </m:e>
        </m:d>
        <m:r>
          <m:rPr>
            <m:sty m:val="p"/>
          </m:rPr>
          <m:t>+</m:t>
        </m:r>
        <m:r>
          <m:t>b</m:t>
        </m:r>
      </m:oMath>
      <w:r>
        <w:t xml:space="preserve">，</w:t>
      </w:r>
      <m:oMath>
        <m:r>
          <m:t>ψ</m:t>
        </m:r>
      </m:oMath>
      <w:r>
        <w:t xml:space="preserve"> </w:t>
      </w:r>
      <w:r>
        <w:t xml:space="preserve">为特征映射，</w:t>
      </w:r>
      <m:oMath>
        <m:r>
          <m:t>H</m:t>
        </m:r>
      </m:oMath>
      <w:r>
        <w:t xml:space="preserve"> </w:t>
      </w:r>
      <w:r>
        <w:t xml:space="preserve">为训练样本数，</w:t>
      </w:r>
      <m:oMath>
        <m:sSub>
          <m:e>
            <m:r>
              <m:t>y</m:t>
            </m:r>
          </m:e>
          <m:sub>
            <m:r>
              <m:t>t</m:t>
            </m:r>
          </m:sub>
        </m:sSub>
      </m:oMath>
      <w:r>
        <w:t xml:space="preserve"> </w:t>
      </w:r>
      <w:r>
        <w:t xml:space="preserve">为该轴的坐标。</w:t>
      </w:r>
      <m:oMath>
        <m:r>
          <m:t>C</m:t>
        </m:r>
      </m:oMath>
      <w:r>
        <w:t xml:space="preserve"> </w:t>
      </w:r>
      <w:r>
        <w:t xml:space="preserve">控制拟合偏差与模型复杂度，</w:t>
      </w:r>
      <m:oMath>
        <m:r>
          <m:t>ϵ</m:t>
        </m:r>
      </m:oMath>
      <w:r>
        <w:t xml:space="preserve"> </w:t>
      </w:r>
      <w:r>
        <w:t xml:space="preserve">定义容忍区间。式(12)采用标准记号整理，不沿用网页转换中可能丢失的平方或下标；二维输出由两个模型共同形成。</w:t>
      </w:r>
    </w:p>
    <w:p>
      <w:pPr>
        <w:pStyle w:val="Normal"/>
      </w:pPr>
      <w:r>
        <w:t xml:space="preserve">过滤异常值与估计异常标签解决的问题不同：前者处理一个时间序列中的采样异常，后者处理持续不可靠的参考点。Kalman滤波在状态和噪声假设适当时可降低波动，但平滑也可能滞后于目标快速移动。回归器则依赖训练分布，换房间、改变货架或附着材料后需要检验迁移能力。其推理开销与支持向量数量有关，训练开销不能省略。</w:t>
      </w:r>
    </w:p>
    <w:p>
      <w:pPr>
        <w:pStyle w:val="Normal"/>
      </w:pPr>
      <w:r>
        <w:t xml:space="preserve">文献[2]在3.6 m×3.6 m区域、约0.6 m参考间距和一读取器四天线配置中，表2报告LANDMARC的平面RMSE为35.532 cm，SVR-LANDMARC为20.243 cm，各方法进行100次实验。按同表计算，RMSE降幅约43.0%。这属于该实验的整体流程比较，不能把收益全部归因于SVR，因预处理也参与了改进；需要分别移除滤波和回归的消融才能辨识贡献。</w:t>
      </w:r>
    </w:p>
    <w:p>
      <w:pPr>
        <w:pStyle w:val="Heading2"/>
      </w:pPr>
      <w:r>
        <w:t xml:space="preserve">3.5　SAR与相位全息：跨孔径模型匹配</w:t>
      </w:r>
    </w:p>
    <w:p xmlns:m="http://schemas.openxmlformats.org/officeDocument/2006/math">
      <w:pPr>
        <w:pStyle w:val="Normal"/>
      </w:pPr>
      <w:r>
        <w:t xml:space="preserve">SAR定位以天线在不同位置采集的相位序列为输入，将已知运动转化为空间观测多样性。对候选位置</w:t>
      </w:r>
      <w:r>
        <w:t xml:space="preserve"> </w:t>
      </w:r>
      <m:oMath>
        <m:r>
          <m:rPr>
            <m:sty m:val="b"/>
          </m:rPr>
          <m:t>z</m:t>
        </m:r>
      </m:oMath>
      <w:r>
        <w:t xml:space="preserve">，按式(2)预测各孔径点的往返相位。若处于真实位置，观测与预测之间的剩余相位在孔径上较一致；处于错误位置时，剩余量随轨迹变化。常见相干匹配分数可写为</w:t>
      </w:r>
    </w:p>
    <w:p xmlns:m="http://schemas.openxmlformats.org/officeDocument/2006/math">
      <w:pPr>
        <w:pStyle w:val="Normal"/>
        <w:spacing w:lineRule="atLeast" w:line="360" w:before="60" w:after="100"/>
        <w:ind w:firstLine="0"/>
        <w:jc w:val="center"/>
      </w:pPr>
      <m:oMathPara>
        <m:oMathParaPr>
          <m:jc m:val="center"/>
        </m:oMathParaPr>
        <m:oMath>
          <m:r>
            <m:t>S</m:t>
            <w:rPr>
              <w:sz w:val="16"/>
            </w:rPr>
          </m:r>
          <m:d>
            <m:dPr>
              <m:begChr m:val="("/>
              <m:endChr m:val=")"/>
              <m:sepChr m:val=""/>
              <m:grow/>
            </m:dPr>
            <m:e>
              <m:r>
                <m:rPr>
                  <m:sty m:val="b"/>
                </m:rPr>
                <m:t>z</m:t>
                <w:rPr>
                  <w:sz w:val="16"/>
                </w:rPr>
              </m:r>
            </m:e>
          </m:d>
          <m:r>
            <m:rPr>
              <m:sty m:val="p"/>
            </m:rPr>
            <m:t>=</m:t>
            <w:rPr>
              <w:sz w:val="16"/>
            </w:rPr>
          </m:r>
          <m:f>
            <m:fPr>
              <m:type m:val="bar"/>
            </m:fPr>
            <m:num>
              <m:d>
                <m:dPr>
                  <m:begChr m:val="|"/>
                  <m:endChr m:val="|"/>
                  <m:sepChr m:val=""/>
                  <m:grow/>
                </m:dPr>
                <m:e>
                  <m:nary>
                    <m:naryPr>
                      <m:chr m:val="∑"/>
                      <m:limLoc m:val="undOvr"/>
                      <m:subHide m:val="off"/>
                      <m:supHide m:val="off"/>
                    </m:naryPr>
                    <m:sub>
                      <m:r>
                        <m:rPr>
                          <m:sty m:val="p"/>
                        </m:rPr>
                        <m:t>ℓ</m:t>
                        <w:rPr>
                          <w:sz w:val="16"/>
                        </w:rPr>
                      </m:r>
                      <m:r>
                        <m:rPr>
                          <m:sty m:val="p"/>
                        </m:rPr>
                        <m:t>=</m:t>
                        <w:rPr>
                          <w:sz w:val="16"/>
                        </w:rPr>
                      </m:r>
                      <m:r>
                        <m:t>1</m:t>
                        <w:rPr>
                          <w:sz w:val="16"/>
                        </w:rPr>
                      </m:r>
                    </m:sub>
                    <m:sup>
                      <m:r>
                        <m:t>L</m:t>
                        <w:rPr>
                          <w:sz w:val="16"/>
                        </w:rPr>
                      </m:r>
                    </m:sup>
                    <m:e>
                      <m:sSub>
                        <m:e>
                          <m:r>
                            <m:t>α</m:t>
                            <w:rPr>
                              <w:sz w:val="16"/>
                            </w:rPr>
                          </m:r>
                        </m:e>
                        <m:sub>
                          <m:r>
                            <m:rPr>
                              <m:sty m:val="p"/>
                            </m:rPr>
                            <m:t>ℓ</m:t>
                            <w:rPr>
                              <w:sz w:val="16"/>
                            </w:rPr>
                          </m:r>
                        </m:sub>
                      </m:sSub>
                    </m:e>
                  </m:nary>
                  <m:sSup>
                    <m:e>
                      <m:r>
                        <m:t>e</m:t>
                        <w:rPr>
                          <w:sz w:val="16"/>
                        </w:rPr>
                      </m:r>
                    </m:e>
                    <m:sup>
                      <m:r>
                        <m:rPr>
                          <m:sty m:val="p"/>
                        </m:rPr>
                        <m:t>i</m:t>
                        <w:rPr>
                          <w:sz w:val="16"/>
                        </w:rPr>
                      </m:r>
                      <m:d>
                        <m:dPr>
                          <m:begChr m:val="["/>
                          <m:endChr m:val="]"/>
                          <m:sepChr m:val=""/>
                          <m:grow/>
                        </m:dPr>
                        <m:e>
                          <m:sSub>
                            <m:e>
                              <m:r>
                                <m:t>ϕ</m:t>
                                <w:rPr>
                                  <w:sz w:val="16"/>
                                </w:rPr>
                              </m:r>
                            </m:e>
                            <m:sub>
                              <m:r>
                                <m:rPr>
                                  <m:sty m:val="p"/>
                                </m:rPr>
                                <m:t>ℓ</m:t>
                                <w:rPr>
                                  <w:sz w:val="16"/>
                                </w:rPr>
                              </m:r>
                            </m:sub>
                          </m:sSub>
                          <m:r>
                            <m:rPr>
                              <m:sty m:val="p"/>
                            </m:rPr>
                            <m:t>−</m:t>
                            <w:rPr>
                              <w:sz w:val="16"/>
                            </w:rPr>
                          </m:r>
                          <m:r>
                            <m:t>4</m:t>
                            <w:rPr>
                              <w:sz w:val="16"/>
                            </w:rPr>
                          </m:r>
                          <m:r>
                            <m:t>π</m:t>
                            <w:rPr>
                              <w:sz w:val="16"/>
                            </w:rPr>
                          </m:r>
                          <m:r>
                            <m:rPr>
                              <m:sty m:val="p"/>
                            </m:rPr>
                            <m:t>∥</m:t>
                            <w:rPr>
                              <w:sz w:val="16"/>
                            </w:rPr>
                          </m:r>
                          <m:r>
                            <m:rPr>
                              <m:sty m:val="b"/>
                            </m:rPr>
                            <m:t>z</m:t>
                            <w:rPr>
                              <w:sz w:val="16"/>
                            </w:rPr>
                          </m:r>
                          <m:r>
                            <m:rPr>
                              <m:sty m:val="p"/>
                            </m:rPr>
                            <m:t>−</m:t>
                            <w:rPr>
                              <w:sz w:val="16"/>
                            </w:rPr>
                          </m:r>
                          <m:sSub>
                            <m:e>
                              <m:r>
                                <m:rPr>
                                  <m:sty m:val="b"/>
                                </m:rPr>
                                <m:t>a</m:t>
                                <w:rPr>
                                  <w:sz w:val="16"/>
                                </w:rPr>
                              </m:r>
                            </m:e>
                            <m:sub>
                              <m:r>
                                <m:rPr>
                                  <m:sty m:val="p"/>
                                </m:rPr>
                                <m:t>ℓ</m:t>
                                <w:rPr>
                                  <w:sz w:val="16"/>
                                </w:rPr>
                              </m:r>
                            </m:sub>
                          </m:sSub>
                          <m:r>
                            <m:rPr>
                              <m:sty m:val="p"/>
                            </m:rPr>
                            <m:t>∥</m:t>
                            <w:rPr>
                              <w:sz w:val="16"/>
                            </w:rPr>
                          </m:r>
                          <m:r>
                            <m:rPr>
                              <m:sty m:val="p"/>
                            </m:rPr>
                            <m:t>/</m:t>
                            <w:rPr>
                              <w:sz w:val="16"/>
                            </w:rPr>
                          </m:r>
                          <m:r>
                            <m:t>λ</m:t>
                            <w:rPr>
                              <w:sz w:val="16"/>
                            </w:rPr>
                          </m:r>
                        </m:e>
                      </m:d>
                    </m:sup>
                  </m:sSup>
                </m:e>
              </m:d>
            </m:num>
            <m:den>
              <m:nary>
                <m:naryPr>
                  <m:chr m:val="∑"/>
                  <m:limLoc m:val="undOvr"/>
                  <m:subHide m:val="off"/>
                  <m:supHide m:val="off"/>
                </m:naryPr>
                <m:sub>
                  <m:r>
                    <m:rPr>
                      <m:sty m:val="p"/>
                    </m:rPr>
                    <m:t>ℓ</m:t>
                    <w:rPr>
                      <w:sz w:val="16"/>
                    </w:rPr>
                  </m:r>
                  <m:r>
                    <m:rPr>
                      <m:sty m:val="p"/>
                    </m:rPr>
                    <m:t>=</m:t>
                    <w:rPr>
                      <w:sz w:val="16"/>
                    </w:rPr>
                  </m:r>
                  <m:r>
                    <m:t>1</m:t>
                    <w:rPr>
                      <w:sz w:val="16"/>
                    </w:rPr>
                  </m:r>
                </m:sub>
                <m:sup>
                  <m:r>
                    <m:t>L</m:t>
                    <w:rPr>
                      <w:sz w:val="16"/>
                    </w:rPr>
                  </m:r>
                </m:sup>
                <m:e>
                  <m:sSub>
                    <m:e>
                      <m:r>
                        <m:t>α</m:t>
                        <w:rPr>
                          <w:sz w:val="16"/>
                        </w:rPr>
                      </m:r>
                    </m:e>
                    <m:sub>
                      <m:r>
                        <m:rPr>
                          <m:sty m:val="p"/>
                        </m:rPr>
                        <m:t>ℓ</m:t>
                        <w:rPr>
                          <w:sz w:val="16"/>
                        </w:rPr>
                      </m:r>
                    </m:sub>
                  </m:sSub>
                </m:e>
              </m:nary>
            </m:den>
          </m:f>
          <m:r>
            <m:rPr>
              <m:sty m:val="p"/>
            </m:rPr>
            <m:t>.</m:t>
            <w:rPr>
              <w:sz w:val="16"/>
            </w:rPr>
          </m:r>
          <m:r>
            <m:t>  </m:t>
            <w:rPr>
              <w:sz w:val="16"/>
            </w:rPr>
          </m:r>
          <m:d>
            <m:dPr>
              <m:begChr m:val="("/>
              <m:endChr m:val=")"/>
              <m:sepChr m:val=""/>
              <m:grow/>
            </m:dPr>
            <m:e>
              <m:r>
                <m:t>13</m:t>
                <w:rPr>
                  <w:sz w:val="16"/>
                </w:rPr>
              </m:r>
            </m:e>
          </m:d>
        </m:oMath>
      </m:oMathPara>
    </w:p>
    <w:p xmlns:m="http://schemas.openxmlformats.org/officeDocument/2006/math">
      <w:pPr>
        <w:pStyle w:val="Normal"/>
      </w:pPr>
      <w:r>
        <w:t xml:space="preserve">其中</w:t>
      </w:r>
      <w:r>
        <w:t xml:space="preserve"> </w:t>
      </w:r>
      <m:oMath>
        <m:sSub>
          <m:e>
            <m:r>
              <m:t>α</m:t>
            </m:r>
          </m:e>
          <m:sub>
            <m:r>
              <m:rPr>
                <m:sty m:val="p"/>
              </m:rPr>
              <m:t>ℓ</m:t>
            </m:r>
          </m:sub>
        </m:sSub>
        <m:r>
          <m:rPr>
            <m:sty m:val="p"/>
          </m:rPr>
          <m:t>≥</m:t>
        </m:r>
        <m:r>
          <m:t>0</m:t>
        </m:r>
      </m:oMath>
      <w:r>
        <w:t xml:space="preserve"> </w:t>
      </w:r>
      <w:r>
        <w:t xml:space="preserve">为观测权重。用复指数可直接处理包裹相位，不必逐点展开；对于常量偏移，求模可消去其共同旋转。若频率、标签响应或射频链路随孔径改变，偏移不再固定，不能指望一次求模消除。输出可为最大分数位置，也可将网格分数图输入后续估计器。</w:t>
      </w:r>
    </w:p>
    <w:p>
      <w:pPr>
        <w:pStyle w:val="Normal"/>
      </w:pPr>
      <w:r>
        <w:t xml:space="preserve">所谓“概率全息图”常是对每个候选位置给出匹配分数的空间图像。式(13)没有规定测量噪声的概率分布，因此其数值通常不能直接解释为后验概率。将分数归一化为和为1，只得到离散权重，并不证明90%质量区域具有90%覆盖率。若需概率解释，应明示似然、先验及标定方式，或用独立测试数据校准置信区域。</w:t>
      </w:r>
    </w:p>
    <w:p>
      <w:pPr>
        <w:pStyle w:val="Normal"/>
      </w:pPr>
      <w:r>
        <w:t xml:space="preserve">两个孔径点相位差对应距离差约束，几何上形成双曲线族；多点共同匹配减少候选位置。但直线轨迹在几何上可出现镜像歧义：候选点关于轨迹对称时具有相同距离序列。限制标签位于天线一侧、使用非共线轨迹或引入额外高度约束，可改善可辨识性。增加扫描点数并不等于增加独立信息，短孔径和高度相关采样仍可能留下宽峰。</w:t>
      </w:r>
    </w:p>
    <w:p xmlns:m="http://schemas.openxmlformats.org/officeDocument/2006/math">
      <w:pPr>
        <w:pStyle w:val="Normal"/>
      </w:pPr>
      <w:r>
        <w:t xml:space="preserve">SAR计算对</w:t>
      </w:r>
      <w:r>
        <w:t xml:space="preserve"> </w:t>
      </w:r>
      <m:oMath>
        <m:r>
          <m:t>G</m:t>
        </m:r>
      </m:oMath>
      <w:r>
        <w:t xml:space="preserve"> </w:t>
      </w:r>
      <w:r>
        <w:t xml:space="preserve">个网格位置需要约</w:t>
      </w:r>
      <w:r>
        <w:t xml:space="preserve"> </w:t>
      </w:r>
      <m:oMath>
        <m:r>
          <m:t>O</m:t>
        </m:r>
        <m:d>
          <m:dPr>
            <m:begChr m:val="("/>
            <m:endChr m:val=")"/>
            <m:sepChr m:val=""/>
            <m:grow/>
          </m:dPr>
          <m:e>
            <m:r>
              <m:t>G</m:t>
            </m:r>
            <m:r>
              <m:t>L</m:t>
            </m:r>
          </m:e>
        </m:d>
      </m:oMath>
      <w:r>
        <w:t xml:space="preserve"> </w:t>
      </w:r>
      <w:r>
        <w:t xml:space="preserve">次单频匹配，多频为</w:t>
      </w:r>
      <w:r>
        <w:t xml:space="preserve"> </w:t>
      </w:r>
      <m:oMath>
        <m:r>
          <m:t>O</m:t>
        </m:r>
        <m:d>
          <m:dPr>
            <m:begChr m:val="("/>
            <m:endChr m:val=")"/>
            <m:sepChr m:val=""/>
            <m:grow/>
          </m:dPr>
          <m:e>
            <m:r>
              <m:t>G</m:t>
            </m:r>
            <m:r>
              <m:t>F</m:t>
            </m:r>
            <m:r>
              <m:t>L</m:t>
            </m:r>
          </m:e>
        </m:d>
      </m:oMath>
      <w:r>
        <w:t xml:space="preserve">。减小网格间距提高离散分辨率，却不直接保证物理精度。可先以RSSI或区域规则生成候选范围，再采用粗到细搜索。对于没有可靠粗定位约束的场景，过早缩小搜索域会排除真值，应保留扩域回退机制。</w:t>
      </w:r>
    </w:p>
    <w:p>
      <w:pPr>
        <w:pStyle w:val="Normal"/>
      </w:pPr>
      <w:r>
        <w:t xml:space="preserve">文献[6]的出版方摘要描述了两条改进：降低斜向测量结果的权重，以及依据双曲线概率曲线的性质改进天线轨迹以缓解多径。这里可归纳为观测选择与几何激励，而非仅更换优化求解器。权重改变哪些采样对图像贡献最大，轨迹改变各候选点产生的相位模式。本文未取得该文全文，故式(13)仅作为通用SAR解释模型，不声称它就是该文实现。</w:t>
      </w:r>
    </w:p>
    <w:p>
      <w:pPr>
        <w:pStyle w:val="Heading2"/>
      </w:pPr>
      <w:r>
        <w:t xml:space="preserve">3.6　FaHo：联合全息图与整体图像回归</w:t>
      </w:r>
    </w:p>
    <w:p>
      <w:pPr>
        <w:pStyle w:val="Normal"/>
      </w:pPr>
      <w:r>
        <w:t xml:space="preserve">FaHo[3]进一步指出，多径环境中真实位置附近仍可能形成有意义的空间结构，但全图最高分不一定落在真实位置。系统先构造联合全息图，再由卷积神经网络（CNN）预测坐标，从单点峰值判断转向整体图像模式分析。它利用模拟数据降低训练采集成本，但验证和测试仍用实测数据。</w:t>
      </w:r>
    </w:p>
    <w:p xmlns:m="http://schemas.openxmlformats.org/officeDocument/2006/math">
      <w:pPr>
        <w:pStyle w:val="Normal"/>
      </w:pPr>
      <w:r>
        <w:t xml:space="preserve">基本全息图在相干分数之外引入观测与预测相位向量的相似度。对候选网格中心</w:t>
      </w:r>
      <w:r>
        <w:t xml:space="preserve"> </w:t>
      </w:r>
      <m:oMath>
        <m:r>
          <m:rPr>
            <m:sty m:val="b"/>
          </m:rPr>
          <m:t>z</m:t>
        </m:r>
      </m:oMath>
      <w:r>
        <w:t xml:space="preserve">，分别提取实测基本全息图的局部邻域矩阵</w:t>
      </w:r>
      <w:r>
        <w:t xml:space="preserve"> </w:t>
      </w:r>
      <m:oMath>
        <m:sSub>
          <m:e>
            <m:r>
              <m:t>A</m:t>
            </m:r>
          </m:e>
          <m:sub>
            <m:r>
              <m:rPr>
                <m:sty m:val="b"/>
              </m:rPr>
              <m:t>z</m:t>
            </m:r>
          </m:sub>
        </m:sSub>
      </m:oMath>
      <w:r>
        <w:t xml:space="preserve">，以及假设该点是真实位置时生成的理论邻域矩阵</w:t>
      </w:r>
      <w:r>
        <w:t xml:space="preserve"> </w:t>
      </w:r>
      <m:oMath>
        <m:sSub>
          <m:e>
            <m:r>
              <m:t>B</m:t>
            </m:r>
          </m:e>
          <m:sub>
            <m:r>
              <m:rPr>
                <m:sty m:val="b"/>
              </m:rPr>
              <m:t>z</m:t>
            </m:r>
          </m:sub>
        </m:sSub>
      </m:oMath>
      <w:r>
        <w:t xml:space="preserve">。联合图用二者相关性重新评价该候选点：</w:t>
      </w:r>
    </w:p>
    <w:p xmlns:m="http://schemas.openxmlformats.org/officeDocument/2006/math">
      <w:pPr>
        <w:pStyle w:val="Normal"/>
        <w:spacing w:lineRule="atLeast" w:line="360" w:before="60" w:after="100"/>
        <w:ind w:firstLine="0"/>
        <w:jc w:val="center"/>
      </w:pPr>
      <m:oMathPara>
        <m:oMathParaPr>
          <m:jc m:val="center"/>
        </m:oMathParaPr>
        <m:oMath>
          <m:r>
            <m:t>J</m:t>
            <w:rPr>
              <w:sz w:val="16"/>
            </w:rPr>
          </m:r>
          <m:d>
            <m:dPr>
              <m:begChr m:val="("/>
              <m:endChr m:val=")"/>
              <m:sepChr m:val=""/>
              <m:grow/>
            </m:dPr>
            <m:e>
              <m:r>
                <m:rPr>
                  <m:sty m:val="b"/>
                </m:rPr>
                <m:t>z</m:t>
                <w:rPr>
                  <w:sz w:val="16"/>
                </w:rPr>
              </m:r>
            </m:e>
          </m:d>
          <m:r>
            <m:rPr>
              <m:sty m:val="p"/>
            </m:rPr>
            <m:t>=</m:t>
            <w:rPr>
              <w:sz w:val="16"/>
            </w:rPr>
          </m:r>
          <m:r>
            <m:t>ρ</m:t>
            <w:rPr>
              <w:sz w:val="16"/>
            </w:rPr>
          </m:r>
          <m:d>
            <m:dPr>
              <m:begChr m:val="("/>
              <m:endChr m:val=")"/>
              <m:sepChr m:val=""/>
              <m:grow/>
            </m:dPr>
            <m:e>
              <m:sSub>
                <m:e>
                  <m:r>
                    <m:t>A</m:t>
                    <w:rPr>
                      <w:sz w:val="16"/>
                    </w:rPr>
                  </m:r>
                </m:e>
                <m:sub>
                  <m:r>
                    <m:rPr>
                      <m:sty m:val="b"/>
                    </m:rPr>
                    <m:t>z</m:t>
                    <w:rPr>
                      <w:sz w:val="16"/>
                    </w:rPr>
                  </m:r>
                </m:sub>
              </m:sSub>
              <m:r>
                <m:rPr>
                  <m:sty m:val="p"/>
                </m:rPr>
                <m:t>,</m:t>
                <w:rPr>
                  <w:sz w:val="16"/>
                </w:rPr>
              </m:r>
              <m:sSub>
                <m:e>
                  <m:r>
                    <m:t>B</m:t>
                    <w:rPr>
                      <w:sz w:val="16"/>
                    </w:rPr>
                  </m:r>
                </m:e>
                <m:sub>
                  <m:r>
                    <m:rPr>
                      <m:sty m:val="b"/>
                    </m:rPr>
                    <m:t>z</m:t>
                    <w:rPr>
                      <w:sz w:val="16"/>
                    </w:rPr>
                  </m:r>
                </m:sub>
              </m:sSub>
            </m:e>
          </m:d>
          <m:r>
            <m:t> </m:t>
            <w:rPr>
              <w:sz w:val="16"/>
            </w:rPr>
          </m:r>
          <m:sSub>
            <m:e>
              <m:r>
                <m:t>H</m:t>
                <w:rPr>
                  <w:sz w:val="16"/>
                </w:rPr>
              </m:r>
            </m:e>
            <m:sub>
              <m:r>
                <m:t>b</m:t>
                <w:rPr>
                  <w:sz w:val="16"/>
                </w:rPr>
              </m:r>
            </m:sub>
          </m:sSub>
          <m:d>
            <m:dPr>
              <m:begChr m:val="("/>
              <m:endChr m:val=")"/>
              <m:sepChr m:val=""/>
              <m:grow/>
            </m:dPr>
            <m:e>
              <m:r>
                <m:rPr>
                  <m:sty m:val="b"/>
                </m:rPr>
                <m:t>z</m:t>
                <w:rPr>
                  <w:sz w:val="16"/>
                </w:rPr>
              </m:r>
            </m:e>
          </m:d>
          <m:r>
            <m:rPr>
              <m:sty m:val="p"/>
            </m:rPr>
            <m:t>.</m:t>
            <w:rPr>
              <w:sz w:val="16"/>
            </w:rPr>
          </m:r>
          <m:r>
            <m:t>  </m:t>
            <w:rPr>
              <w:sz w:val="16"/>
            </w:rPr>
          </m:r>
          <m:d>
            <m:dPr>
              <m:begChr m:val="("/>
              <m:endChr m:val=")"/>
              <m:sepChr m:val=""/>
              <m:grow/>
            </m:dPr>
            <m:e>
              <m:r>
                <m:t>14</m:t>
                <w:rPr>
                  <w:sz w:val="16"/>
                </w:rPr>
              </m:r>
            </m:e>
          </m:d>
        </m:oMath>
      </m:oMathPara>
    </w:p>
    <w:p xmlns:m="http://schemas.openxmlformats.org/officeDocument/2006/math">
      <w:pPr>
        <w:pStyle w:val="Normal"/>
      </w:pPr>
      <w:r>
        <w:t xml:space="preserve">式中</w:t>
      </w:r>
      <w:r>
        <w:t xml:space="preserve"> </w:t>
      </w:r>
      <m:oMath>
        <m:sSub>
          <m:e>
            <m:r>
              <m:t>H</m:t>
            </m:r>
          </m:e>
          <m:sub>
            <m:r>
              <m:t>b</m:t>
            </m:r>
          </m:sub>
        </m:sSub>
      </m:oMath>
      <w:r>
        <w:t xml:space="preserve"> </w:t>
      </w:r>
      <w:r>
        <w:t xml:space="preserve">为基本图分数，</w:t>
      </w:r>
      <m:oMath>
        <m:r>
          <m:t>ρ</m:t>
        </m:r>
      </m:oMath>
      <w:r>
        <w:t xml:space="preserve"> </w:t>
      </w:r>
      <w:r>
        <w:t xml:space="preserve">为展平矩阵的Pearson相关系数。局部矩阵比较利用了峰附近的形状，降低只关注某一像素值的脆弱性。原文还对不同频率的联合图取平均。由于</w:t>
      </w:r>
      <w:r>
        <w:t xml:space="preserve"> </w:t>
      </w:r>
      <m:oMath>
        <m:r>
          <m:t>ρ</m:t>
        </m:r>
      </m:oMath>
      <w:r>
        <w:t xml:space="preserve"> </w:t>
      </w:r>
      <w:r>
        <w:t xml:space="preserve">可以为负，式(14)不一定非负，更不能未经处理称为概率密度。这也是比较全息“概率”与LANDMARC权重时应辨明的数学边界。</w:t>
      </w:r>
    </w:p>
    <w:p>
      <w:pPr>
        <w:pStyle w:val="Normal"/>
      </w:pPr>
      <w:r>
        <w:t xml:space="preserve">邻域越大并非越好。大邻域可能覆盖更多干扰区域，使相关性受到多径伪峰影响；小邻域则可能丢掉形状信息。FaHo通过环境验证集选择邻域和模型，两个场景的最优设置不同。CNN随后读取整幅图像进行坐标回归，能够综合多个峰及其结构，但模型可能把特定环境特征当作位置线索，跨场景性能须独立验证。</w:t>
      </w:r>
    </w:p>
    <w:p>
      <w:pPr>
        <w:pStyle w:val="Normal"/>
      </w:pPr>
      <w:r>
        <w:t xml:space="preserve">原文使用1 m直线合成孔径、50个孔径点和八个射频频道，在弱多径与金属物体较多的两个场景分别采集约100个样本，生成10000个模拟训练样本；每个场景选10个实测样本作验证。其多径场景联合图加CNN实验报告横向、径向中位误差分别为2.27 cm、6.28 cm（第5.3节）。这两个量是分轴绝对误差，不能当作二维欧氏距离的中位数，更不能与RMSE直接比较。</w:t>
      </w:r>
    </w:p>
    <w:p>
      <w:pPr>
        <w:pStyle w:val="Normal"/>
      </w:pPr>
      <w:r>
        <w:t xml:space="preserve">时延也限制应用边界。FaHo说明为缓解移动和振动，在每个静止孔径点、每个频率上读取2 s。这种采集流程能验证细粒度定位，却不等同于在线实时跟踪：若把50点和八频道逐项串行采集，驻留预算可达800 s，尚未包含运动时间；这一数值只是按文中设置计算的采集量级，并非原文报告的单次端到端时延。快速追踪需要重新设计扫描和采样预算。</w:t>
      </w:r>
    </w:p>
    <w:p>
      <w:pPr>
        <w:pStyle w:val="Heading2"/>
      </w:pPr>
      <w:r>
        <w:t xml:space="preserve">3.7　协议交互与测量一致性</w:t>
      </w:r>
    </w:p>
    <w:p xmlns:m="http://schemas.openxmlformats.org/officeDocument/2006/math">
      <w:pPr>
        <w:pStyle w:val="Normal"/>
      </w:pPr>
      <w:r>
        <w:t xml:space="preserve">无源UHF系统常遵循EPC Gen2盘存流程[7]。读取器发出Query启动盘存轮，参与标签依据</w:t>
      </w:r>
      <w:r>
        <w:t xml:space="preserve"> </w:t>
      </w:r>
      <m:oMath>
        <m:r>
          <m:t>Q</m:t>
        </m:r>
      </m:oMath>
      <w:r>
        <w:t xml:space="preserve"> </w:t>
      </w:r>
      <w:r>
        <w:t xml:space="preserve">参数选择时隙；时隙计数为零的标签返回RN16，读取器用包含该随机数的ACK确认后，标签回复身份相关数据。QueryRep推进后续时隙；多个标签同隙响应可能碰撞。该流程用于识别和调度，不直接传输标签真实坐标。</w:t>
      </w:r>
    </w:p>
    <w:p>
      <w:pPr>
        <w:pStyle w:val="Normal"/>
      </w:pPr>
      <w:r>
        <w:t xml:space="preserve">RSSI和相位一般由读取器测量并通过接口报告，不应写成标签把自身“测得的RSSI和坐标”发送给读取器。后端应将标签ID、天线端口、射频频道、发射功率、时间戳与观测量绑定，利用API或LLRP收集。FaHo通过LLRP协调数据采集与移动控制[3]，而LANDMARC原始有源系统有其独立广播及等级扫描机制[1]，不能倒推其使用了Gen2。</w:t>
      </w:r>
    </w:p>
    <w:p xmlns:m="http://schemas.openxmlformats.org/officeDocument/2006/math">
      <w:pPr>
        <w:pStyle w:val="Normal"/>
      </w:pPr>
      <w:r>
        <w:t xml:space="preserve">定位采样的关键不是只提高读取次数，而是保证可比较性。切换功率或频道后，RSSI基准和相位偏移可能改变；在未作补偿时，把不同条件的观测平均会损坏特征。SAR需要天线位置与时间戳对应，同一孔径点的重复采样不能误当成不同虚拟天线。时间对齐不准确带来的相位误差可近似为</w:t>
      </w:r>
      <w:r>
        <w:t xml:space="preserve"> </w:t>
      </w:r>
      <m:oMath>
        <m:d>
          <m:dPr>
            <m:begChr m:val="|"/>
            <m:endChr m:val="|"/>
            <m:sepChr m:val=""/>
            <m:grow/>
          </m:dPr>
          <m:e>
            <m:r>
              <m:t>δ</m:t>
            </m:r>
            <m:r>
              <m:t>ϕ</m:t>
            </m:r>
          </m:e>
        </m:d>
        <m:r>
          <m:rPr>
            <m:sty m:val="p"/>
          </m:rPr>
          <m:t>≤</m:t>
        </m:r>
        <m:r>
          <m:t>4</m:t>
        </m:r>
        <m:r>
          <m:t>π</m:t>
        </m:r>
        <m:r>
          <m:rPr>
            <m:sty m:val="p"/>
          </m:rPr>
          <m:t>∥</m:t>
        </m:r>
        <m:r>
          <m:t>δ</m:t>
        </m:r>
        <m:r>
          <m:rPr>
            <m:sty m:val="b"/>
          </m:rPr>
          <m:t>a</m:t>
        </m:r>
        <m:r>
          <m:rPr>
            <m:sty m:val="p"/>
          </m:rPr>
          <m:t>∥</m:t>
        </m:r>
        <m:r>
          <m:rPr>
            <m:sty m:val="p"/>
          </m:rPr>
          <m:t>/</m:t>
        </m:r>
        <m:r>
          <m:t>λ</m:t>
        </m:r>
      </m:oMath>
      <w:r>
        <w:t xml:space="preserve">，说明轨迹误差可能抵消相位分辨率优势。</w:t>
      </w:r>
    </w:p>
    <w:p xmlns:m="http://schemas.openxmlformats.org/officeDocument/2006/math">
      <w:pPr>
        <w:pStyle w:val="Normal"/>
      </w:pPr>
      <w:r>
        <w:t xml:space="preserve">对轮询通道，若目标速度为</w:t>
      </w:r>
      <w:r>
        <w:t xml:space="preserve"> </w:t>
      </w:r>
      <m:oMath>
        <m:r>
          <m:t>u</m:t>
        </m:r>
      </m:oMath>
      <w:r>
        <w:t xml:space="preserve">、观测跨度为</w:t>
      </w:r>
      <w:r>
        <w:t xml:space="preserve"> </w:t>
      </w:r>
      <m:oMath>
        <m:r>
          <m:t>Δ</m:t>
        </m:r>
        <m:r>
          <m:t>t</m:t>
        </m:r>
      </m:oMath>
      <w:r>
        <w:t xml:space="preserve">，其空间不一致量级为</w:t>
      </w:r>
      <w:r>
        <w:t xml:space="preserve"> </w:t>
      </w:r>
      <m:oMath>
        <m:r>
          <m:t>u</m:t>
        </m:r>
        <m:r>
          <m:t>Δ</m:t>
        </m:r>
        <m:r>
          <m:t>t</m:t>
        </m:r>
      </m:oMath>
      <w:r>
        <w:t xml:space="preserve">。这不是测距误差，却会污染一个本应表示单一位置的信号向量。可缩短窗口、记录每维时刻或采用运动模型；对缺测应保存掩码，避免填入0 dBm。候选近邻之间若使用不同通道集合，须按共同可用通道归一化并设置最低维数，防止“缺测越多，距离越小”的偏差。</w:t>
      </w:r>
    </w:p>
    <w:p>
      <w:pPr>
        <w:pStyle w:val="Normal"/>
      </w:pPr>
      <w:r>
        <w:t xml:space="preserve">因此，本文将“参考标签质量控制协议”理解为应用层状态转换：采样就绪后检查质量，合格观测进入估计，高冲突或覆盖不足触发有上限的重新盘存，超时则输出失败或低置信区域。它不修改Gen2空中命令语义。身份认证、数据完整性与位置估计可靠性也应分别处理，一个身份合法的标签仍可能有失真的射频观测。</w:t>
      </w:r>
    </w:p>
    <w:p>
      <w:pPr>
        <w:pStyle w:val="Heading1"/>
      </w:pPr>
      <w:r>
        <w:t xml:space="preserve">4　对比分析与研究展望</w:t>
      </w:r>
    </w:p>
    <w:p>
      <w:pPr>
        <w:pStyle w:val="Heading2"/>
      </w:pPr>
      <w:r>
        <w:t xml:space="preserve">4.1　算法总结卡片与适用条件</w:t>
      </w:r>
    </w:p>
    <w:p>
      <w:pPr>
        <w:pStyle w:val="Normal"/>
      </w:pPr>
      <w:r>
        <w:t xml:space="preserve">表1用统一接口概括三篇精读论文，强调输入与输出的差异。表2进一步比较资源、复杂度和性能证据。复杂度以单目标为单位，不含多标签通信等待；不同方法的预处理、模型训练和维护成本另行注明。</w:t>
      </w:r>
    </w:p>
    <w:p>
      <w:pPr>
        <w:sectPr>
          <w:footnotePr>
            <w:numFmt w:val="decimal"/>
            <w:numRestart w:val="eachPage"/>
          </w:footnotePr>
          <w:type w:val="continuous"/>
          <w:pgSz w:w="10440" w:h="14740"/>
          <w:pgMar w:left="822" w:right="822" w:gutter="0" w:header="425" w:top="793" w:footer="510" w:bottom="1247"/>
          <w:formProt w:val="false"/>
          <w:textDirection w:val="lrTb"/>
          <w:cols w:num="2" w:space="340" w:equalWidth="1"/>
        </w:sectPr>
      </w:pPr>
    </w:p>
    <w:p>
      <w:pPr>
        <w:pStyle w:val="Caption"/>
        <w:keepNext/>
        <w:ind w:firstLine="0"/>
        <w:jc w:val="center"/>
      </w:pPr>
      <w:r>
        <w:rPr>
          <w:b/>
          <w:bCs/>
          <w:sz w:val="18"/>
        </w:rPr>
        <w:t xml:space="preserve">表1　代表性算法的机制总结卡片</w:t>
      </w:r>
    </w:p>
    <w:tbl>
      <w:tblPr>
        <w:tblStyle w:val="Table"/>
        <w:tblW w:type="pct" w:w="5000"/>
        <w:jc w:val="left"/>
        <w:tblLayout w:type="fixed"/>
        <w:tblLook w:firstRow="1" w:lastRow="0" w:firstColumn="0" w:lastColumn="0" w:noHBand="0" w:noVBand="0" w:val="0020"/>
        <w:tblBorders>
          <w:top w:val="single" w:sz="6"/>
          <w:left w:val="nil" w:sz="6"/>
          <w:bottom w:val="single" w:sz="6"/>
          <w:right w:val="nil" w:sz="6"/>
          <w:insideH w:val="nil" w:sz="6"/>
          <w:insideV w:val="nil" w:sz="6"/>
        </w:tblBorders>
      </w:tblPr>
      <w:tblGrid>
        <w:gridCol w:w="2640"/>
        <w:gridCol w:w="2640"/>
        <w:gridCol w:w="2640"/>
      </w:tblGrid>
      <w:tr>
        <w:trPr>
          <w:tblHeader w:val="on"/>
          <w:cantSplit/>
          <w:tblHeader/>
        </w:trPr>
        <w:tc>
          <w:tcPr>
            <w:tcW w:type="dxa" w:w="2494"/>
            <w:tcBorders>
              <w:bottom w:val="single" w:sz="4"/>
            </w:tcBorders>
          </w:tcPr>
          <w:p>
            <w:pPr>
              <w:pStyle w:val="Normal"/>
              <w:spacing w:line="230" w:lineRule="exact" w:before="40" w:after="40"/>
              <w:ind w:firstLine="0"/>
              <w:jc w:val="left"/>
            </w:pPr>
            <w:r>
              <w:rPr>
                <w:b/>
                <w:sz w:val="16"/>
              </w:rPr>
              <w:t xml:space="preserve">文献与输入</w:t>
            </w:r>
          </w:p>
        </w:tc>
        <w:tc>
          <w:tcPr>
            <w:tcW w:type="dxa" w:w="2835"/>
            <w:tcBorders>
              <w:bottom w:val="single" w:sz="4"/>
            </w:tcBorders>
          </w:tcPr>
          <w:p>
            <w:pPr>
              <w:pStyle w:val="Normal"/>
              <w:spacing w:line="230" w:lineRule="exact" w:before="40" w:after="40"/>
              <w:ind w:firstLine="0"/>
              <w:jc w:val="left"/>
            </w:pPr>
            <w:r>
              <w:rPr>
                <w:b/>
                <w:sz w:val="16"/>
              </w:rPr>
              <w:t xml:space="preserve">核心步骤及关键式</w:t>
            </w:r>
          </w:p>
        </w:tc>
        <w:tc>
          <w:tcPr>
            <w:tcW w:type="dxa" w:w="3458"/>
            <w:tcBorders>
              <w:bottom w:val="single" w:sz="4"/>
            </w:tcBorders>
          </w:tcPr>
          <w:p>
            <w:pPr>
              <w:pStyle w:val="Normal"/>
              <w:spacing w:line="230" w:lineRule="exact" w:before="40" w:after="40"/>
              <w:ind w:firstLine="0"/>
              <w:jc w:val="left"/>
            </w:pPr>
            <w:r>
              <w:rPr>
                <w:b/>
                <w:sz w:val="16"/>
              </w:rPr>
              <w:t xml:space="preserve">输出与主要局限</w:t>
            </w:r>
          </w:p>
        </w:tc>
      </w:tr>
      <w:tr>
        <w:trPr>
          <w:cantSplit/>
        </w:trPr>
        <w:tc>
          <w:tcPr>
            <w:tcW w:type="dxa" w:w="2494"/>
          </w:tcPr>
          <w:p>
            <w:pPr>
              <w:pStyle w:val="Normal"/>
              <w:spacing w:line="230" w:lineRule="exact" w:before="40" w:after="40"/>
              <w:ind w:firstLine="0"/>
              <w:jc w:val="left"/>
            </w:pPr>
            <w:r>
              <w:rPr>
                <w:b w:val="0"/>
                <w:sz w:val="16"/>
              </w:rPr>
              <w:t xml:space="preserve">LANDMARC[1]；参考坐标、目标及参考信号向量</w:t>
            </w:r>
          </w:p>
        </w:tc>
        <w:tc>
          <w:tcPr>
            <w:tcW w:type="dxa" w:w="2835"/>
          </w:tcPr>
          <w:p>
            <w:pPr>
              <w:pStyle w:val="Normal"/>
              <w:spacing w:line="230" w:lineRule="exact" w:before="40" w:after="40"/>
              <w:ind w:firstLine="0"/>
              <w:jc w:val="left"/>
            </w:pPr>
            <w:r>
              <w:rPr>
                <w:b w:val="0"/>
                <w:sz w:val="16"/>
              </w:rPr>
              <w:t xml:space="preserve">式(5)求相似度→选k邻居→式(6)加权插值</w:t>
            </w:r>
          </w:p>
        </w:tc>
        <w:tc>
          <w:tcPr>
            <w:tcW w:type="dxa" w:w="3458"/>
          </w:tcPr>
          <w:p>
            <w:pPr>
              <w:pStyle w:val="Normal"/>
              <w:spacing w:line="230" w:lineRule="exact" w:before="40" w:after="40"/>
              <w:ind w:firstLine="0"/>
              <w:jc w:val="left"/>
            </w:pPr>
            <w:r>
              <w:rPr>
                <w:b w:val="0"/>
                <w:sz w:val="16"/>
              </w:rPr>
              <w:t xml:space="preserve">点坐标；受边界、参考质量和固定k影响</w:t>
            </w:r>
          </w:p>
        </w:tc>
      </w:tr>
      <w:tr>
        <w:trPr>
          <w:cantSplit/>
        </w:trPr>
        <w:tc>
          <w:tcPr>
            <w:tcW w:type="dxa" w:w="2494"/>
          </w:tcPr>
          <w:p>
            <w:pPr>
              <w:pStyle w:val="Normal"/>
              <w:spacing w:line="230" w:lineRule="exact" w:before="40" w:after="40"/>
              <w:ind w:firstLine="0"/>
              <w:jc w:val="left"/>
            </w:pPr>
            <w:r>
              <w:rPr>
                <w:b w:val="0"/>
                <w:sz w:val="16"/>
              </w:rPr>
              <w:t xml:space="preserve">SVR-LANDMARC[2]；标注RSSI样本及目标样本</w:t>
            </w:r>
          </w:p>
        </w:tc>
        <w:tc>
          <w:tcPr>
            <w:tcW w:type="dxa" w:w="2835"/>
          </w:tcPr>
          <w:p>
            <w:pPr>
              <w:pStyle w:val="Normal"/>
              <w:spacing w:line="230" w:lineRule="exact" w:before="40" w:after="40"/>
              <w:ind w:firstLine="0"/>
              <w:jc w:val="left"/>
            </w:pPr>
            <w:r>
              <w:rPr>
                <w:b w:val="0"/>
                <w:sz w:val="16"/>
              </w:rPr>
              <w:t xml:space="preserve">异常筛选→Kalman平滑→式(12)分轴回归</w:t>
            </w:r>
          </w:p>
        </w:tc>
        <w:tc>
          <w:tcPr>
            <w:tcW w:type="dxa" w:w="3458"/>
          </w:tcPr>
          <w:p>
            <w:pPr>
              <w:pStyle w:val="Normal"/>
              <w:spacing w:line="230" w:lineRule="exact" w:before="40" w:after="40"/>
              <w:ind w:firstLine="0"/>
              <w:jc w:val="left"/>
            </w:pPr>
            <w:r>
              <w:rPr>
                <w:b w:val="0"/>
                <w:sz w:val="16"/>
              </w:rPr>
              <w:t xml:space="preserve">二维预测；需要训练、参数选择及分布稳定性</w:t>
            </w:r>
          </w:p>
        </w:tc>
      </w:tr>
      <w:tr>
        <w:trPr>
          <w:cantSplit/>
        </w:trPr>
        <w:tc>
          <w:tcPr>
            <w:tcW w:type="dxa" w:w="2494"/>
          </w:tcPr>
          <w:p>
            <w:pPr>
              <w:pStyle w:val="Normal"/>
              <w:spacing w:line="230" w:lineRule="exact" w:before="40" w:after="40"/>
              <w:ind w:firstLine="0"/>
              <w:jc w:val="left"/>
            </w:pPr>
            <w:r>
              <w:rPr>
                <w:b w:val="0"/>
                <w:sz w:val="16"/>
              </w:rPr>
              <w:t xml:space="preserve">FaHo[3]；带轨迹和频道标识的相位</w:t>
            </w:r>
          </w:p>
        </w:tc>
        <w:tc>
          <w:tcPr>
            <w:tcW w:type="dxa" w:w="2835"/>
          </w:tcPr>
          <w:p>
            <w:pPr>
              <w:pStyle w:val="Normal"/>
              <w:spacing w:line="230" w:lineRule="exact" w:before="40" w:after="40"/>
              <w:ind w:firstLine="0"/>
              <w:jc w:val="left"/>
            </w:pPr>
            <w:r>
              <w:rPr>
                <w:b w:val="0"/>
                <w:sz w:val="16"/>
              </w:rPr>
              <w:t xml:space="preserve">基本图→式(14)邻域相关→多频平均→CNN</w:t>
            </w:r>
          </w:p>
        </w:tc>
        <w:tc>
          <w:tcPr>
            <w:tcW w:type="dxa" w:w="3458"/>
          </w:tcPr>
          <w:p>
            <w:pPr>
              <w:pStyle w:val="Normal"/>
              <w:spacing w:line="230" w:lineRule="exact" w:before="40" w:after="40"/>
              <w:ind w:firstLine="0"/>
              <w:jc w:val="left"/>
            </w:pPr>
            <w:r>
              <w:rPr>
                <w:b w:val="0"/>
                <w:sz w:val="16"/>
              </w:rPr>
              <w:t xml:space="preserve">坐标预测；轨迹、采集驻留与环境验证成本</w:t>
            </w:r>
          </w:p>
        </w:tc>
      </w:tr>
    </w:tbl>
    <w:p>
      <w:pPr>
        <w:sectPr>
          <w:footnotePr>
            <w:numFmt w:val="decimal"/>
            <w:numRestart w:val="eachPage"/>
          </w:footnotePr>
          <w:type w:val="continuous"/>
          <w:pgSz w:w="10440" w:h="14740"/>
          <w:pgMar w:left="822" w:right="822" w:gutter="0" w:header="425" w:top="793" w:footer="510" w:bottom="1247"/>
          <w:formProt w:val="false"/>
          <w:textDirection w:val="lrTb"/>
          <w:cols w:num="1" w:space="340" w:equalWidth="1"/>
        </w:sectPr>
      </w:pPr>
    </w:p>
    <w:p>
      <w:pPr>
        <w:sectPr>
          <w:footnotePr>
            <w:numFmt w:val="decimal"/>
            <w:numRestart w:val="eachPage"/>
          </w:footnotePr>
          <w:type w:val="continuous"/>
          <w:pgSz w:w="10440" w:h="14740"/>
          <w:pgMar w:left="822" w:right="822" w:gutter="0" w:header="425" w:top="793" w:footer="510" w:bottom="1247"/>
          <w:formProt w:val="false"/>
          <w:textDirection w:val="lrTb"/>
          <w:cols w:num="2" w:space="340" w:equalWidth="1"/>
        </w:sectPr>
      </w:pPr>
    </w:p>
    <w:p>
      <w:pPr>
        <w:pStyle w:val="Caption"/>
        <w:keepNext/>
        <w:ind w:firstLine="0"/>
        <w:jc w:val="center"/>
      </w:pPr>
      <w:r>
        <w:rPr>
          <w:b/>
          <w:bCs/>
          <w:sz w:val="18"/>
        </w:rPr>
        <w:t xml:space="preserve">表2　RFID定位机制的资源需求、计算开销与证据边界</w:t>
      </w:r>
    </w:p>
    <w:tbl>
      <w:tblPr>
        <w:tblStyle w:val="Table"/>
        <w:tblW w:type="pct" w:w="5000"/>
        <w:jc w:val="left"/>
        <w:tblLayout w:type="fixed"/>
        <w:tblLook w:firstRow="1" w:lastRow="0" w:firstColumn="0" w:lastColumn="0" w:noHBand="0" w:noVBand="0" w:val="0020"/>
        <w:tblBorders>
          <w:top w:val="single" w:sz="6"/>
          <w:left w:val="nil" w:sz="6"/>
          <w:bottom w:val="single" w:sz="6"/>
          <w:right w:val="nil" w:sz="6"/>
          <w:insideH w:val="nil" w:sz="6"/>
          <w:insideV w:val="nil" w:sz="6"/>
        </w:tblBorders>
      </w:tblPr>
      <w:tblGrid>
        <w:gridCol w:w="1980"/>
        <w:gridCol w:w="1980"/>
        <w:gridCol w:w="1980"/>
        <w:gridCol w:w="1980"/>
      </w:tblGrid>
      <w:tr>
        <w:trPr>
          <w:tblHeader w:val="on"/>
          <w:cantSplit/>
          <w:tblHeader/>
        </w:trPr>
        <w:tc>
          <w:tcPr>
            <w:tcW w:type="dxa" w:w="1474"/>
            <w:tcBorders>
              <w:bottom w:val="single" w:sz="4"/>
            </w:tcBorders>
          </w:tcPr>
          <w:p>
            <w:pPr>
              <w:pStyle w:val="Normal"/>
              <w:spacing w:line="230" w:lineRule="exact" w:before="40" w:after="40"/>
              <w:ind w:firstLine="0"/>
              <w:jc w:val="left"/>
            </w:pPr>
            <w:r>
              <w:rPr>
                <w:b/>
                <w:sz w:val="16"/>
              </w:rPr>
              <w:t xml:space="preserve">方法</w:t>
            </w:r>
          </w:p>
        </w:tc>
        <w:tc>
          <w:tcPr>
            <w:tcW w:type="dxa" w:w="2268"/>
            <w:tcBorders>
              <w:bottom w:val="single" w:sz="4"/>
            </w:tcBorders>
          </w:tcPr>
          <w:p>
            <w:pPr>
              <w:pStyle w:val="Normal"/>
              <w:spacing w:line="230" w:lineRule="exact" w:before="40" w:after="40"/>
              <w:ind w:firstLine="0"/>
              <w:jc w:val="left"/>
            </w:pPr>
            <w:r>
              <w:rPr>
                <w:b/>
                <w:sz w:val="16"/>
              </w:rPr>
              <w:t xml:space="preserve">硬件与维护成本</w:t>
            </w:r>
          </w:p>
        </w:tc>
        <w:tc>
          <w:tcPr>
            <w:tcW w:type="dxa" w:w="1928"/>
            <w:tcBorders>
              <w:bottom w:val="single" w:sz="4"/>
            </w:tcBorders>
          </w:tcPr>
          <w:p>
            <w:pPr>
              <w:pStyle w:val="Normal"/>
              <w:spacing w:line="230" w:lineRule="exact" w:before="40" w:after="40"/>
              <w:ind w:firstLine="0"/>
              <w:jc w:val="left"/>
            </w:pPr>
            <w:r>
              <w:rPr>
                <w:b/>
                <w:sz w:val="16"/>
              </w:rPr>
              <w:t xml:space="preserve">主要计算量</w:t>
            </w:r>
          </w:p>
        </w:tc>
        <w:tc>
          <w:tcPr>
            <w:tcW w:type="dxa" w:w="3118"/>
            <w:tcBorders>
              <w:bottom w:val="single" w:sz="4"/>
            </w:tcBorders>
          </w:tcPr>
          <w:p>
            <w:pPr>
              <w:pStyle w:val="Normal"/>
              <w:spacing w:line="230" w:lineRule="exact" w:before="40" w:after="40"/>
              <w:ind w:firstLine="0"/>
              <w:jc w:val="left"/>
            </w:pPr>
            <w:r>
              <w:rPr>
                <w:b/>
                <w:sz w:val="16"/>
              </w:rPr>
              <w:t xml:space="preserve">精度证据与鲁棒性边界</w:t>
            </w:r>
          </w:p>
        </w:tc>
      </w:tr>
      <w:tr>
        <w:trPr>
          <w:cantSplit/>
        </w:trPr>
        <w:tc>
          <w:tcPr>
            <w:tcW w:type="dxa" w:w="1474"/>
          </w:tcPr>
          <w:p>
            <w:pPr>
              <w:pStyle w:val="Normal"/>
              <w:spacing w:line="230" w:lineRule="exact" w:before="40" w:after="40"/>
              <w:ind w:firstLine="0"/>
              <w:jc w:val="left"/>
            </w:pPr>
            <w:r>
              <w:rPr>
                <w:b w:val="0"/>
                <w:sz w:val="16"/>
              </w:rPr>
              <w:t xml:space="preserve">路径损耗＋三边定位</w:t>
            </w:r>
          </w:p>
        </w:tc>
        <w:tc>
          <w:tcPr>
            <w:tcW w:type="dxa" w:w="2268"/>
          </w:tcPr>
          <w:p>
            <w:pPr>
              <w:pStyle w:val="Normal"/>
              <w:spacing w:line="230" w:lineRule="exact" w:before="40" w:after="40"/>
              <w:ind w:firstLine="0"/>
              <w:jc w:val="left"/>
            </w:pPr>
            <w:r>
              <w:rPr>
                <w:b w:val="0"/>
                <w:sz w:val="16"/>
              </w:rPr>
              <w:t xml:space="preserve">多个几何独立通道；需场景参数标定</w:t>
            </w:r>
          </w:p>
        </w:tc>
        <w:tc>
          <w:tcPr>
            <w:tcW w:type="dxa" w:w="1928"/>
          </w:tcPr>
          <w:p>
            <w:pPr>
              <w:pStyle w:val="Normal"/>
              <w:spacing w:line="230" w:lineRule="exact" w:before="40" w:after="40"/>
              <w:ind w:firstLine="0"/>
              <w:jc w:val="left"/>
            </w:pPr>
            <w:r>
              <w:rPr>
                <w:b w:val="0"/>
                <w:sz w:val="16"/>
              </w:rPr>
              <w:t xml:space="preserve">距离反演O(N)；迭代求解</w:t>
            </w:r>
          </w:p>
        </w:tc>
        <w:tc>
          <w:tcPr>
            <w:tcW w:type="dxa" w:w="3118"/>
          </w:tcPr>
          <w:p>
            <w:pPr>
              <w:pStyle w:val="Normal"/>
              <w:spacing w:line="230" w:lineRule="exact" w:before="40" w:after="40"/>
              <w:ind w:firstLine="0"/>
              <w:jc w:val="left"/>
            </w:pPr>
            <w:r>
              <w:rPr>
                <w:b w:val="0"/>
                <w:sz w:val="16"/>
              </w:rPr>
              <w:t xml:space="preserve">无统一数值；遮挡和参数漂移可放大误差</w:t>
            </w:r>
          </w:p>
        </w:tc>
      </w:tr>
      <w:tr>
        <w:trPr>
          <w:cantSplit/>
        </w:trPr>
        <w:tc>
          <w:tcPr>
            <w:tcW w:type="dxa" w:w="1474"/>
          </w:tcPr>
          <w:p>
            <w:pPr>
              <w:pStyle w:val="Normal"/>
              <w:spacing w:line="230" w:lineRule="exact" w:before="40" w:after="40"/>
              <w:ind w:firstLine="0"/>
              <w:jc w:val="left"/>
            </w:pPr>
            <w:r>
              <w:rPr>
                <w:b w:val="0"/>
                <w:sz w:val="16"/>
              </w:rPr>
              <w:t xml:space="preserve">LANDMARC[1]</w:t>
            </w:r>
          </w:p>
        </w:tc>
        <w:tc>
          <w:tcPr>
            <w:tcW w:type="dxa" w:w="2268"/>
          </w:tcPr>
          <w:p>
            <w:pPr>
              <w:pStyle w:val="Normal"/>
              <w:spacing w:line="230" w:lineRule="exact" w:before="40" w:after="40"/>
              <w:ind w:firstLine="0"/>
              <w:jc w:val="left"/>
            </w:pPr>
            <w:r>
              <w:rPr>
                <w:b w:val="0"/>
                <w:sz w:val="16"/>
              </w:rPr>
              <w:t xml:space="preserve">固定参考标签；参考位置和读到率维护</w:t>
            </w:r>
          </w:p>
        </w:tc>
        <w:tc>
          <w:tcPr>
            <w:tcW w:type="dxa" w:w="1928"/>
          </w:tcPr>
          <w:p>
            <w:pPr>
              <w:pStyle w:val="Normal"/>
              <w:spacing w:line="230" w:lineRule="exact" w:before="40" w:after="40"/>
              <w:ind w:firstLine="0"/>
              <w:jc w:val="left"/>
            </w:pPr>
            <w:r>
              <w:rPr>
                <w:b w:val="0"/>
                <w:sz w:val="16"/>
              </w:rPr>
              <w:t xml:space="preserve">O(MN)＋邻居筛选</w:t>
            </w:r>
          </w:p>
        </w:tc>
        <w:tc>
          <w:tcPr>
            <w:tcW w:type="dxa" w:w="3118"/>
          </w:tcPr>
          <w:p>
            <w:pPr>
              <w:pStyle w:val="Normal"/>
              <w:spacing w:line="230" w:lineRule="exact" w:before="40" w:after="40"/>
              <w:ind w:firstLine="0"/>
              <w:jc w:val="left"/>
            </w:pPr>
            <w:r>
              <w:rPr>
                <w:b w:val="0"/>
                <w:sz w:val="16"/>
              </w:rPr>
              <w:t xml:space="preserve">原文中位误差约1 m；局部共同扰动有利，错误近邻与边界不利</w:t>
            </w:r>
          </w:p>
        </w:tc>
      </w:tr>
      <w:tr>
        <w:trPr>
          <w:cantSplit/>
        </w:trPr>
        <w:tc>
          <w:tcPr>
            <w:tcW w:type="dxa" w:w="1474"/>
          </w:tcPr>
          <w:p>
            <w:pPr>
              <w:pStyle w:val="Normal"/>
              <w:spacing w:line="230" w:lineRule="exact" w:before="40" w:after="40"/>
              <w:ind w:firstLine="0"/>
              <w:jc w:val="left"/>
            </w:pPr>
            <w:r>
              <w:rPr>
                <w:b w:val="0"/>
                <w:sz w:val="16"/>
              </w:rPr>
              <w:t xml:space="preserve">可信度及校正[4,5]</w:t>
            </w:r>
          </w:p>
        </w:tc>
        <w:tc>
          <w:tcPr>
            <w:tcW w:type="dxa" w:w="2268"/>
          </w:tcPr>
          <w:p>
            <w:pPr>
              <w:pStyle w:val="Normal"/>
              <w:spacing w:line="230" w:lineRule="exact" w:before="40" w:after="40"/>
              <w:ind w:firstLine="0"/>
              <w:jc w:val="left"/>
            </w:pPr>
            <w:r>
              <w:rPr>
                <w:b w:val="0"/>
                <w:sz w:val="16"/>
              </w:rPr>
              <w:t xml:space="preserve">可复用原设备；增加诊断和重采样</w:t>
            </w:r>
          </w:p>
        </w:tc>
        <w:tc>
          <w:tcPr>
            <w:tcW w:type="dxa" w:w="1928"/>
          </w:tcPr>
          <w:p>
            <w:pPr>
              <w:pStyle w:val="Normal"/>
              <w:spacing w:line="230" w:lineRule="exact" w:before="40" w:after="40"/>
              <w:ind w:firstLine="0"/>
              <w:jc w:val="left"/>
            </w:pPr>
            <w:r>
              <w:rPr>
                <w:b w:val="0"/>
                <w:sz w:val="16"/>
              </w:rPr>
              <w:t xml:space="preserve">若全部留一诊断，朴素开销约O(M²N)</w:t>
            </w:r>
          </w:p>
        </w:tc>
        <w:tc>
          <w:tcPr>
            <w:tcW w:type="dxa" w:w="3118"/>
          </w:tcPr>
          <w:p>
            <w:pPr>
              <w:pStyle w:val="Normal"/>
              <w:spacing w:line="230" w:lineRule="exact" w:before="40" w:after="40"/>
              <w:ind w:firstLine="0"/>
              <w:jc w:val="left"/>
            </w:pPr>
            <w:r>
              <w:rPr>
                <w:b w:val="0"/>
                <w:sz w:val="16"/>
              </w:rPr>
              <w:t xml:space="preserve">摘要支持精度改善；未核验数值；筛选过度可能失去覆盖</w:t>
            </w:r>
          </w:p>
        </w:tc>
      </w:tr>
      <w:tr>
        <w:trPr>
          <w:cantSplit/>
        </w:trPr>
        <w:tc>
          <w:tcPr>
            <w:tcW w:type="dxa" w:w="1474"/>
          </w:tcPr>
          <w:p>
            <w:pPr>
              <w:pStyle w:val="Normal"/>
              <w:spacing w:line="230" w:lineRule="exact" w:before="40" w:after="40"/>
              <w:ind w:firstLine="0"/>
              <w:jc w:val="left"/>
            </w:pPr>
            <w:r>
              <w:rPr>
                <w:b w:val="0"/>
                <w:sz w:val="16"/>
              </w:rPr>
              <w:t xml:space="preserve">SVR-LANDMARC[2]</w:t>
            </w:r>
          </w:p>
        </w:tc>
        <w:tc>
          <w:tcPr>
            <w:tcW w:type="dxa" w:w="2268"/>
          </w:tcPr>
          <w:p>
            <w:pPr>
              <w:pStyle w:val="Normal"/>
              <w:spacing w:line="230" w:lineRule="exact" w:before="40" w:after="40"/>
              <w:ind w:firstLine="0"/>
              <w:jc w:val="left"/>
            </w:pPr>
            <w:r>
              <w:rPr>
                <w:b w:val="0"/>
                <w:sz w:val="16"/>
              </w:rPr>
              <w:t xml:space="preserve">一读取器四天线；标注、训练与更新</w:t>
            </w:r>
          </w:p>
        </w:tc>
        <w:tc>
          <w:tcPr>
            <w:tcW w:type="dxa" w:w="1928"/>
          </w:tcPr>
          <w:p>
            <w:pPr>
              <w:pStyle w:val="Normal"/>
              <w:spacing w:line="230" w:lineRule="exact" w:before="40" w:after="40"/>
              <w:ind w:firstLine="0"/>
              <w:jc w:val="left"/>
            </w:pPr>
            <w:r>
              <w:rPr>
                <w:b w:val="0"/>
                <w:sz w:val="16"/>
              </w:rPr>
              <w:t xml:space="preserve">推理依支持向量数；训练另计</w:t>
            </w:r>
          </w:p>
        </w:tc>
        <w:tc>
          <w:tcPr>
            <w:tcW w:type="dxa" w:w="3118"/>
          </w:tcPr>
          <w:p>
            <w:pPr>
              <w:pStyle w:val="Normal"/>
              <w:spacing w:line="230" w:lineRule="exact" w:before="40" w:after="40"/>
              <w:ind w:firstLine="0"/>
              <w:jc w:val="left"/>
            </w:pPr>
            <w:r>
              <w:rPr>
                <w:b w:val="0"/>
                <w:sz w:val="16"/>
              </w:rPr>
              <w:t xml:space="preserve">同表平面RMSE从35.532降至20.243 cm；漂移和滤波滞后待检验</w:t>
            </w:r>
          </w:p>
        </w:tc>
      </w:tr>
      <w:tr>
        <w:trPr>
          <w:cantSplit/>
        </w:trPr>
        <w:tc>
          <w:tcPr>
            <w:tcW w:type="dxa" w:w="1474"/>
          </w:tcPr>
          <w:p>
            <w:pPr>
              <w:pStyle w:val="Normal"/>
              <w:spacing w:line="230" w:lineRule="exact" w:before="40" w:after="40"/>
              <w:ind w:firstLine="0"/>
              <w:jc w:val="left"/>
            </w:pPr>
            <w:r>
              <w:rPr>
                <w:b w:val="0"/>
                <w:sz w:val="16"/>
              </w:rPr>
              <w:t xml:space="preserve">通用SAR／改进SAR[6]</w:t>
            </w:r>
          </w:p>
        </w:tc>
        <w:tc>
          <w:tcPr>
            <w:tcW w:type="dxa" w:w="2268"/>
          </w:tcPr>
          <w:p>
            <w:pPr>
              <w:pStyle w:val="Normal"/>
              <w:spacing w:line="230" w:lineRule="exact" w:before="40" w:after="40"/>
              <w:ind w:firstLine="0"/>
              <w:jc w:val="left"/>
            </w:pPr>
            <w:r>
              <w:rPr>
                <w:b w:val="0"/>
                <w:sz w:val="16"/>
              </w:rPr>
              <w:t xml:space="preserve">移动平台或可控相对运动；轨迹及相位标定</w:t>
            </w:r>
          </w:p>
        </w:tc>
        <w:tc>
          <w:tcPr>
            <w:tcW w:type="dxa" w:w="1928"/>
          </w:tcPr>
          <w:p>
            <w:pPr>
              <w:pStyle w:val="Normal"/>
              <w:spacing w:line="230" w:lineRule="exact" w:before="40" w:after="40"/>
              <w:ind w:firstLine="0"/>
              <w:jc w:val="left"/>
            </w:pPr>
            <w:r>
              <w:rPr>
                <w:b w:val="0"/>
                <w:sz w:val="16"/>
              </w:rPr>
              <w:t xml:space="preserve">网格搜索O(GFL)</w:t>
            </w:r>
          </w:p>
        </w:tc>
        <w:tc>
          <w:tcPr>
            <w:tcW w:type="dxa" w:w="3118"/>
          </w:tcPr>
          <w:p>
            <w:pPr>
              <w:pStyle w:val="Normal"/>
              <w:spacing w:line="230" w:lineRule="exact" w:before="40" w:after="40"/>
              <w:ind w:firstLine="0"/>
              <w:jc w:val="left"/>
            </w:pPr>
            <w:r>
              <w:rPr>
                <w:b w:val="0"/>
                <w:sz w:val="16"/>
              </w:rPr>
              <w:t xml:space="preserve">摘要支持加权与轨迹改进；未核验数值；短孔径、多径及镜像歧义需控制</w:t>
            </w:r>
          </w:p>
        </w:tc>
      </w:tr>
      <w:tr>
        <w:trPr>
          <w:cantSplit/>
        </w:trPr>
        <w:tc>
          <w:tcPr>
            <w:tcW w:type="dxa" w:w="1474"/>
          </w:tcPr>
          <w:p>
            <w:pPr>
              <w:pStyle w:val="Normal"/>
              <w:spacing w:line="230" w:lineRule="exact" w:before="40" w:after="40"/>
              <w:ind w:firstLine="0"/>
              <w:jc w:val="left"/>
            </w:pPr>
            <w:r>
              <w:rPr>
                <w:b w:val="0"/>
                <w:sz w:val="16"/>
              </w:rPr>
              <w:t xml:space="preserve">FaHo[3]</w:t>
            </w:r>
          </w:p>
        </w:tc>
        <w:tc>
          <w:tcPr>
            <w:tcW w:type="dxa" w:w="2268"/>
          </w:tcPr>
          <w:p>
            <w:pPr>
              <w:pStyle w:val="Normal"/>
              <w:spacing w:line="230" w:lineRule="exact" w:before="40" w:after="40"/>
              <w:ind w:firstLine="0"/>
              <w:jc w:val="left"/>
            </w:pPr>
            <w:r>
              <w:rPr>
                <w:b w:val="0"/>
                <w:sz w:val="16"/>
              </w:rPr>
              <w:t xml:space="preserve">单移动天线＋读取器；环境验证集及CNN</w:t>
            </w:r>
          </w:p>
        </w:tc>
        <w:tc>
          <w:tcPr>
            <w:tcW w:type="dxa" w:w="1928"/>
          </w:tcPr>
          <w:p>
            <w:pPr>
              <w:pStyle w:val="Normal"/>
              <w:spacing w:line="230" w:lineRule="exact" w:before="40" w:after="40"/>
              <w:ind w:firstLine="0"/>
              <w:jc w:val="left"/>
            </w:pPr>
            <w:r>
              <w:rPr>
                <w:b w:val="0"/>
                <w:sz w:val="16"/>
              </w:rPr>
              <w:t xml:space="preserve">联合图与CNN；预计算换空间</w:t>
            </w:r>
          </w:p>
        </w:tc>
        <w:tc>
          <w:tcPr>
            <w:tcW w:type="dxa" w:w="3118"/>
          </w:tcPr>
          <w:p>
            <w:pPr>
              <w:pStyle w:val="Normal"/>
              <w:spacing w:line="230" w:lineRule="exact" w:before="40" w:after="40"/>
              <w:ind w:firstLine="0"/>
              <w:jc w:val="left"/>
            </w:pPr>
            <w:r>
              <w:rPr>
                <w:b w:val="0"/>
                <w:sz w:val="16"/>
              </w:rPr>
              <w:t xml:space="preserve">多径场景分轴中位误差2.27/6.28 cm；采集驻留长，跨环境泛化有限</w:t>
            </w:r>
          </w:p>
        </w:tc>
      </w:tr>
    </w:tbl>
    <w:p>
      <w:pPr>
        <w:sectPr>
          <w:footnotePr>
            <w:numFmt w:val="decimal"/>
            <w:numRestart w:val="eachPage"/>
          </w:footnotePr>
          <w:type w:val="continuous"/>
          <w:pgSz w:w="10440" w:h="14740"/>
          <w:pgMar w:left="822" w:right="822" w:gutter="0" w:header="425" w:top="793" w:footer="510" w:bottom="1247"/>
          <w:formProt w:val="false"/>
          <w:textDirection w:val="lrTb"/>
          <w:cols w:num="1" w:space="340" w:equalWidth="1"/>
        </w:sectPr>
      </w:pPr>
    </w:p>
    <w:p>
      <w:pPr>
        <w:pStyle w:val="Normal"/>
      </w:pPr>
      <w:r>
        <w:t xml:space="preserve">表2不构成算法排行榜。LANDMARC原始实验的有源设备与后续UHF无源实验并非同一链路；1 m中位误差与20.243 cm平面RMSE也不是同一统计量。FaHo只报告的分轴数据不能推出二维误差联合分布。更合理的证据使用方式是在原场景内确认相对改善，再以统一硬件和相同测试点检验方法是否适合目标应用。</w:t>
      </w:r>
    </w:p>
    <w:p>
      <w:pPr>
        <w:pStyle w:val="Normal"/>
      </w:pPr>
      <w:r>
        <w:t xml:space="preserve">方法选择还取决于任务的输出粒度。货架区域识别通常不需要逐厘米坐标，使用稳定的区域输出可减少无意义抖动；狭窄机械操作则需要明确的误差尾部和失效检测。标签价格低并不说明总成本低，参考点维护与移动平台同样可能成为主要支出。信号空间匹配适合已有参考设施的低成本部署；SAR适合运动条件可控、愿意承担标定和扫描开销的细粒度任务。</w:t>
      </w:r>
    </w:p>
    <w:p>
      <w:pPr>
        <w:pStyle w:val="Heading2"/>
      </w:pPr>
      <w:r>
        <w:t xml:space="preserve">4.2　相似性权重与空间不确定性</w:t>
      </w:r>
    </w:p>
    <w:p>
      <w:pPr>
        <w:pStyle w:val="Normal"/>
      </w:pPr>
      <w:r>
        <w:t xml:space="preserve">LANDMARC把若干离散锚点的信号相似性压缩为一个质心。SAR保留整个搜索域的分数分布，能够显示多峰和方向性，但它也可能因伪峰而误判。二者的差异主要在保留信息的范围，不是“欧氏距离没有概率、全息图天然有概率”。SVR或CNN同样输出点坐标，若没有额外校准，模型复杂程度不等于可信置信度。</w:t>
      </w:r>
    </w:p>
    <w:p>
      <w:pPr>
        <w:pStyle w:val="Normal"/>
      </w:pPr>
      <w:r>
        <w:t xml:space="preserve">对LANDMARC可计算加权邻居位置散布作为诊断：</w:t>
      </w:r>
    </w:p>
    <w:p xmlns:m="http://schemas.openxmlformats.org/officeDocument/2006/math">
      <w:pPr>
        <w:pStyle w:val="Normal"/>
        <w:spacing w:lineRule="atLeast" w:line="360" w:before="60" w:after="100"/>
        <w:ind w:firstLine="0"/>
        <w:jc w:val="center"/>
      </w:pPr>
      <m:oMathPara>
        <m:oMathParaPr>
          <m:jc m:val="center"/>
        </m:oMathParaPr>
        <m:oMath>
          <m:sSub>
            <m:e>
              <m:r>
                <m:t>Σ</m:t>
                <w:rPr>
                  <w:sz w:val="16"/>
                </w:rPr>
              </m:r>
            </m:e>
            <m:sub>
              <m:r>
                <m:rPr>
                  <m:sty m:val="p"/>
                  <m:scr m:val="script"/>
                </m:rPr>
                <m:t>N</m:t>
                <w:rPr>
                  <w:sz w:val="16"/>
                </w:rPr>
              </m:r>
            </m:sub>
          </m:sSub>
          <m:r>
            <m:rPr>
              <m:sty m:val="p"/>
            </m:rPr>
            <m:t>=</m:t>
            <w:rPr>
              <w:sz w:val="16"/>
            </w:rPr>
          </m:r>
          <m:nary>
            <m:naryPr>
              <m:chr m:val="∑"/>
              <m:limLoc m:val="undOvr"/>
              <m:subHide m:val="off"/>
              <m:supHide m:val="on"/>
            </m:naryPr>
            <m:sub>
              <m:r>
                <m:t>j</m:t>
                <w:rPr>
                  <w:sz w:val="16"/>
                </w:rPr>
              </m:r>
              <m:r>
                <m:rPr>
                  <m:sty m:val="p"/>
                </m:rPr>
                <m:t>∈</m:t>
                <w:rPr>
                  <w:sz w:val="16"/>
                </w:rPr>
              </m:r>
              <m:r>
                <m:rPr>
                  <m:sty m:val="p"/>
                  <m:scr m:val="script"/>
                </m:rPr>
                <m:t>N</m:t>
                <w:rPr>
                  <w:sz w:val="16"/>
                </w:rPr>
              </m:r>
            </m:sub>
            <m:sup>
              <m:r>
                <m:t>​</m:t>
                <w:rPr>
                  <w:sz w:val="16"/>
                </w:rPr>
              </m:r>
            </m:sup>
            <m:e>
              <m:sSub>
                <m:e>
                  <m:acc>
                    <m:accPr>
                      <m:chr m:val="̃"/>
                    </m:accPr>
                    <m:e>
                      <m:r>
                        <m:t>w</m:t>
                        <w:rPr>
                          <w:sz w:val="16"/>
                        </w:rPr>
                      </m:r>
                    </m:e>
                  </m:acc>
                </m:e>
                <m:sub>
                  <m:r>
                    <m:t>j</m:t>
                    <w:rPr>
                      <w:sz w:val="16"/>
                    </w:rPr>
                  </m:r>
                </m:sub>
              </m:sSub>
            </m:e>
          </m:nary>
          <m:d>
            <m:dPr>
              <m:begChr m:val="("/>
              <m:endChr m:val=")"/>
              <m:sepChr m:val=""/>
              <m:grow/>
            </m:dPr>
            <m:e>
              <m:sSub>
                <m:e>
                  <m:r>
                    <m:rPr>
                      <m:sty m:val="b"/>
                    </m:rPr>
                    <m:t>r</m:t>
                    <w:rPr>
                      <w:sz w:val="16"/>
                    </w:rPr>
                  </m:r>
                </m:e>
                <m:sub>
                  <m:r>
                    <m:t>j</m:t>
                    <w:rPr>
                      <w:sz w:val="16"/>
                    </w:rPr>
                  </m:r>
                </m:sub>
              </m:sSub>
              <m:r>
                <m:rPr>
                  <m:sty m:val="p"/>
                </m:rPr>
                <m:t>−</m:t>
                <w:rPr>
                  <w:sz w:val="16"/>
                </w:rPr>
              </m:r>
              <m:acc>
                <m:accPr>
                  <m:chr m:val="̂"/>
                </m:accPr>
                <m:e>
                  <m:r>
                    <m:rPr>
                      <m:sty m:val="b"/>
                    </m:rPr>
                    <m:t>p</m:t>
                    <w:rPr>
                      <w:sz w:val="16"/>
                    </w:rPr>
                  </m:r>
                </m:e>
              </m:acc>
            </m:e>
          </m:d>
          <m:sSup>
            <m:e>
              <m:d>
                <m:dPr>
                  <m:begChr m:val="("/>
                  <m:endChr m:val=")"/>
                  <m:sepChr m:val=""/>
                  <m:grow/>
                </m:dPr>
                <m:e>
                  <m:sSub>
                    <m:e>
                      <m:r>
                        <m:rPr>
                          <m:sty m:val="b"/>
                        </m:rPr>
                        <m:t>r</m:t>
                        <w:rPr>
                          <w:sz w:val="16"/>
                        </w:rPr>
                      </m:r>
                    </m:e>
                    <m:sub>
                      <m:r>
                        <m:t>j</m:t>
                        <w:rPr>
                          <w:sz w:val="16"/>
                        </w:rPr>
                      </m:r>
                    </m:sub>
                  </m:sSub>
                  <m:r>
                    <m:rPr>
                      <m:sty m:val="p"/>
                    </m:rPr>
                    <m:t>−</m:t>
                    <w:rPr>
                      <w:sz w:val="16"/>
                    </w:rPr>
                  </m:r>
                  <m:acc>
                    <m:accPr>
                      <m:chr m:val="̂"/>
                    </m:accPr>
                    <m:e>
                      <m:r>
                        <m:rPr>
                          <m:sty m:val="b"/>
                        </m:rPr>
                        <m:t>p</m:t>
                        <w:rPr>
                          <w:sz w:val="16"/>
                        </w:rPr>
                      </m:r>
                    </m:e>
                  </m:acc>
                </m:e>
              </m:d>
            </m:e>
            <m:sup>
              <m:r>
                <m:rPr>
                  <m:sty m:val="p"/>
                </m:rPr>
                <m:t>T</m:t>
                <w:rPr>
                  <w:sz w:val="16"/>
                </w:rPr>
              </m:r>
            </m:sup>
          </m:sSup>
          <m:r>
            <m:rPr>
              <m:sty m:val="p"/>
            </m:rPr>
            <m:t>.</m:t>
            <w:rPr>
              <w:sz w:val="16"/>
            </w:rPr>
          </m:r>
          <m:r>
            <m:t>  </m:t>
            <w:rPr>
              <w:sz w:val="16"/>
            </w:rPr>
          </m:r>
          <m:d>
            <m:dPr>
              <m:begChr m:val="("/>
              <m:endChr m:val=")"/>
              <m:sepChr m:val=""/>
              <m:grow/>
            </m:dPr>
            <m:e>
              <m:r>
                <m:t>15</m:t>
                <w:rPr>
                  <w:sz w:val="16"/>
                </w:rPr>
              </m:r>
            </m:e>
          </m:d>
        </m:oMath>
      </m:oMathPara>
    </w:p>
    <w:p>
      <w:pPr>
        <w:pStyle w:val="Normal"/>
      </w:pPr>
      <w:r>
        <w:t xml:space="preserve">该矩阵描述邻居分布，不能直接视为定位误差协方差。错误邻居若集中在同一伪区域，散布也可能很小。对全息图可报告第一、第二峰差或高分区域面积，但这些也只是诊断指标。置信区间须用独立真实坐标验证覆盖率，并同时报告失败率，防止模型在错误位置上过度自信。</w:t>
      </w:r>
    </w:p>
    <w:p>
      <w:pPr>
        <w:pStyle w:val="Heading2"/>
      </w:pPr>
      <w:r>
        <w:t xml:space="preserve">4.3　可信度与几何约束联合的自适应邻居选择</w:t>
      </w:r>
    </w:p>
    <w:p xmlns:m="http://schemas.openxmlformats.org/officeDocument/2006/math">
      <w:pPr>
        <w:pStyle w:val="Normal"/>
      </w:pPr>
      <w:r>
        <w:t xml:space="preserve">固定</w:t>
      </w:r>
      <w:r>
        <w:t xml:space="preserve"> </w:t>
      </w:r>
      <m:oMath>
        <m:r>
          <m:t>k</m:t>
        </m:r>
      </m:oMath>
      <w:r>
        <w:t xml:space="preserve"> </w:t>
      </w:r>
      <w:r>
        <w:t xml:space="preserve">不适合所有参考密度和扰动水平。计划书提出在可信度方差超阈值时缩减</w:t>
      </w:r>
      <w:r>
        <w:t xml:space="preserve"> </w:t>
      </w:r>
      <m:oMath>
        <m:r>
          <m:t>k</m:t>
        </m:r>
      </m:oMath>
      <w:r>
        <w:t xml:space="preserve"> </w:t>
      </w:r>
      <w:r>
        <w:t xml:space="preserve">并重采样，其直觉是避免低质量邻居混入。但是方差不能单独代表可靠性：全部标签都具有接近零的可信度时，方差仍很小；一个可靠标签与多个异常标签混合，缩减后也可能破坏几何覆盖。因此，本文在已有动态</w:t>
      </w:r>
      <w:r>
        <w:t xml:space="preserve"> </w:t>
      </w:r>
      <m:oMath>
        <m:r>
          <m:t>k</m:t>
        </m:r>
      </m:oMath>
      <w:r>
        <w:t xml:space="preserve"> </w:t>
      </w:r>
      <w:r>
        <w:t xml:space="preserve">工作[5]基础上提出如下组合方案，而不声称首次提出自适应邻居思想。</w:t>
      </w:r>
    </w:p>
    <w:p xmlns:m="http://schemas.openxmlformats.org/officeDocument/2006/math">
      <w:pPr>
        <w:pStyle w:val="Normal"/>
      </w:pPr>
      <w:r>
        <w:t xml:space="preserve">先按标准化信号距离形成大小为</w:t>
      </w:r>
      <w:r>
        <w:t xml:space="preserve"> </w:t>
      </w:r>
      <m:oMath>
        <m:sSub>
          <m:e>
            <m:r>
              <m:t>k</m:t>
            </m:r>
          </m:e>
          <m:sub>
            <m:r>
              <m:rPr>
                <m:sty m:val="p"/>
              </m:rPr>
              <m:t>max</m:t>
            </m:r>
          </m:sub>
        </m:sSub>
      </m:oMath>
      <w:r>
        <w:t xml:space="preserve"> </w:t>
      </w:r>
      <w:r>
        <w:t xml:space="preserve">的候选集合，依据式(10)计算候选权重。把可信度均值、方差以及有效邻居数共同用作触发量，其中</w:t>
      </w:r>
    </w:p>
    <w:p xmlns:m="http://schemas.openxmlformats.org/officeDocument/2006/math">
      <w:pPr>
        <w:pStyle w:val="Normal"/>
        <w:spacing w:lineRule="atLeast" w:line="360" w:before="60" w:after="100"/>
        <w:ind w:firstLine="0"/>
        <w:jc w:val="center"/>
      </w:pPr>
      <m:oMathPara>
        <m:oMathParaPr>
          <m:jc m:val="center"/>
        </m:oMathParaPr>
        <m:oMath>
          <m:bar>
            <m:barPr>
              <m:pos m:val="top"/>
            </m:barPr>
            <m:e>
              <m:r>
                <m:t>q</m:t>
                <w:rPr>
                  <w:sz w:val="16"/>
                </w:rPr>
              </m:r>
            </m:e>
          </m:bar>
          <m:r>
            <m:rPr>
              <m:sty m:val="p"/>
            </m:rPr>
            <m:t>=</m:t>
            <w:rPr>
              <w:sz w:val="16"/>
            </w:rPr>
          </m:r>
          <m:f>
            <m:fPr>
              <m:type m:val="bar"/>
            </m:fPr>
            <m:num>
              <m:r>
                <m:t>1</m:t>
                <w:rPr>
                  <w:sz w:val="16"/>
                </w:rPr>
              </m:r>
            </m:num>
            <m:den>
              <m:d>
                <m:dPr>
                  <m:begChr m:val="|"/>
                  <m:endChr m:val="|"/>
                  <m:sepChr m:val=""/>
                  <m:grow/>
                </m:dPr>
                <m:e>
                  <m:r>
                    <m:rPr>
                      <m:sty m:val="p"/>
                      <m:scr m:val="script"/>
                    </m:rPr>
                    <m:t>N</m:t>
                    <w:rPr>
                      <w:sz w:val="16"/>
                    </w:rPr>
                  </m:r>
                </m:e>
              </m:d>
            </m:den>
          </m:f>
          <m:r>
            <m:rPr>
              <m:sty m:val="p"/>
            </m:rPr>
            <m:t>∑</m:t>
            <w:rPr>
              <w:sz w:val="16"/>
            </w:rPr>
          </m:r>
          <m:sSub>
            <m:e>
              <m:r>
                <m:t>q</m:t>
                <w:rPr>
                  <w:sz w:val="16"/>
                </w:rPr>
              </m:r>
            </m:e>
            <m:sub>
              <m:r>
                <m:t>j</m:t>
                <w:rPr>
                  <w:sz w:val="16"/>
                </w:rPr>
              </m:r>
            </m:sub>
          </m:sSub>
          <m:r>
            <m:rPr>
              <m:sty m:val="p"/>
            </m:rPr>
            <m:t>,</m:t>
            <w:rPr>
              <w:sz w:val="16"/>
            </w:rPr>
          </m:r>
          <m:r>
            <m:t> </m:t>
            <w:rPr>
              <w:sz w:val="16"/>
            </w:rPr>
          </m:r>
          <m:sSub>
            <m:e>
              <m:r>
                <m:t>k</m:t>
                <w:rPr>
                  <w:sz w:val="16"/>
                </w:rPr>
              </m:r>
            </m:e>
            <m:sub>
              <m:r>
                <m:rPr>
                  <m:sty m:val="p"/>
                </m:rPr>
                <m:t>e</m:t>
                <w:rPr>
                  <w:sz w:val="16"/>
                </w:rPr>
              </m:r>
              <m:r>
                <m:rPr>
                  <m:sty m:val="p"/>
                </m:rPr>
                <m:t>f</m:t>
                <w:rPr>
                  <w:sz w:val="16"/>
                </w:rPr>
              </m:r>
              <m:r>
                <m:rPr>
                  <m:sty m:val="p"/>
                </m:rPr>
                <m:t>f</m:t>
                <w:rPr>
                  <w:sz w:val="16"/>
                </w:rPr>
              </m:r>
            </m:sub>
          </m:sSub>
          <m:r>
            <m:rPr>
              <m:sty m:val="p"/>
            </m:rPr>
            <m:t>=</m:t>
            <w:rPr>
              <w:sz w:val="16"/>
            </w:rPr>
          </m:r>
          <m:f>
            <m:fPr>
              <m:type m:val="bar"/>
            </m:fPr>
            <m:num>
              <m:r>
                <m:t>1</m:t>
                <w:rPr>
                  <w:sz w:val="16"/>
                </w:rPr>
              </m:r>
            </m:num>
            <m:den>
              <m:nary>
                <m:naryPr>
                  <m:chr m:val="∑"/>
                  <m:limLoc m:val="undOvr"/>
                  <m:subHide m:val="off"/>
                  <m:supHide m:val="on"/>
                </m:naryPr>
                <m:sub>
                  <m:r>
                    <m:t>j</m:t>
                    <w:rPr>
                      <w:sz w:val="16"/>
                    </w:rPr>
                  </m:r>
                  <m:r>
                    <m:rPr>
                      <m:sty m:val="p"/>
                    </m:rPr>
                    <m:t>∈</m:t>
                    <w:rPr>
                      <w:sz w:val="16"/>
                    </w:rPr>
                  </m:r>
                  <m:r>
                    <m:rPr>
                      <m:sty m:val="p"/>
                      <m:scr m:val="script"/>
                    </m:rPr>
                    <m:t>N</m:t>
                    <w:rPr>
                      <w:sz w:val="16"/>
                    </w:rPr>
                  </m:r>
                </m:sub>
                <m:sup>
                  <m:r>
                    <m:t>​</m:t>
                    <w:rPr>
                      <w:sz w:val="16"/>
                    </w:rPr>
                  </m:r>
                </m:sup>
                <m:e>
                  <m:sSubSup>
                    <m:e>
                      <m:acc>
                        <m:accPr>
                          <m:chr m:val="̃"/>
                        </m:accPr>
                        <m:e>
                          <m:r>
                            <m:t>w</m:t>
                            <w:rPr>
                              <w:sz w:val="16"/>
                            </w:rPr>
                          </m:r>
                        </m:e>
                      </m:acc>
                    </m:e>
                    <m:sub>
                      <m:r>
                        <m:t>j</m:t>
                        <w:rPr>
                          <w:sz w:val="16"/>
                        </w:rPr>
                      </m:r>
                    </m:sub>
                    <m:sup>
                      <m:r>
                        <m:t>2</m:t>
                        <w:rPr>
                          <w:sz w:val="16"/>
                        </w:rPr>
                      </m:r>
                    </m:sup>
                  </m:sSubSup>
                </m:e>
              </m:nary>
            </m:den>
          </m:f>
          <m:r>
            <m:rPr>
              <m:sty m:val="p"/>
            </m:rPr>
            <m:t>.</m:t>
            <w:rPr>
              <w:sz w:val="16"/>
            </w:rPr>
          </m:r>
          <m:r>
            <m:t>  </m:t>
            <w:rPr>
              <w:sz w:val="16"/>
            </w:rPr>
          </m:r>
          <m:d>
            <m:dPr>
              <m:begChr m:val="("/>
              <m:endChr m:val=")"/>
              <m:sepChr m:val=""/>
              <m:grow/>
            </m:dPr>
            <m:e>
              <m:r>
                <m:t>16</m:t>
                <w:rPr>
                  <w:sz w:val="16"/>
                </w:rPr>
              </m:r>
            </m:e>
          </m:d>
        </m:oMath>
      </m:oMathPara>
    </w:p>
    <w:p xmlns:m="http://schemas.openxmlformats.org/officeDocument/2006/math">
      <w:pPr>
        <w:pStyle w:val="Normal"/>
      </w:pPr>
      <m:oMath>
        <m:sSub>
          <m:e>
            <m:r>
              <m:t>k</m:t>
            </m:r>
          </m:e>
          <m:sub>
            <m:r>
              <m:rPr>
                <m:sty m:val="p"/>
              </m:rPr>
              <m:t>e</m:t>
            </m:r>
            <m:r>
              <m:rPr>
                <m:sty m:val="p"/>
              </m:rPr>
              <m:t>f</m:t>
            </m:r>
            <m:r>
              <m:rPr>
                <m:sty m:val="p"/>
              </m:rPr>
              <m:t>f</m:t>
            </m:r>
          </m:sub>
        </m:sSub>
      </m:oMath>
      <w:r>
        <w:t xml:space="preserve"> </w:t>
      </w:r>
      <w:r>
        <w:t xml:space="preserve">衡量权重集中程度；邻居名义数量多，但权重几乎全落在一点时，有效数量仍接近1。对每个</w:t>
      </w:r>
      <w:r>
        <w:t xml:space="preserve"> </w:t>
      </w:r>
      <m:oMath>
        <m:r>
          <m:t>k</m:t>
        </m:r>
        <m:r>
          <m:rPr>
            <m:sty m:val="p"/>
          </m:rPr>
          <m:t>∈</m:t>
        </m:r>
        <m:d>
          <m:dPr>
            <m:begChr m:val="["/>
            <m:endChr m:val="]"/>
            <m:sepChr m:val=""/>
            <m:grow/>
          </m:dPr>
          <m:e>
            <m:sSub>
              <m:e>
                <m:r>
                  <m:t>k</m:t>
                </m:r>
              </m:e>
              <m:sub>
                <m:r>
                  <m:rPr>
                    <m:sty m:val="p"/>
                  </m:rPr>
                  <m:t>min</m:t>
                </m:r>
              </m:sub>
            </m:sSub>
            <m:r>
              <m:rPr>
                <m:sty m:val="p"/>
              </m:rPr>
              <m:t>,</m:t>
            </m:r>
            <m:sSub>
              <m:e>
                <m:r>
                  <m:t>k</m:t>
                </m:r>
              </m:e>
              <m:sub>
                <m:r>
                  <m:rPr>
                    <m:sty m:val="p"/>
                  </m:rPr>
                  <m:t>max</m:t>
                </m:r>
              </m:sub>
            </m:sSub>
          </m:e>
        </m:d>
      </m:oMath>
      <w:r>
        <w:t xml:space="preserve">，评价留一验证残差、空间覆盖罚项及时间成本，选取</w:t>
      </w:r>
    </w:p>
    <w:p xmlns:m="http://schemas.openxmlformats.org/officeDocument/2006/math">
      <w:pPr>
        <w:pStyle w:val="Normal"/>
        <w:spacing w:lineRule="atLeast" w:line="360" w:before="60" w:after="100"/>
        <w:ind w:firstLine="0"/>
        <w:jc w:val="center"/>
      </w:pPr>
      <m:oMathPara>
        <m:oMathParaPr>
          <m:jc m:val="center"/>
        </m:oMathParaPr>
        <m:oMath>
          <m:sSub>
            <m:e>
              <m:r>
                <m:t>J</m:t>
                <w:rPr>
                  <w:sz w:val="16"/>
                </w:rPr>
              </m:r>
            </m:e>
            <m:sub>
              <m:r>
                <m:t>k</m:t>
                <w:rPr>
                  <w:sz w:val="16"/>
                </w:rPr>
              </m:r>
            </m:sub>
          </m:sSub>
          <m:r>
            <m:rPr>
              <m:sty m:val="p"/>
            </m:rPr>
            <m:t>=</m:t>
            <w:rPr>
              <w:sz w:val="16"/>
            </w:rPr>
          </m:r>
          <m:sSub>
            <m:e>
              <m:r>
                <m:t>R</m:t>
                <w:rPr>
                  <w:sz w:val="16"/>
                </w:rPr>
              </m:r>
            </m:e>
            <m:sub>
              <m:r>
                <m:rPr>
                  <m:sty m:val="p"/>
                </m:rPr>
                <m:t>v</m:t>
                <w:rPr>
                  <w:sz w:val="16"/>
                </w:rPr>
              </m:r>
              <m:r>
                <m:rPr>
                  <m:sty m:val="p"/>
                </m:rPr>
                <m:t>a</m:t>
                <w:rPr>
                  <w:sz w:val="16"/>
                </w:rPr>
              </m:r>
              <m:r>
                <m:rPr>
                  <m:sty m:val="p"/>
                </m:rPr>
                <m:t>l</m:t>
                <w:rPr>
                  <w:sz w:val="16"/>
                </w:rPr>
              </m:r>
            </m:sub>
          </m:sSub>
          <m:d>
            <m:dPr>
              <m:begChr m:val="("/>
              <m:endChr m:val=")"/>
              <m:sepChr m:val=""/>
              <m:grow/>
            </m:dPr>
            <m:e>
              <m:r>
                <m:t>k</m:t>
                <w:rPr>
                  <w:sz w:val="16"/>
                </w:rPr>
              </m:r>
            </m:e>
          </m:d>
          <m:r>
            <m:rPr>
              <m:sty m:val="p"/>
            </m:rPr>
            <m:t>+</m:t>
            <w:rPr>
              <w:sz w:val="16"/>
            </w:rPr>
          </m:r>
          <m:r>
            <m:t>γ</m:t>
            <w:rPr>
              <w:sz w:val="16"/>
            </w:rPr>
          </m:r>
          <m:sSub>
            <m:e>
              <m:r>
                <m:t>D</m:t>
                <w:rPr>
                  <w:sz w:val="16"/>
                </w:rPr>
              </m:r>
            </m:e>
            <m:sub>
              <m:r>
                <m:rPr>
                  <m:sty m:val="p"/>
                </m:rPr>
                <m:t>g</m:t>
                <w:rPr>
                  <w:sz w:val="16"/>
                </w:rPr>
              </m:r>
              <m:r>
                <m:rPr>
                  <m:sty m:val="p"/>
                </m:rPr>
                <m:t>e</m:t>
                <w:rPr>
                  <w:sz w:val="16"/>
                </w:rPr>
              </m:r>
              <m:r>
                <m:rPr>
                  <m:sty m:val="p"/>
                </m:rPr>
                <m:t>o</m:t>
                <w:rPr>
                  <w:sz w:val="16"/>
                </w:rPr>
              </m:r>
            </m:sub>
          </m:sSub>
          <m:d>
            <m:dPr>
              <m:begChr m:val="("/>
              <m:endChr m:val=")"/>
              <m:sepChr m:val=""/>
              <m:grow/>
            </m:dPr>
            <m:e>
              <m:r>
                <m:t>k</m:t>
                <w:rPr>
                  <w:sz w:val="16"/>
                </w:rPr>
              </m:r>
            </m:e>
          </m:d>
          <m:r>
            <m:rPr>
              <m:sty m:val="p"/>
            </m:rPr>
            <m:t>+</m:t>
            <w:rPr>
              <w:sz w:val="16"/>
            </w:rPr>
          </m:r>
          <m:r>
            <m:t>μ</m:t>
            <w:rPr>
              <w:sz w:val="16"/>
            </w:rPr>
          </m:r>
          <m:sSub>
            <m:e>
              <m:r>
                <m:t>C</m:t>
                <w:rPr>
                  <w:sz w:val="16"/>
                </w:rPr>
              </m:r>
            </m:e>
            <m:sub>
              <m:r>
                <m:rPr>
                  <m:sty m:val="p"/>
                </m:rPr>
                <m:t>t</m:t>
                <w:rPr>
                  <w:sz w:val="16"/>
                </w:rPr>
              </m:r>
              <m:r>
                <m:rPr>
                  <m:sty m:val="p"/>
                </m:rPr>
                <m:t>i</m:t>
                <w:rPr>
                  <w:sz w:val="16"/>
                </w:rPr>
              </m:r>
              <m:r>
                <m:rPr>
                  <m:sty m:val="p"/>
                </m:rPr>
                <m:t>m</m:t>
                <w:rPr>
                  <w:sz w:val="16"/>
                </w:rPr>
              </m:r>
              <m:r>
                <m:rPr>
                  <m:sty m:val="p"/>
                </m:rPr>
                <m:t>e</m:t>
                <w:rPr>
                  <w:sz w:val="16"/>
                </w:rPr>
              </m:r>
            </m:sub>
          </m:sSub>
          <m:d>
            <m:dPr>
              <m:begChr m:val="("/>
              <m:endChr m:val=")"/>
              <m:sepChr m:val=""/>
              <m:grow/>
            </m:dPr>
            <m:e>
              <m:r>
                <m:t>k</m:t>
                <w:rPr>
                  <w:sz w:val="16"/>
                </w:rPr>
              </m:r>
            </m:e>
          </m:d>
          <m:r>
            <m:rPr>
              <m:sty m:val="p"/>
            </m:rPr>
            <m:t>.</m:t>
            <w:rPr>
              <w:sz w:val="16"/>
            </w:rPr>
          </m:r>
        </m:oMath>
      </m:oMathPara>
    </w:p>
    <w:p xmlns:m="http://schemas.openxmlformats.org/officeDocument/2006/math">
      <w:pPr>
        <w:pStyle w:val="Normal"/>
        <w:spacing w:lineRule="atLeast" w:line="360" w:before="60" w:after="100"/>
        <w:ind w:firstLine="0"/>
        <w:jc w:val="center"/>
      </w:pPr>
      <m:oMathPara>
        <m:oMathParaPr>
          <m:jc m:val="center"/>
        </m:oMathParaPr>
        <m:oMath>
          <m:sSup>
            <m:e>
              <m:r>
                <m:t>k</m:t>
                <w:rPr>
                  <w:sz w:val="16"/>
                </w:rPr>
              </m:r>
            </m:e>
            <m:sup>
              <m:r>
                <m:rPr>
                  <m:sty m:val="p"/>
                </m:rPr>
                <m:t>*</m:t>
                <w:rPr>
                  <w:sz w:val="16"/>
                </w:rPr>
              </m:r>
            </m:sup>
          </m:sSup>
          <m:r>
            <m:rPr>
              <m:sty m:val="p"/>
            </m:rPr>
            <m:t>=</m:t>
            <w:rPr>
              <w:sz w:val="16"/>
            </w:rPr>
          </m:r>
          <m:sSub>
            <m:e>
              <m:r>
                <m:rPr>
                  <m:sty m:val="p"/>
                </m:rPr>
                <m:t>argmin</m:t>
                <w:rPr>
                  <w:sz w:val="16"/>
                </w:rPr>
              </m:r>
            </m:e>
            <m:sub>
              <m:r>
                <m:t>k</m:t>
                <w:rPr>
                  <w:sz w:val="16"/>
                </w:rPr>
              </m:r>
            </m:sub>
          </m:sSub>
          <m:sSub>
            <m:e>
              <m:r>
                <m:t>J</m:t>
                <w:rPr>
                  <w:sz w:val="16"/>
                </w:rPr>
              </m:r>
            </m:e>
            <m:sub>
              <m:r>
                <m:t>k</m:t>
                <w:rPr>
                  <w:sz w:val="16"/>
                </w:rPr>
              </m:r>
            </m:sub>
          </m:sSub>
          <m:r>
            <m:rPr>
              <m:sty m:val="p"/>
            </m:rPr>
            <m:t>.</m:t>
            <w:rPr>
              <w:sz w:val="16"/>
            </w:rPr>
          </m:r>
          <m:r>
            <m:t>  </m:t>
            <w:rPr>
              <w:sz w:val="16"/>
            </w:rPr>
          </m:r>
          <m:d>
            <m:dPr>
              <m:begChr m:val="("/>
              <m:endChr m:val=")"/>
              <m:sepChr m:val=""/>
              <m:grow/>
            </m:dPr>
            <m:e>
              <m:r>
                <m:t>17</m:t>
                <w:rPr>
                  <w:sz w:val="16"/>
                </w:rPr>
              </m:r>
            </m:e>
          </m:d>
        </m:oMath>
      </m:oMathPara>
    </w:p>
    <w:p xmlns:m="http://schemas.openxmlformats.org/officeDocument/2006/math">
      <w:pPr>
        <w:pStyle w:val="Normal"/>
      </w:pPr>
      <w:r>
        <w:t xml:space="preserve">各项经标定尺度归一化。</w:t>
      </w:r>
      <m:oMath>
        <m:sSub>
          <m:e>
            <m:r>
              <m:t>R</m:t>
            </m:r>
          </m:e>
          <m:sub>
            <m:r>
              <m:rPr>
                <m:sty m:val="p"/>
              </m:rPr>
              <m:t>v</m:t>
            </m:r>
            <m:r>
              <m:rPr>
                <m:sty m:val="p"/>
              </m:rPr>
              <m:t>a</m:t>
            </m:r>
            <m:r>
              <m:rPr>
                <m:sty m:val="p"/>
              </m:rPr>
              <m:t>l</m:t>
            </m:r>
          </m:sub>
        </m:sSub>
      </m:oMath>
      <w:r>
        <w:t xml:space="preserve"> </w:t>
      </w:r>
      <w:r>
        <w:t xml:space="preserve">来自留出的参考或验证位置，不能使用当前目标真实坐标；</w:t>
      </w:r>
      <m:oMath>
        <m:sSub>
          <m:e>
            <m:r>
              <m:t>D</m:t>
            </m:r>
          </m:e>
          <m:sub>
            <m:r>
              <m:rPr>
                <m:sty m:val="p"/>
              </m:rPr>
              <m:t>g</m:t>
            </m:r>
            <m:r>
              <m:rPr>
                <m:sty m:val="p"/>
              </m:rPr>
              <m:t>e</m:t>
            </m:r>
            <m:r>
              <m:rPr>
                <m:sty m:val="p"/>
              </m:rPr>
              <m:t>o</m:t>
            </m:r>
          </m:sub>
        </m:sSub>
      </m:oMath>
      <w:r>
        <w:t xml:space="preserve"> </w:t>
      </w:r>
      <w:r>
        <w:t xml:space="preserve">可依据邻居位置矩阵秩、空间跨度及上一有效位置的包围关系定义。对于二维区域插值，可优先保持至少三个不共线邻居；当无法满足时应输出区域或失败，而不把单点结果假装成完整二维约束。</w:t>
      </w:r>
    </w:p>
    <w:p xmlns:m="http://schemas.openxmlformats.org/officeDocument/2006/math">
      <w:pPr>
        <w:pStyle w:val="Normal"/>
      </w:pPr>
      <w:r>
        <w:t xml:space="preserve">具体流程如下。正常状态下更新窗口和可信度，保持</w:t>
      </w:r>
      <w:r>
        <w:t xml:space="preserve"> </w:t>
      </w:r>
      <m:oMath>
        <m:sSup>
          <m:e>
            <m:r>
              <m:t>k</m:t>
            </m:r>
          </m:e>
          <m:sup>
            <m:r>
              <m:rPr>
                <m:sty m:val="p"/>
              </m:rPr>
              <m:t>*</m:t>
            </m:r>
          </m:sup>
        </m:sSup>
      </m:oMath>
      <w:r>
        <w:t xml:space="preserve"> </w:t>
      </w:r>
      <w:r>
        <w:t xml:space="preserve">的缓慢变化；当方差偏大且有充足高可信候选时，剔除低可信点并缩小集合；当均值低、有效邻居数不足或证据高冲突时，先重采样再决策；若补采后仍不能恢复覆盖，则扩大候选区域、采用上次位置的运动预测或标记失败。使用两个不同的进入/退出门限形成滞回，防止</w:t>
      </w:r>
      <w:r>
        <w:t xml:space="preserve"> </w:t>
      </w:r>
      <m:oMath>
        <m:r>
          <m:t>k</m:t>
        </m:r>
      </m:oMath>
      <w:r>
        <w:t xml:space="preserve"> </w:t>
      </w:r>
      <w:r>
        <w:t xml:space="preserve">在相邻窗口频繁振荡。</w:t>
      </w:r>
    </w:p>
    <w:p xmlns:m="http://schemas.openxmlformats.org/officeDocument/2006/math">
      <w:pPr>
        <w:pStyle w:val="Normal"/>
      </w:pPr>
      <w:r>
        <w:t xml:space="preserve">重新盘存必须设置最大次数</w:t>
      </w:r>
      <w:r>
        <w:t xml:space="preserve"> </w:t>
      </w:r>
      <m:oMath>
        <m:r>
          <m:t>B</m:t>
        </m:r>
      </m:oMath>
      <w:r>
        <w:t xml:space="preserve"> </w:t>
      </w:r>
      <w:r>
        <w:t xml:space="preserve">和总时限</w:t>
      </w:r>
      <w:r>
        <w:t xml:space="preserve"> </w:t>
      </w:r>
      <m:oMath>
        <m:sSub>
          <m:e>
            <m:r>
              <m:t>T</m:t>
            </m:r>
          </m:e>
          <m:sub>
            <m:r>
              <m:rPr>
                <m:sty m:val="p"/>
              </m:rPr>
              <m:t>max</m:t>
            </m:r>
          </m:sub>
        </m:sSub>
      </m:oMath>
      <w:r>
        <w:t xml:space="preserve">。增加采样可减少随机波动，但并非无成本；目标在补采期间继续运动，还可能加重通道不同步。方案预期不增加标签或读取器数量，却会增加算力、通信和等待。本文未实现该算法，也未获得性能改善数据，相关收益均为待检验假设。</w:t>
      </w:r>
    </w:p>
    <w:p>
      <w:pPr>
        <w:pStyle w:val="Normal"/>
      </w:pPr>
      <w:r>
        <w:t xml:space="preserve">为说明机制而非宣称性能，考虑四个候选标签的可信度为(0.95,0.90,0.20,0.10)。仅按信号距离选四邻居可能混入异常点，但按可信度只保留前两点又不足以支撑一般二维区域插值。正确动作是补采或寻找第三个几何互补的可靠参考点。同样，可信度为(0.10,0.11,0.10,0.09)时方差很小，仍应触发低质量告警。这两个构造示例说明触发规则需要组合指标。</w:t>
      </w:r>
    </w:p>
    <w:p>
      <w:pPr>
        <w:pStyle w:val="Heading2"/>
      </w:pPr>
      <w:r>
        <w:t xml:space="preserve">4.4　验证方案与开放问题</w:t>
      </w:r>
    </w:p>
    <w:p xmlns:m="http://schemas.openxmlformats.org/officeDocument/2006/math">
      <w:pPr>
        <w:pStyle w:val="Normal"/>
      </w:pPr>
      <w:r>
        <w:t xml:space="preserve">有效验证应采用统一读取器、天线功率、标签类型及参考网格，比较固定</w:t>
      </w:r>
      <w:r>
        <w:t xml:space="preserve"> </w:t>
      </w:r>
      <m:oMath>
        <m:r>
          <m:t>k</m:t>
        </m:r>
      </m:oMath>
      <w:r>
        <w:t xml:space="preserve"> </w:t>
      </w:r>
      <w:r>
        <w:t xml:space="preserve">LANDMARC、可信度筛选、筛选加偏差校正和完整自适应方案。测试覆盖空场、人群移动、金属遮挡、参考标签失效及目标连续运动。静态位置与连续轨迹分别评测；参考网格边界应单独列出，不能只测试凸包内部容易定位的位置。</w:t>
      </w:r>
    </w:p>
    <w:p>
      <w:pPr>
        <w:pStyle w:val="Normal"/>
      </w:pPr>
      <w:r>
        <w:t xml:space="preserve">划分数据时以位置和时间段为单位，训练、门限标定和最终测试相互独立，避免把同一位置的相邻RSSI样本随机分到两组造成泄漏。报告平面MAE、RMSE、误差中位数及95%分位，另给失败率、平均有效邻居数、重采样次数和端到端时延。多径条件与缺测比例须可复查；未输出坐标的样本不能从总体成功率中消失。</w:t>
      </w:r>
    </w:p>
    <w:p xmlns:m="http://schemas.openxmlformats.org/officeDocument/2006/math">
      <w:pPr>
        <w:pStyle w:val="Normal"/>
      </w:pPr>
      <w:r>
        <w:t xml:space="preserve">至少设置两种比较预算：固定总采样次数评价算法本身，固定最大时延评价实际服务能力。逐项移除可信度、偏差校正、动态</w:t>
      </w:r>
      <w:r>
        <w:t xml:space="preserve"> </w:t>
      </w:r>
      <m:oMath>
        <m:r>
          <m:t>k</m:t>
        </m:r>
      </m:oMath>
      <w:r>
        <w:t xml:space="preserve">、几何罚项和重采样，辨认收益来源；完整方案若在等预算下只降低成功样本误差，却提高失败率或尾部时延，也不能称为整体改善。重复不同布置，报告不确定区间，并用成对样本比较而非只给一个均值。</w:t>
      </w:r>
    </w:p>
    <w:p>
      <w:pPr>
        <w:pStyle w:val="Normal"/>
      </w:pPr>
      <w:r>
        <w:t xml:space="preserve">相位方法还须在不同天线轨迹、移动速度和标签附着材料下测量轨迹误差敏感性。可探索RSSI提供粗区域、相位提供细分辨率的分层融合，但必须保留相位失败时的退化输出。未来值得关注的方向包括自监督的质量校准、可迁移的传播偏移估计、低读到率下的鲁棒推断，以及与识别吞吐量联合优化的采样调度。关键目标是把“准确的个别结果”变为可持续、可诊断的定位服务。</w:t>
      </w:r>
    </w:p>
    <w:p>
      <w:pPr>
        <w:pStyle w:val="Heading1"/>
      </w:pPr>
      <w:r>
        <w:t xml:space="preserve">5　结论</w:t>
      </w:r>
    </w:p>
    <w:p>
      <w:pPr>
        <w:pStyle w:val="Normal"/>
      </w:pPr>
      <w:r>
        <w:t xml:space="preserve">RFID定位的共同任务是把受环境影响的射频观测转化为空间约束。路径损耗法依赖参数标定；LANDMARC利用局部信号空间相似性进行坐标插值；可信度筛选与偏差校正控制参考质量；SVR学习信号到位置的映射；SAR利用跨孔径传播一致性，FaHo进一步利用邻域与整体全息图结构。这些机制各有信息来源与失败条件，无法仅凭跨论文误差数字确定优劣。</w:t>
      </w:r>
    </w:p>
    <w:p>
      <w:pPr>
        <w:pStyle w:val="Normal"/>
      </w:pPr>
      <w:r>
        <w:t xml:space="preserve">本文将空中盘存、读取器观测报告和应用层质量控制分开，明确了误差单位、指标及证据可获取范围，并提出可信度、有效邻居数和几何覆盖联合约束的自适应选择方案。该方案尚待等预算实测。动态场景中的观测不同步、多径迁移、覆盖不足及置信度失准仍是开放问题；解决它们需要算法、协议调度与实验评价共同设计。</w:t>
      </w:r>
    </w:p>
    <w:p>
      <w:pPr>
        <w:pStyle w:val="Heading1"/>
      </w:pPr>
      <w:r>
        <w:t xml:space="preserve">参考文献</w:t>
      </w:r>
    </w:p>
    <w:p>
      <w:pPr>
        <w:pStyle w:val="Normal"/>
        <w:keepLines/>
        <w:spacing w:line="210" w:lineRule="exact" w:after="60"/>
        <w:ind w:hanging="240" w:left="240"/>
        <w:jc w:val="left"/>
      </w:pPr>
      <w:r>
        <w:rPr>
          <w:sz w:val="16"/>
        </w:rPr>
        <w:t xml:space="preserve">[1] NI L M, LIU Y, LAU Y C, et al. LANDMARC: Indoor location sensing using active RFID[J]. Wireless Networks, 2004, 10(6): 701-710. DOI: 10.1023/B:WINE.0000044029.06344.dd.</w:t>
      </w:r>
    </w:p>
    <w:p>
      <w:pPr>
        <w:pStyle w:val="Normal"/>
        <w:keepLines/>
        <w:spacing w:line="210" w:lineRule="exact" w:after="60"/>
        <w:ind w:hanging="240" w:left="240"/>
        <w:jc w:val="left"/>
      </w:pPr>
      <w:r>
        <w:rPr>
          <w:sz w:val="16"/>
        </w:rPr>
        <w:t xml:space="preserve">[2] XU H, WU M, LI P, et al. An RFID indoor positioning algorithm based on support vector regression[J]. Sensors, 2018, 18(5): 1504. DOI: 10.3390/s18051504.</w:t>
      </w:r>
    </w:p>
    <w:p>
      <w:pPr>
        <w:pStyle w:val="Normal"/>
        <w:keepLines/>
        <w:spacing w:line="210" w:lineRule="exact" w:after="60"/>
        <w:ind w:hanging="240" w:left="240"/>
        <w:jc w:val="left"/>
      </w:pPr>
      <w:r>
        <w:rPr>
          <w:sz w:val="16"/>
        </w:rPr>
        <w:t xml:space="preserve">[3] XU H, WANG D, ZHAO R, et al. FaHo: Deep learning enhanced holographic localization for RFID tags[C]//Proceedings of the 17th Conference on Embedded Networked Sensor Systems. New York: ACM, 2019: 351-363. DOI: 10.1145/3356250.3360035.</w:t>
      </w:r>
    </w:p>
    <w:p>
      <w:pPr>
        <w:pStyle w:val="Normal"/>
        <w:keepLines/>
        <w:spacing w:line="210" w:lineRule="exact" w:after="60"/>
        <w:ind w:hanging="240" w:left="240"/>
        <w:jc w:val="left"/>
      </w:pPr>
      <w:r>
        <w:rPr>
          <w:sz w:val="16"/>
        </w:rPr>
        <w:t xml:space="preserve">[4] 汪冬, 葛万成, 莫国民, 等. 基于参考标签可信度和偏差自校正的RFID室内定位算法[J]. 计算机应用, 2014, 34(11): 3170-3172. DOI: 10.11772/j.issn.1001-9081.2014.11.3170.</w:t>
      </w:r>
    </w:p>
    <w:p>
      <w:pPr>
        <w:pStyle w:val="Normal"/>
        <w:keepLines/>
        <w:spacing w:line="210" w:lineRule="exact" w:after="60"/>
        <w:ind w:hanging="240" w:left="240"/>
        <w:jc w:val="left"/>
      </w:pPr>
      <w:r>
        <w:rPr>
          <w:sz w:val="16"/>
        </w:rPr>
        <w:t xml:space="preserve">[5] 王远哲, 毛陆虹, 刘辉, 等. 基于参考标签的射频识别定位算法研究与应用[J]. 通信学报, 2010, 31(2): 86-92.</w:t>
      </w:r>
    </w:p>
    <w:p>
      <w:pPr>
        <w:pStyle w:val="Normal"/>
        <w:keepLines/>
        <w:spacing w:line="210" w:lineRule="exact" w:after="60"/>
        <w:ind w:hanging="240" w:left="240"/>
        <w:jc w:val="left"/>
      </w:pPr>
      <w:r>
        <w:rPr>
          <w:sz w:val="16"/>
        </w:rPr>
        <w:t xml:space="preserve">[6] JIN G, CHEN Z, WANG Y, et al. Improved SAR method for RFID-based indoor position sensing[J]. Sensors and Actuators A: Physical, 2025, 393: 116799. DOI: 10.1016/j.sna.2025.116799.</w:t>
      </w:r>
    </w:p>
    <w:p>
      <w:pPr>
        <w:pStyle w:val="Normal"/>
        <w:keepLines/>
        <w:spacing w:line="210" w:lineRule="exact" w:after="60"/>
        <w:ind w:hanging="240" w:left="240"/>
        <w:jc w:val="left"/>
      </w:pPr>
      <w:r>
        <w:rPr>
          <w:sz w:val="16"/>
        </w:rPr>
        <w:t xml:space="preserve">[7] GS1. EPC radio-frequency identity protocols generation-2 UHF RFID: Version 2.0.1[S/OL]. Brussels: GS1, 2015[2026-10-11]. https://ref.gs1.org/standards/gen2/2.0.1/.</w:t>
      </w:r>
    </w:p>
    <w:p>
      <w:pPr>
        <w:pStyle w:val="Normal"/>
        <w:keepLines/>
        <w:spacing w:line="210" w:lineRule="exact" w:after="60"/>
        <w:ind w:hanging="240" w:left="240"/>
        <w:jc w:val="left"/>
      </w:pPr>
      <w:r>
        <w:rPr>
          <w:sz w:val="16"/>
        </w:rPr>
        <w:t xml:space="preserve">[8] JOUHAR B, TRIBAK A, TERHZAZ J, et al. Comparative study of indoor localization methods using RFID technology[C]//2024 International Microwave and Antenna Symposium (IMAS). Piscataway: IEEE, 2024. DOI: 10.1109/IMAS61316.2024.10818100.</w:t>
      </w:r>
    </w:p>
    <w:p>
      <w:pPr>
        <w:pStyle w:val="Normal"/>
        <w:keepLines/>
        <w:spacing w:line="210" w:lineRule="exact" w:after="60"/>
        <w:ind w:hanging="240" w:left="240"/>
        <w:jc w:val="left"/>
      </w:pPr>
      <w:r>
        <w:rPr>
          <w:sz w:val="16"/>
        </w:rPr>
        <w:t xml:space="preserve">[9] WEI H, WANG D. Research on improved RFID indoor location algorithm based on LANDMARC[C]//Proceedings of the 4th International Conference on Robotics, Intelligent Control and Artificial Intelligence. New York: ACM, 2023: 1294-1297. DOI: 10.1145/3584376.3584604.</w:t>
      </w:r>
    </w:p>
    <w:p>
      <w:pPr>
        <w:pStyle w:val="Normal"/>
        <w:keepLines/>
        <w:spacing w:line="210" w:lineRule="exact" w:after="60"/>
        <w:ind w:hanging="240" w:left="240"/>
        <w:jc w:val="left"/>
      </w:pPr>
      <w:r>
        <w:rPr>
          <w:sz w:val="16"/>
        </w:rPr>
        <w:t xml:space="preserve">[10] LOEFFLER A, GERHAEUSER H. Localizing with passive UHF RFID tags using wideband signals[M/OL]//REAZ M B I. Radio frequency identification from system to applications. Rijeka: InTech, 2013[2026-10-11]. DOI: 10.5772/53769. https://www.intechopen.com/chapters/45041.</w:t>
      </w:r>
    </w:p>
    <w:p>
      <w:pPr>
        <w:pStyle w:val="Normal"/>
        <w:keepLines/>
        <w:spacing w:line="210" w:lineRule="exact" w:after="60"/>
        <w:ind w:hanging="240" w:left="240"/>
        <w:jc w:val="left"/>
      </w:pPr>
      <w:r>
        <w:rPr>
          <w:sz w:val="16"/>
        </w:rPr>
        <w:t xml:space="preserve">[11] SHAFER G. A mathematical theory of evidence[M]. Princeton: Princeton University Press, 1976.</w:t>
      </w:r>
    </w:p>
    <w:p>
      <w:pPr>
        <w:sectPr>
          <w:footnotePr>
            <w:numFmt w:val="decimal"/>
            <w:numRestart w:val="eachPage"/>
          </w:footnotePr>
          <w:type w:val="continuous"/>
          <w:pgSz w:w="10440" w:h="14740"/>
          <w:pgMar w:left="822" w:right="822" w:gutter="0" w:header="425" w:top="793" w:footer="510" w:bottom="1247"/>
          <w:formProt w:val="false"/>
          <w:textDirection w:val="lrTb"/>
          <w:cols w:num="2" w:space="340" w:equalWidth="1"/>
        </w:sectPr>
      </w:pPr>
    </w:p>
    <w:sectPr>
      <w:footnotePr>
        <w:numFmt w:val="decimal"/>
        <w:numRestart w:val="eachPage"/>
      </w:footnotePr>
      <w:type w:val="continuous"/>
      <w:pgSz w:w="10440" w:h="14740"/>
      <w:pgMar w:left="822" w:right="822" w:gutter="0" w:header="425" w:top="793" w:footer="510" w:bottom="1247"/>
      <w:formProt w:val="false"/>
      <w:textDirection w:val="lrTb"/>
      <w:cols w:num="2" w:space="340" w:equalWidth="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Monotype Sorts">
    <w:altName w:val="Euclid Extra"/>
    <w:charset w:val="02"/>
    <w:family w:val="auto"/>
    <w:pitch w:val="variable"/>
  </w:font>
  <w:font w:name="宋体">
    <w:altName w:val="SimSun"/>
    <w:charset w:val="86"/>
    <w:family w:val="auto"/>
    <w:pitch w:val="variable"/>
  </w:font>
  <w:font w:name="Calibri">
    <w:charset w:val="00"/>
    <w:family w:val="swiss"/>
    <w:pitch w:val="variable"/>
  </w:font>
  <w:font w:name="Courier New">
    <w:charset w:val="00"/>
    <w:family w:val="modern"/>
    <w:pitch w:val="default"/>
  </w:font>
  <w:font w:name="Times">
    <w:altName w:val="Times New Roman"/>
    <w:charset w:val="00"/>
    <w:family w:val="roman"/>
    <w:pitch w:val="variable"/>
  </w:font>
  <w:font w:name="仿宋_GB2312">
    <w:altName w:val="仿宋"/>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ind w:firstLine="0"/>
      <w:jc w:val="center"/>
    </w:pPr>
    <w:fldSimple w:instr="PAGE">
      <w:r>
        <w:t>1</w:t>
      </w:r>
    </w:fldSimple>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firstLine="0"/>
    </w:pPr>
    <w:r>
      <w:rPr>
        <w:sz w:val="16"/>
      </w:rPr>
      <w:t>RFID室内定位机制综述　　　　　　　　　技术报告</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
      <w:lvlJc w:val="start"/>
      <w:pPr>
        <w:tabs>
          <w:tab w:val="num" w:pos="360"/>
        </w:tabs>
        <w:ind w:start="0" w:hanging="0"/>
      </w:pPr>
      <w:rPr>
        <w:rFonts w:ascii="Times New Roman" w:hAnsi="Times New Roman" w:cs="Times New Roman"/>
        <w:b/>
        <w:i w:val="false"/>
        <w:sz w:val="21"/>
      </w:rPr>
    </w:lvl>
    <w:lvl w:ilvl="1">
      <w:start w:val="1"/>
      <w:numFmt w:val="decimal"/>
      <w:pStyle w:val="Heading2"/>
      <w:lvlText w:val="%1.%2  "/>
      <w:lvlJc w:val="start"/>
      <w:pPr>
        <w:tabs>
          <w:tab w:val="num" w:pos="360"/>
        </w:tabs>
        <w:ind w:start="0" w:hanging="0"/>
      </w:pPr>
      <w:rPr>
        <w:rFonts w:ascii="Times New Roman" w:hAnsi="Times New Roman" w:cs="Times New Roman"/>
        <w:b/>
        <w:i w:val="false"/>
        <w:sz w:val="18"/>
      </w:rPr>
    </w:lvl>
    <w:lvl w:ilvl="2">
      <w:start w:val="1"/>
      <w:numFmt w:val="decimal"/>
      <w:pStyle w:val="Heading3"/>
      <w:lvlText w:val="%1.%2.%3  "/>
      <w:lvlJc w:val="start"/>
      <w:pPr>
        <w:tabs>
          <w:tab w:val="num" w:pos="720"/>
        </w:tabs>
        <w:ind w:start="0" w:hanging="0"/>
      </w:pPr>
      <w:rPr>
        <w:rFonts w:ascii="Times New Roman" w:hAnsi="Times New Roman" w:cs="Times New Roman"/>
        <w:b w:val="false"/>
        <w:i w:val="false"/>
        <w:sz w:val="18"/>
      </w:rPr>
    </w:lvl>
    <w:lvl w:ilvl="3">
      <w:start w:val="1"/>
      <w:numFmt w:val="decimal"/>
      <w:pStyle w:val="Heading4"/>
      <w:lvlText w:val="%1.%2.%3.%4  "/>
      <w:lvlJc w:val="start"/>
      <w:pPr>
        <w:tabs>
          <w:tab w:val="num" w:pos="720"/>
        </w:tabs>
        <w:ind w:start="0" w:hanging="0"/>
      </w:pPr>
      <w:rPr>
        <w:rFonts w:ascii="Times New Roman" w:hAnsi="Times New Roman" w:cs="Times New Roman"/>
        <w:b/>
        <w:i w:val="false"/>
        <w:sz w:val="18"/>
      </w:rPr>
    </w:lvl>
    <w:lvl w:ilvl="4">
      <w:start w:val="1"/>
      <w:numFmt w:val="decimal"/>
      <w:pStyle w:val="Heading5"/>
      <w:lvlText w:val="%1.%2.%3.%4.%5"/>
      <w:lvlJc w:val="start"/>
      <w:pPr>
        <w:tabs>
          <w:tab w:val="num" w:pos="1008"/>
        </w:tabs>
        <w:ind w:start="1008" w:hanging="1008"/>
      </w:pPr>
      <w:rPr>
        <w:rFonts w:hint="eastAsia"/>
      </w:rPr>
    </w:lvl>
    <w:lvl w:ilvl="5">
      <w:start w:val="1"/>
      <w:numFmt w:val="decimal"/>
      <w:pStyle w:val="Heading6"/>
      <w:lvlText w:val="%1.%2.%3.%4.%5.%6"/>
      <w:lvlJc w:val="start"/>
      <w:pPr>
        <w:tabs>
          <w:tab w:val="num" w:pos="1152"/>
        </w:tabs>
        <w:ind w:start="1152" w:hanging="1152"/>
      </w:pPr>
      <w:rPr>
        <w:rFonts w:hint="eastAsia"/>
      </w:rPr>
    </w:lvl>
    <w:lvl w:ilvl="6">
      <w:start w:val="1"/>
      <w:numFmt w:val="decimal"/>
      <w:pStyle w:val="Heading7"/>
      <w:lvlText w:val="%1.%2.%3.%4.%5.%6.%7"/>
      <w:lvlJc w:val="start"/>
      <w:pPr>
        <w:tabs>
          <w:tab w:val="num" w:pos="1296"/>
        </w:tabs>
        <w:ind w:start="1296" w:hanging="1296"/>
      </w:pPr>
      <w:rPr>
        <w:rFonts w:hint="eastAsia"/>
      </w:rPr>
    </w:lvl>
    <w:lvl w:ilvl="7">
      <w:start w:val="1"/>
      <w:numFmt w:val="decimal"/>
      <w:pStyle w:val="Heading8"/>
      <w:lvlText w:val="%1.%2.%3.%4.%5.%6.%7.%8"/>
      <w:lvlJc w:val="start"/>
      <w:pPr>
        <w:tabs>
          <w:tab w:val="num" w:pos="1440"/>
        </w:tabs>
        <w:ind w:start="1440" w:hanging="1440"/>
      </w:pPr>
      <w:rPr>
        <w:rFonts w:hint="eastAsia"/>
      </w:rPr>
    </w:lvl>
    <w:lvl w:ilvl="8">
      <w:start w:val="1"/>
      <w:numFmt w:val="decimal"/>
      <w:pStyle w:val="Heading9"/>
      <w:lvlText w:val="%1.%2.%3.%4.%5.%6.%7.%8.%9"/>
      <w:lvlJc w:val="start"/>
      <w:pPr>
        <w:tabs>
          <w:tab w:val="num" w:pos="1584"/>
        </w:tabs>
        <w:ind w:start="1584" w:hanging="1584"/>
      </w:pPr>
      <w:rPr>
        <w:rFonts w:hint="eastAsia"/>
      </w:rPr>
    </w:lvl>
  </w:abstractNum>
  <w:abstractNum w:abstractNumId="2">
    <w:lvl w:ilvl="0">
      <w:start w:val="1"/>
      <w:numFmt w:val="decimal"/>
      <w:lvlText w:val="%1."/>
      <w:lvlJc w:val="start"/>
      <w:pPr>
        <w:tabs>
          <w:tab w:val="num" w:pos="2040"/>
        </w:tabs>
        <w:ind w:start="2040" w:hanging="360"/>
      </w:pPr>
    </w:lvl>
  </w:abstractNum>
  <w:abstractNum w:abstractNumId="3">
    <w:lvl w:ilvl="0">
      <w:start w:val="1"/>
      <w:numFmt w:val="decimal"/>
      <w:lvlText w:val="%1."/>
      <w:lvlJc w:val="start"/>
      <w:pPr>
        <w:tabs>
          <w:tab w:val="num" w:pos="1620"/>
        </w:tabs>
        <w:ind w:start="1620" w:hanging="360"/>
      </w:pPr>
    </w:lvl>
  </w:abstractNum>
  <w:abstractNum w:abstractNumId="4">
    <w:lvl w:ilvl="0">
      <w:start w:val="1"/>
      <w:numFmt w:val="decimal"/>
      <w:lvlText w:val="%1."/>
      <w:lvlJc w:val="start"/>
      <w:pPr>
        <w:tabs>
          <w:tab w:val="num" w:pos="1200"/>
        </w:tabs>
        <w:ind w:start="1200" w:hanging="360"/>
      </w:pPr>
    </w:lvl>
  </w:abstractNum>
  <w:abstractNum w:abstractNumId="5">
    <w:lvl w:ilvl="0">
      <w:start w:val="1"/>
      <w:numFmt w:val="decimal"/>
      <w:lvlText w:val="%1."/>
      <w:lvlJc w:val="start"/>
      <w:pPr>
        <w:tabs>
          <w:tab w:val="num" w:pos="780"/>
        </w:tabs>
        <w:ind w:start="780" w:hanging="360"/>
      </w:pPr>
    </w:lvl>
  </w:abstractNum>
  <w:abstractNum w:abstractNumId="6">
    <w:lvl w:ilvl="0">
      <w:start w:val="1"/>
      <w:numFmt w:val="bullet"/>
      <w:lvlText w:val=""/>
      <w:lvlJc w:val="start"/>
      <w:pPr>
        <w:tabs>
          <w:tab w:val="num" w:pos="2040"/>
        </w:tabs>
        <w:ind w:start="2040" w:hanging="360"/>
      </w:pPr>
      <w:rPr>
        <w:rFonts w:ascii="Wingdings" w:hAnsi="Wingdings" w:cs="Wingdings" w:hint="default"/>
      </w:rPr>
    </w:lvl>
  </w:abstractNum>
  <w:abstractNum w:abstractNumId="7">
    <w:lvl w:ilvl="0">
      <w:start w:val="1"/>
      <w:numFmt w:val="bullet"/>
      <w:lvlText w:val=""/>
      <w:lvlJc w:val="start"/>
      <w:pPr>
        <w:tabs>
          <w:tab w:val="num" w:pos="1620"/>
        </w:tabs>
        <w:ind w:start="1620" w:hanging="360"/>
      </w:pPr>
      <w:rPr>
        <w:rFonts w:ascii="Wingdings" w:hAnsi="Wingdings" w:cs="Wingdings" w:hint="default"/>
      </w:rPr>
    </w:lvl>
  </w:abstractNum>
  <w:abstractNum w:abstractNumId="8">
    <w:lvl w:ilvl="0">
      <w:start w:val="1"/>
      <w:numFmt w:val="bullet"/>
      <w:lvlText w:val=""/>
      <w:lvlJc w:val="start"/>
      <w:pPr>
        <w:tabs>
          <w:tab w:val="num" w:pos="1200"/>
        </w:tabs>
        <w:ind w:start="1200" w:hanging="360"/>
      </w:pPr>
      <w:rPr>
        <w:rFonts w:ascii="Wingdings" w:hAnsi="Wingdings" w:cs="Wingdings" w:hint="default"/>
      </w:rPr>
    </w:lvl>
  </w:abstractNum>
  <w:abstractNum w:abstractNumId="9">
    <w:lvl w:ilvl="0">
      <w:start w:val="1"/>
      <w:numFmt w:val="bullet"/>
      <w:lvlText w:val=""/>
      <w:lvlJc w:val="start"/>
      <w:pPr>
        <w:tabs>
          <w:tab w:val="num" w:pos="780"/>
        </w:tabs>
        <w:ind w:start="780" w:hanging="360"/>
      </w:pPr>
      <w:rPr>
        <w:rFonts w:ascii="Wingdings" w:hAnsi="Wingdings" w:cs="Wingdings" w:hint="default"/>
      </w:rPr>
    </w:lvl>
  </w:abstractNum>
  <w:abstractNum w:abstractNumId="10">
    <w:lvl w:ilvl="0">
      <w:start w:val="1"/>
      <w:numFmt w:val="decimal"/>
      <w:lvlText w:val="%1."/>
      <w:lvlJc w:val="start"/>
      <w:pPr>
        <w:tabs>
          <w:tab w:val="num" w:pos="360"/>
        </w:tabs>
        <w:ind w:start="360" w:hanging="360"/>
      </w:pPr>
    </w:lvl>
  </w:abstractNum>
  <w:abstractNum w:abstractNumId="11">
    <w:lvl w:ilvl="0">
      <w:start w:val="1"/>
      <w:numFmt w:val="bullet"/>
      <w:lvlText w:val=""/>
      <w:lvlJc w:val="start"/>
      <w:pPr>
        <w:tabs>
          <w:tab w:val="num" w:pos="360"/>
        </w:tabs>
        <w:ind w:start="360" w:hanging="360"/>
      </w:pPr>
      <w:rPr>
        <w:rFonts w:ascii="Wingdings" w:hAnsi="Wingdings" w:cs="Wingdings" w:hint="default"/>
      </w:rPr>
    </w:lvl>
  </w:abstractNum>
  <w:abstractNum w:abstractNumId="12">
    <w:lvl w:ilvl="0">
      <w:start w:val="1"/>
      <w:numFmt w:val="decimal"/>
      <w:lvlText w:val="[%1]"/>
      <w:lvlJc w:val="start"/>
      <w:pPr>
        <w:tabs>
          <w:tab w:val="num" w:pos="567"/>
        </w:tabs>
        <w:ind w:start="567" w:hanging="567"/>
      </w:pPr>
      <w:rPr>
        <w:rFonts w:hint="eastAsia"/>
      </w:rPr>
    </w:lvl>
  </w:abstractNum>
  <w:abstractNum w:abstractNumId="13">
    <w:lvl w:ilvl="0">
      <w:start w:val="1"/>
      <w:numFmt w:val="decimal"/>
      <w:lvlText w:val="[%1]  "/>
      <w:lvlJc w:val="end"/>
      <w:pPr>
        <w:tabs>
          <w:tab w:val="num" w:pos="419"/>
        </w:tabs>
        <w:ind w:start="419" w:hanging="79"/>
      </w:pPr>
      <w:rPr>
        <w:rFonts w:ascii="Times New Roman" w:hAnsi="Times New Roman" w:eastAsia="宋体;SimSun" w:cs="Times New Roman"/>
        <w:b w:val="false"/>
        <w:i w:val="false"/>
        <w:sz w:val="15"/>
      </w:rPr>
    </w:lvl>
  </w:abstractNum>
  <w:abstractNum w:abstractNumId="14">
    <w:lvl w:ilvl="0">
      <w:start w:val="1"/>
      <w:numFmt w:val="decimal"/>
      <w:lvlText w:val="[%1]  "/>
      <w:lvlJc w:val="end"/>
      <w:pPr>
        <w:tabs>
          <w:tab w:val="num" w:pos="418"/>
        </w:tabs>
        <w:ind w:start="418" w:hanging="21"/>
      </w:pPr>
      <w:rPr>
        <w:rFonts w:ascii="Times New Roman" w:hAnsi="Times New Roman" w:eastAsia="宋体;SimSun" w:cs="Times New Roman"/>
        <w:b w:val="false"/>
        <w:i w:val="false"/>
        <w:sz w:val="15"/>
      </w:rPr>
    </w:lvl>
  </w:abstractNum>
  <w:abstractNum w:abstractNumId="15">
    <w:lvl w:ilvl="0">
      <w:start w:val="1"/>
      <w:numFmt w:val="decimal"/>
      <w:lvlText w:val="[%1]"/>
      <w:lvlJc w:val="end"/>
      <w:pPr>
        <w:tabs>
          <w:tab w:val="num" w:pos="397"/>
        </w:tabs>
        <w:ind w:start="397" w:hanging="113"/>
      </w:pPr>
      <w:rPr>
        <w:rFonts w:hint="eastAsia"/>
      </w:rPr>
    </w:lvl>
    <w:lvl w:ilvl="1">
      <w:start w:val="1"/>
      <w:numFmt w:val="lowerLetter"/>
      <w:lvlText w:val="%2)"/>
      <w:lvlJc w:val="start"/>
      <w:pPr>
        <w:tabs>
          <w:tab w:val="num" w:pos="840"/>
        </w:tabs>
        <w:ind w:start="840" w:hanging="420"/>
      </w:pPr>
    </w:lvl>
    <w:lvl w:ilvl="2">
      <w:start w:val="1"/>
      <w:numFmt w:val="lowerRoman"/>
      <w:lvlText w:val="%3."/>
      <w:lvlJc w:val="end"/>
      <w:pPr>
        <w:tabs>
          <w:tab w:val="num" w:pos="1260"/>
        </w:tabs>
        <w:ind w:start="1260" w:hanging="420"/>
      </w:pPr>
    </w:lvl>
    <w:lvl w:ilvl="3">
      <w:start w:val="1"/>
      <w:numFmt w:val="decimal"/>
      <w:lvlText w:val="%4."/>
      <w:lvlJc w:val="start"/>
      <w:pPr>
        <w:tabs>
          <w:tab w:val="num" w:pos="1680"/>
        </w:tabs>
        <w:ind w:start="1680" w:hanging="420"/>
      </w:pPr>
    </w:lvl>
    <w:lvl w:ilvl="4">
      <w:start w:val="1"/>
      <w:numFmt w:val="lowerLetter"/>
      <w:lvlText w:val="%5)"/>
      <w:lvlJc w:val="start"/>
      <w:pPr>
        <w:tabs>
          <w:tab w:val="num" w:pos="2100"/>
        </w:tabs>
        <w:ind w:start="2100" w:hanging="420"/>
      </w:pPr>
    </w:lvl>
    <w:lvl w:ilvl="5">
      <w:start w:val="1"/>
      <w:numFmt w:val="lowerRoman"/>
      <w:lvlText w:val="%6."/>
      <w:lvlJc w:val="end"/>
      <w:pPr>
        <w:tabs>
          <w:tab w:val="num" w:pos="2520"/>
        </w:tabs>
        <w:ind w:start="2520" w:hanging="420"/>
      </w:pPr>
    </w:lvl>
    <w:lvl w:ilvl="6">
      <w:start w:val="1"/>
      <w:numFmt w:val="decimal"/>
      <w:lvlText w:val="%7."/>
      <w:lvlJc w:val="start"/>
      <w:pPr>
        <w:tabs>
          <w:tab w:val="num" w:pos="2940"/>
        </w:tabs>
        <w:ind w:start="2940" w:hanging="420"/>
      </w:pPr>
    </w:lvl>
    <w:lvl w:ilvl="7">
      <w:start w:val="1"/>
      <w:numFmt w:val="lowerLetter"/>
      <w:lvlText w:val="%8)"/>
      <w:lvlJc w:val="start"/>
      <w:pPr>
        <w:tabs>
          <w:tab w:val="num" w:pos="3360"/>
        </w:tabs>
        <w:ind w:start="3360" w:hanging="420"/>
      </w:pPr>
    </w:lvl>
    <w:lvl w:ilvl="8">
      <w:start w:val="1"/>
      <w:numFmt w:val="lowerRoman"/>
      <w:lvlText w:val="%9."/>
      <w:lvlJc w:val="end"/>
      <w:pPr>
        <w:tabs>
          <w:tab w:val="num" w:pos="3780"/>
        </w:tabs>
        <w:ind w:start="3780" w:hanging="42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50"/>
  <w:mirrorMargins/>
  <w:defaultTabStop w:val="420"/>
  <w:autoHyphenation w:val="true"/>
  <w:hyphenationZone w:val="0"/>
  <w:footnotePr>
    <w:numFmt w:val="decimal"/>
    <w:numRestart w:val="eachPage"/>
    <w:footnote w:id="0"/>
    <w:footnote w:id="1"/>
  </w:footnotePr>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sz w:val="24"/>
        <w:szCs w:val="24"/>
        <w:lang w:val="en-US" w:eastAsia="zh-CN" w:bidi="hi-IN"/>
      </w:rPr>
    </w:rPrDefault>
    <w:pPrDefault>
      <w:pPr>
        <w:suppressAutoHyphens w:val="true"/>
      </w:pPr>
    </w:pPrDefault>
  </w:docDefaults>
  <w:style w:type="paragraph" w:styleId="Normal">
    <w:name w:val="Normal"/>
    <w:qFormat/>
    <w:pPr>
      <w:widowControl/>
      <w:overflowPunct w:val="false"/>
      <w:bidi w:val="0"/>
      <w:spacing w:line="260" w:lineRule="exact" w:before="0" w:after="40"/>
      <w:ind w:firstLine="360"/>
      <w:jc w:val="both"/>
    </w:pPr>
    <w:rPr>
      <w:rFonts w:ascii="Liberation Serif" w:hAnsi="Liberation Serif" w:eastAsia="Noto Serif CJK SC" w:cs="Times New Roman"/>
      <w:b w:val="0"/>
      <w:i w:val="0"/>
      <w:color w:val="auto"/>
      <w:kern w:val="2"/>
      <w:sz w:val="18"/>
      <w:szCs w:val="20"/>
      <w:lang w:bidi="ar-SA" w:val="en-US" w:eastAsia="zh-CN"/>
    </w:rPr>
  </w:style>
  <w:style w:type="paragraph" w:styleId="Heading1">
    <w:name w:val="heading 1"/>
    <w:basedOn w:val="Normal"/>
    <w:next w:val="BodyText"/>
    <w:qFormat/>
    <w:pPr>
      <w:keepNext/>
      <w:keepLines/>
      <w:tabs>
        <w:tab w:val="clear" w:pos="420"/>
        <w:tab w:val="left" w:pos="318" w:leader="none"/>
      </w:tabs>
      <w:spacing w:before="120" w:after="80" w:line="300" w:lineRule="exact"/>
      <w:ind w:firstLine="0"/>
      <w:jc w:val="start"/>
      <w:textAlignment w:val="baseline"/>
      <w:outlineLvl w:val="0"/>
    </w:pPr>
    <w:rPr>
      <w:rFonts w:eastAsia="Noto Serif CJK SC" w:ascii="Liberation Serif" w:hAnsi="Liberation Serif"/>
      <w:b/>
      <w:i w:val="0"/>
      <w:kern w:val="0"/>
      <w:sz w:val="21"/>
    </w:rPr>
  </w:style>
  <w:style w:type="paragraph" w:styleId="Heading2">
    <w:name w:val="heading 2"/>
    <w:basedOn w:val="Normal"/>
    <w:next w:val="BodyText"/>
    <w:qFormat/>
    <w:pPr>
      <w:keepNext/>
      <w:keepLines/>
      <w:tabs>
        <w:tab w:val="clear" w:pos="420"/>
        <w:tab w:val="left" w:pos="414" w:leader="none"/>
      </w:tabs>
      <w:autoSpaceDE w:val="false"/>
      <w:spacing w:before="120" w:after="80" w:line="300" w:lineRule="exact"/>
      <w:ind w:firstLine="0"/>
      <w:jc w:val="start"/>
      <w:textAlignment w:val="baseline"/>
      <w:outlineLvl w:val="1"/>
    </w:pPr>
    <w:rPr>
      <w:rFonts w:eastAsia="Noto Serif CJK SC" w:ascii="Liberation Serif" w:hAnsi="Liberation Serif"/>
      <w:b/>
      <w:i w:val="0"/>
      <w:kern w:val="0"/>
      <w:sz w:val="20"/>
    </w:rPr>
  </w:style>
  <w:style w:type="paragraph" w:styleId="Heading3">
    <w:name w:val="heading 3"/>
    <w:basedOn w:val="Normal"/>
    <w:next w:val="BodyText"/>
    <w:qFormat/>
    <w:pPr>
      <w:keepNext/>
      <w:keepLines/>
      <w:tabs>
        <w:tab w:val="clear" w:pos="420"/>
        <w:tab w:val="left" w:pos="561" w:leader="none"/>
      </w:tabs>
      <w:spacing w:before="120" w:after="80" w:line="300" w:lineRule="exact"/>
      <w:ind w:firstLine="0"/>
      <w:jc w:val="start"/>
      <w:outlineLvl w:val="2"/>
    </w:pPr>
    <w:rPr>
      <w:rFonts w:ascii="Liberation Serif" w:hAnsi="Liberation Serif" w:eastAsia="Noto Serif CJK SC"/>
      <w:b/>
      <w:i w:val="0"/>
      <w:sz w:val="19"/>
      <w:lang w:val="en-US"/>
    </w:rPr>
  </w:style>
  <w:style w:type="paragraph" w:styleId="Heading4">
    <w:name w:val="heading 4"/>
    <w:basedOn w:val="Normal"/>
    <w:next w:val="Normal"/>
    <w:qFormat/>
    <w:pPr>
      <w:keepNext w:val="true"/>
      <w:keepLines/>
      <w:jc w:val="start"/>
      <w:outlineLvl w:val="3"/>
    </w:pPr>
    <w:rPr>
      <w:rFonts w:ascii="Arial" w:hAnsi="Arial" w:eastAsia="黑体;SimHei" w:cs="Arial"/>
      <w:lang w:val="en-US"/>
    </w:rPr>
  </w:style>
  <w:style w:type="paragraph" w:styleId="Heading5">
    <w:name w:val="heading 5"/>
    <w:basedOn w:val="Normal"/>
    <w:next w:val="Normal"/>
    <w:qFormat/>
    <w:pPr>
      <w:keepNext w:val="true"/>
      <w:keepLines/>
      <w:spacing w:lineRule="auto" w:line="374" w:before="280" w:after="290"/>
      <w:outlineLvl w:val="4"/>
    </w:pPr>
    <w:rPr>
      <w:b/>
      <w:sz w:val="28"/>
    </w:rPr>
  </w:style>
  <w:style w:type="paragraph" w:styleId="Heading6">
    <w:name w:val="heading 6"/>
    <w:basedOn w:val="Normal"/>
    <w:next w:val="Normal"/>
    <w:qFormat/>
    <w:pPr>
      <w:keepNext w:val="true"/>
      <w:keepLines/>
      <w:spacing w:before="240" w:after="64"/>
      <w:jc w:val="start"/>
      <w:outlineLvl w:val="5"/>
    </w:pPr>
    <w:rPr>
      <w:sz w:val="18"/>
    </w:rPr>
  </w:style>
  <w:style w:type="paragraph" w:styleId="Heading7">
    <w:name w:val="heading 7"/>
    <w:basedOn w:val="Normal"/>
    <w:next w:val="Normal"/>
    <w:qFormat/>
    <w:pPr>
      <w:keepNext w:val="true"/>
      <w:keepLines/>
      <w:spacing w:lineRule="auto" w:line="319" w:before="240" w:after="64"/>
      <w:outlineLvl w:val="6"/>
    </w:pPr>
    <w:rPr>
      <w:b/>
      <w:sz w:val="24"/>
    </w:rPr>
  </w:style>
  <w:style w:type="paragraph" w:styleId="Heading8">
    <w:name w:val="heading 8"/>
    <w:basedOn w:val="Normal"/>
    <w:next w:val="Normal"/>
    <w:qFormat/>
    <w:pPr>
      <w:keepNext w:val="true"/>
      <w:keepLines/>
      <w:spacing w:lineRule="auto" w:line="319" w:before="240" w:after="64"/>
      <w:outlineLvl w:val="7"/>
    </w:pPr>
    <w:rPr>
      <w:rFonts w:ascii="Arial" w:hAnsi="Arial" w:eastAsia="黑体;SimHei" w:cs="Arial"/>
      <w:sz w:val="24"/>
    </w:rPr>
  </w:style>
  <w:style w:type="paragraph" w:styleId="Heading9">
    <w:name w:val="heading 9"/>
    <w:basedOn w:val="Normal"/>
    <w:next w:val="Normal"/>
    <w:qFormat/>
    <w:pPr>
      <w:keepNext w:val="true"/>
      <w:keepLines/>
      <w:spacing w:lineRule="auto" w:line="319" w:before="240" w:after="64"/>
      <w:outlineLvl w:val="8"/>
    </w:pPr>
    <w:rPr>
      <w:rFonts w:ascii="Arial" w:hAnsi="Arial" w:eastAsia="黑体;SimHei" w:cs="Arial"/>
    </w:rPr>
  </w:style>
  <w:style w:type="character" w:styleId="WW8Num5z0">
    <w:name w:val="WW8Num5z0"/>
    <w:qFormat/>
    <w:rPr>
      <w:rFonts w:ascii="Wingdings" w:hAnsi="Wingdings" w:cs="Wingdings"/>
    </w:rPr>
  </w:style>
  <w:style w:type="character" w:styleId="WW8Num6z0">
    <w:name w:val="WW8Num6z0"/>
    <w:qFormat/>
    <w:rPr>
      <w:rFonts w:ascii="Wingdings" w:hAnsi="Wingdings" w:cs="Wingdings"/>
    </w:rPr>
  </w:style>
  <w:style w:type="character" w:styleId="WW8Num7z0">
    <w:name w:val="WW8Num7z0"/>
    <w:qFormat/>
    <w:rPr>
      <w:rFonts w:ascii="Wingdings" w:hAnsi="Wingdings" w:cs="Wingdings"/>
    </w:rPr>
  </w:style>
  <w:style w:type="character" w:styleId="WW8Num8z0">
    <w:name w:val="WW8Num8z0"/>
    <w:qFormat/>
    <w:rPr>
      <w:rFonts w:ascii="Wingdings" w:hAnsi="Wingdings" w:cs="Wingdings"/>
    </w:rPr>
  </w:style>
  <w:style w:type="character" w:styleId="WW8Num10z0">
    <w:name w:val="WW8Num10z0"/>
    <w:qFormat/>
    <w:rPr>
      <w:rFonts w:ascii="Wingdings" w:hAnsi="Wingdings" w:cs="Wingdings"/>
    </w:rPr>
  </w:style>
  <w:style w:type="character" w:styleId="WW8Num11z0">
    <w:name w:val="WW8Num11z0"/>
    <w:qFormat/>
    <w:rPr>
      <w:rFonts w:ascii="Times New Roman" w:hAnsi="Times New Roman" w:cs="Times New Roman"/>
      <w:b/>
      <w:i w:val="false"/>
      <w:sz w:val="21"/>
    </w:rPr>
  </w:style>
  <w:style w:type="character" w:styleId="WW8Num11z1">
    <w:name w:val="WW8Num11z1"/>
    <w:qFormat/>
    <w:rPr>
      <w:rFonts w:ascii="Times New Roman" w:hAnsi="Times New Roman" w:cs="Times New Roman"/>
      <w:b/>
      <w:i w:val="false"/>
      <w:sz w:val="18"/>
    </w:rPr>
  </w:style>
  <w:style w:type="character" w:styleId="WW8Num11z2">
    <w:name w:val="WW8Num11z2"/>
    <w:qFormat/>
    <w:rPr>
      <w:rFonts w:ascii="Times New Roman" w:hAnsi="Times New Roman" w:cs="Times New Roman"/>
      <w:b w:val="false"/>
      <w:i w:val="false"/>
      <w:sz w:val="18"/>
    </w:rPr>
  </w:style>
  <w:style w:type="character" w:styleId="WW8Num11z4">
    <w:name w:val="WW8Num11z4"/>
    <w:qFormat/>
    <w:rPr>
      <w:rFonts w:hint="eastAsia"/>
    </w:rPr>
  </w:style>
  <w:style w:type="character" w:styleId="WW8Num12z0">
    <w:name w:val="WW8Num12z0"/>
    <w:qFormat/>
    <w:rPr>
      <w:rFonts w:ascii="Wingdings" w:hAnsi="Wingdings" w:cs="Wingdings"/>
    </w:rPr>
  </w:style>
  <w:style w:type="character" w:styleId="WW8Num13z0">
    <w:name w:val="WW8Num13z0"/>
    <w:qFormat/>
    <w:rPr>
      <w:rFonts w:hint="eastAsia"/>
    </w:rPr>
  </w:style>
  <w:style w:type="character" w:styleId="WW8Num14z0">
    <w:name w:val="WW8Num14z0"/>
    <w:qFormat/>
    <w:rPr>
      <w:rFonts w:ascii="Times New Roman" w:hAnsi="Times New Roman" w:eastAsia="宋体;SimSun" w:cs="Times New Roman"/>
      <w:b w:val="false"/>
      <w:i w:val="false"/>
      <w:sz w:val="15"/>
    </w:rPr>
  </w:style>
  <w:style w:type="character" w:styleId="WW8Num15z0">
    <w:name w:val="WW8Num15z0"/>
    <w:qFormat/>
    <w:rPr>
      <w:rFonts w:ascii="Times New Roman" w:hAnsi="Times New Roman" w:eastAsia="宋体;SimSun" w:cs="Times New Roman"/>
      <w:b w:val="false"/>
      <w:i w:val="false"/>
      <w:sz w:val="15"/>
    </w:rPr>
  </w:style>
  <w:style w:type="character" w:styleId="WW8Num16z0">
    <w:name w:val="WW8Num16z0"/>
    <w:qFormat/>
    <w:rPr>
      <w:rFonts w:hint="eastAsia"/>
    </w:rPr>
  </w:style>
  <w:style w:type="character" w:styleId="Style5">
    <w:name w:val="默认段落字体"/>
    <w:qFormat/>
    <w:rPr/>
  </w:style>
  <w:style w:type="character" w:styleId="Char1">
    <w:name w:val="正文文本 Char1"/>
    <w:basedOn w:val="Style5"/>
    <w:qFormat/>
    <w:rPr>
      <w:kern w:val="2"/>
      <w:sz w:val="18"/>
    </w:rPr>
  </w:style>
  <w:style w:type="character" w:styleId="3Char">
    <w:name w:val="标题 3 Char"/>
    <w:qFormat/>
    <w:rPr>
      <w:kern w:val="2"/>
      <w:sz w:val="18"/>
      <w:lang w:val="en-US"/>
    </w:rPr>
  </w:style>
  <w:style w:type="character" w:styleId="4Char">
    <w:name w:val="标题 4 Char"/>
    <w:qFormat/>
    <w:rPr>
      <w:rFonts w:ascii="Arial" w:hAnsi="Arial" w:eastAsia="黑体;SimHei" w:cs="Arial"/>
      <w:kern w:val="2"/>
      <w:sz w:val="18"/>
      <w:lang w:val="en-US"/>
    </w:rPr>
  </w:style>
  <w:style w:type="character" w:styleId="5Char">
    <w:name w:val="标题 5 Char"/>
    <w:basedOn w:val="Style5"/>
    <w:qFormat/>
    <w:rPr>
      <w:b/>
      <w:kern w:val="2"/>
      <w:sz w:val="28"/>
    </w:rPr>
  </w:style>
  <w:style w:type="character" w:styleId="6Char">
    <w:name w:val="标题 6 Char"/>
    <w:basedOn w:val="Style5"/>
    <w:qFormat/>
    <w:rPr>
      <w:kern w:val="2"/>
      <w:sz w:val="18"/>
    </w:rPr>
  </w:style>
  <w:style w:type="character" w:styleId="7Char">
    <w:name w:val="标题 7 Char"/>
    <w:basedOn w:val="Style5"/>
    <w:qFormat/>
    <w:rPr>
      <w:b/>
      <w:kern w:val="2"/>
      <w:sz w:val="24"/>
    </w:rPr>
  </w:style>
  <w:style w:type="character" w:styleId="8Char">
    <w:name w:val="标题 8 Char"/>
    <w:basedOn w:val="Style5"/>
    <w:qFormat/>
    <w:rPr>
      <w:rFonts w:ascii="Arial" w:hAnsi="Arial" w:eastAsia="黑体;SimHei" w:cs="Arial"/>
      <w:kern w:val="2"/>
      <w:sz w:val="24"/>
    </w:rPr>
  </w:style>
  <w:style w:type="character" w:styleId="9Char">
    <w:name w:val="标题 9 Char"/>
    <w:basedOn w:val="Style5"/>
    <w:qFormat/>
    <w:rPr>
      <w:rFonts w:ascii="Arial" w:hAnsi="Arial" w:eastAsia="黑体;SimHei" w:cs="Arial"/>
      <w:kern w:val="2"/>
      <w:sz w:val="18"/>
    </w:rPr>
  </w:style>
  <w:style w:type="character" w:styleId="Char">
    <w:name w:val="题注 Char"/>
    <w:qFormat/>
    <w:rPr>
      <w:rFonts w:ascii="Arial" w:hAnsi="Arial" w:eastAsia="黑体;SimHei" w:cs="Arial"/>
      <w:kern w:val="2"/>
      <w:sz w:val="18"/>
    </w:rPr>
  </w:style>
  <w:style w:type="character" w:styleId="Char2">
    <w:name w:val="脚注文本 Char"/>
    <w:basedOn w:val="Style5"/>
    <w:qFormat/>
    <w:rPr>
      <w:kern w:val="2"/>
      <w:sz w:val="15"/>
    </w:rPr>
  </w:style>
  <w:style w:type="character" w:styleId="FootnoteCharacters">
    <w:name w:val="Footnote Characters"/>
    <w:basedOn w:val="Style5"/>
    <w:qFormat/>
    <w:rPr>
      <w:rFonts w:ascii="Monotype Sorts;Euclid Extra" w:hAnsi="Monotype Sorts;Euclid Extra" w:eastAsia="宋体;SimSun" w:cs="Monotype Sorts;Euclid Extra"/>
      <w:spacing w:val="0"/>
      <w:w w:val="100"/>
      <w:position w:val="0"/>
      <w:sz w:val="11"/>
      <w:vertAlign w:val="baseline"/>
    </w:rPr>
  </w:style>
  <w:style w:type="character" w:styleId="Strong">
    <w:name w:val="Strong"/>
    <w:basedOn w:val="Style5"/>
    <w:qFormat/>
    <w:rPr>
      <w:b/>
      <w:bCs/>
    </w:rPr>
  </w:style>
  <w:style w:type="character" w:styleId="Char3">
    <w:name w:val="副标题 Char"/>
    <w:basedOn w:val="Style5"/>
    <w:qFormat/>
    <w:rPr>
      <w:rFonts w:eastAsia="黑体;SimHei"/>
      <w:kern w:val="2"/>
      <w:sz w:val="36"/>
    </w:rPr>
  </w:style>
  <w:style w:type="character" w:styleId="EndnoteCharacters">
    <w:name w:val="Endnote Characters"/>
    <w:basedOn w:val="Style5"/>
    <w:qFormat/>
    <w:rPr>
      <w:vertAlign w:val="superscript"/>
    </w:rPr>
  </w:style>
  <w:style w:type="character" w:styleId="2Char">
    <w:name w:val="正文文本 2 Char"/>
    <w:basedOn w:val="Style5"/>
    <w:qFormat/>
    <w:rPr>
      <w:kern w:val="2"/>
      <w:sz w:val="15"/>
    </w:rPr>
  </w:style>
  <w:style w:type="character" w:styleId="Hyperlink">
    <w:name w:val="Hyperlink"/>
    <w:basedOn w:val="Style5"/>
    <w:rPr>
      <w:color w:val="0000FF"/>
      <w:u w:val="single"/>
    </w:rPr>
  </w:style>
  <w:style w:type="character" w:styleId="Char11">
    <w:name w:val="批注文字 Char1"/>
    <w:basedOn w:val="Style5"/>
    <w:qFormat/>
    <w:rPr>
      <w:kern w:val="2"/>
      <w:sz w:val="21"/>
    </w:rPr>
  </w:style>
  <w:style w:type="character" w:styleId="plain">
    <w:name w:val="plain"/>
    <w:basedOn w:val="Style5"/>
    <w:qFormat/>
    <w:rPr/>
  </w:style>
  <w:style w:type="character" w:styleId="Char4">
    <w:name w:val="纯文本 Char"/>
    <w:basedOn w:val="Style5"/>
    <w:qFormat/>
    <w:rPr>
      <w:rFonts w:ascii="宋体;SimSun" w:hAnsi="宋体;SimSun" w:cs="Courier New"/>
      <w:kern w:val="2"/>
      <w:sz w:val="21"/>
      <w:szCs w:val="21"/>
    </w:rPr>
  </w:style>
  <w:style w:type="character" w:styleId="m">
    <w:name w:val="m"/>
    <w:basedOn w:val="Style5"/>
    <w:qFormat/>
    <w:rPr/>
  </w:style>
  <w:style w:type="character" w:styleId="Char5">
    <w:name w:val="正文首行缩进 Char"/>
    <w:basedOn w:val="Char1"/>
    <w:qFormat/>
    <w:rPr>
      <w:szCs w:val="18"/>
    </w:rPr>
  </w:style>
  <w:style w:type="character" w:styleId="Char6">
    <w:name w:val="正文文本缩进 Char"/>
    <w:basedOn w:val="Style5"/>
    <w:qFormat/>
    <w:rPr>
      <w:kern w:val="2"/>
      <w:sz w:val="18"/>
      <w:szCs w:val="24"/>
    </w:rPr>
  </w:style>
  <w:style w:type="character" w:styleId="Char12">
    <w:name w:val="批注框文本 Char1"/>
    <w:basedOn w:val="Style5"/>
    <w:qFormat/>
    <w:rPr>
      <w:kern w:val="2"/>
      <w:sz w:val="18"/>
      <w:szCs w:val="18"/>
    </w:rPr>
  </w:style>
  <w:style w:type="character" w:styleId="2Char1">
    <w:name w:val="正文文本缩进 2 Char"/>
    <w:basedOn w:val="Style5"/>
    <w:qFormat/>
    <w:rPr>
      <w:kern w:val="2"/>
      <w:sz w:val="24"/>
      <w:szCs w:val="24"/>
    </w:rPr>
  </w:style>
  <w:style w:type="character" w:styleId="docemphasis">
    <w:name w:val="docemphasis"/>
    <w:basedOn w:val="Style5"/>
    <w:qFormat/>
    <w:rPr/>
  </w:style>
  <w:style w:type="character" w:styleId="Char2Char">
    <w:name w:val=" Char2 Char"/>
    <w:basedOn w:val="Style5"/>
    <w:qFormat/>
    <w:rPr>
      <w:rFonts w:eastAsia="宋体;SimSun"/>
      <w:kern w:val="2"/>
      <w:sz w:val="24"/>
      <w:szCs w:val="24"/>
      <w:lang w:bidi="ar-SA"/>
    </w:rPr>
  </w:style>
  <w:style w:type="character" w:styleId="mediumb-text1">
    <w:name w:val="mediumb-text1"/>
    <w:basedOn w:val="Style5"/>
    <w:qFormat/>
    <w:rPr>
      <w:rFonts w:ascii="Arial" w:hAnsi="Arial" w:cs="Arial"/>
      <w:b/>
      <w:bCs/>
      <w:color w:val="000000"/>
      <w:sz w:val="24"/>
      <w:szCs w:val="24"/>
    </w:rPr>
  </w:style>
  <w:style w:type="character" w:styleId="small-text1">
    <w:name w:val="small-text1"/>
    <w:basedOn w:val="Style5"/>
    <w:qFormat/>
    <w:rPr>
      <w:rFonts w:ascii="Arial" w:hAnsi="Arial" w:cs="Arial"/>
      <w:color w:val="000000"/>
      <w:sz w:val="20"/>
      <w:szCs w:val="20"/>
    </w:rPr>
  </w:style>
  <w:style w:type="character" w:styleId="MTDisplayEquationChar">
    <w:name w:val="MTDisplayEquation Char"/>
    <w:qFormat/>
    <w:rPr>
      <w:kern w:val="2"/>
      <w:sz w:val="18"/>
    </w:rPr>
  </w:style>
  <w:style w:type="character" w:styleId="DocumentMapChar">
    <w:name w:val="Document Map Char"/>
    <w:basedOn w:val="Style5"/>
    <w:qFormat/>
    <w:rPr>
      <w:rFonts w:ascii="宋体;SimSun" w:hAnsi="宋体;SimSun"/>
      <w:kern w:val="2"/>
      <w:sz w:val="18"/>
      <w:szCs w:val="18"/>
    </w:rPr>
  </w:style>
  <w:style w:type="character" w:styleId="intbody1">
    <w:name w:val="intbody1"/>
    <w:basedOn w:val="Style5"/>
    <w:qFormat/>
    <w:rPr>
      <w:rFonts w:ascii="Arial" w:hAnsi="Arial" w:cs="Arial"/>
      <w:b w:val="false"/>
      <w:bCs w:val="false"/>
      <w:color w:val="000000"/>
      <w:sz w:val="14"/>
      <w:szCs w:val="14"/>
    </w:rPr>
  </w:style>
  <w:style w:type="character" w:styleId="HTMLPreformattedChar">
    <w:name w:val="HTML Preformatted Char"/>
    <w:basedOn w:val="Style5"/>
    <w:qFormat/>
    <w:rPr>
      <w:rFonts w:ascii="宋体;SimSun" w:hAnsi="宋体;SimSun" w:cs="宋体;SimSun"/>
      <w:sz w:val="24"/>
      <w:szCs w:val="24"/>
    </w:rPr>
  </w:style>
  <w:style w:type="character" w:styleId="PlainTextChar">
    <w:name w:val="Plain Text Char"/>
    <w:basedOn w:val="Style5"/>
    <w:qFormat/>
    <w:rPr>
      <w:rFonts w:ascii="Calibri" w:hAnsi="Calibri" w:cs="Courier New"/>
      <w:kern w:val="2"/>
      <w:sz w:val="21"/>
      <w:szCs w:val="21"/>
    </w:rPr>
  </w:style>
  <w:style w:type="character" w:styleId="FootnoteTextChar">
    <w:name w:val="Footnote Text Char"/>
    <w:basedOn w:val="Style5"/>
    <w:qFormat/>
    <w:rPr>
      <w:kern w:val="2"/>
      <w:sz w:val="15"/>
    </w:rPr>
  </w:style>
  <w:style w:type="character" w:styleId="Heading3Char">
    <w:name w:val="Heading 3 Char"/>
    <w:basedOn w:val="Style5"/>
    <w:qFormat/>
    <w:rPr>
      <w:kern w:val="2"/>
      <w:sz w:val="18"/>
    </w:rPr>
  </w:style>
  <w:style w:type="character" w:styleId="BodyTextIndentChar">
    <w:name w:val="Body Text Indent Char"/>
    <w:basedOn w:val="Style5"/>
    <w:qFormat/>
    <w:rPr>
      <w:kern w:val="2"/>
      <w:sz w:val="18"/>
    </w:rPr>
  </w:style>
  <w:style w:type="character" w:styleId="FollowedHyperlink">
    <w:name w:val="FollowedHyperlink"/>
    <w:basedOn w:val="Style5"/>
    <w:rPr>
      <w:color w:val="800080"/>
      <w:u w:val="single"/>
    </w:rPr>
  </w:style>
  <w:style w:type="character" w:styleId="HTMLChar">
    <w:name w:val="HTML 地址 Char"/>
    <w:basedOn w:val="Style5"/>
    <w:qFormat/>
    <w:rPr>
      <w:i/>
      <w:iCs/>
      <w:kern w:val="2"/>
      <w:sz w:val="18"/>
    </w:rPr>
  </w:style>
  <w:style w:type="character" w:styleId="HTMLChar1">
    <w:name w:val="HTML 预设格式 Char"/>
    <w:basedOn w:val="Style5"/>
    <w:qFormat/>
    <w:rPr>
      <w:rFonts w:ascii="Courier New" w:hAnsi="Courier New" w:cs="Courier New"/>
      <w:kern w:val="2"/>
    </w:rPr>
  </w:style>
  <w:style w:type="character" w:styleId="Char7">
    <w:name w:val="标题 Char"/>
    <w:basedOn w:val="Style5"/>
    <w:qFormat/>
    <w:rPr>
      <w:rFonts w:ascii="Arial" w:hAnsi="Arial" w:cs="Arial"/>
      <w:b/>
      <w:bCs/>
      <w:kern w:val="2"/>
      <w:sz w:val="32"/>
      <w:szCs w:val="32"/>
    </w:rPr>
  </w:style>
  <w:style w:type="character" w:styleId="Char8">
    <w:name w:val="称呼 Char"/>
    <w:basedOn w:val="Style5"/>
    <w:qFormat/>
    <w:rPr>
      <w:kern w:val="2"/>
      <w:sz w:val="18"/>
    </w:rPr>
  </w:style>
  <w:style w:type="character" w:styleId="Char9">
    <w:name w:val="电子邮件签名 Char"/>
    <w:basedOn w:val="Style5"/>
    <w:qFormat/>
    <w:rPr>
      <w:kern w:val="2"/>
      <w:sz w:val="18"/>
    </w:rPr>
  </w:style>
  <w:style w:type="character" w:styleId="Char10">
    <w:name w:val="宏文本 Char"/>
    <w:basedOn w:val="Style5"/>
    <w:qFormat/>
    <w:rPr>
      <w:rFonts w:ascii="Courier New" w:hAnsi="Courier New" w:cs="Courier New"/>
      <w:kern w:val="2"/>
      <w:sz w:val="24"/>
      <w:szCs w:val="24"/>
      <w:lang w:bidi="ar-SA"/>
    </w:rPr>
  </w:style>
  <w:style w:type="character" w:styleId="Char13">
    <w:name w:val="结束语 Char"/>
    <w:basedOn w:val="Style5"/>
    <w:qFormat/>
    <w:rPr>
      <w:kern w:val="2"/>
      <w:sz w:val="18"/>
    </w:rPr>
  </w:style>
  <w:style w:type="character" w:styleId="Char14">
    <w:name w:val="签名 Char"/>
    <w:basedOn w:val="Style5"/>
    <w:qFormat/>
    <w:rPr>
      <w:kern w:val="2"/>
      <w:sz w:val="18"/>
    </w:rPr>
  </w:style>
  <w:style w:type="character" w:styleId="Char15">
    <w:name w:val="日期 Char"/>
    <w:basedOn w:val="Style5"/>
    <w:qFormat/>
    <w:rPr>
      <w:kern w:val="2"/>
      <w:sz w:val="18"/>
    </w:rPr>
  </w:style>
  <w:style w:type="character" w:styleId="Char16">
    <w:name w:val="尾注文本 Char"/>
    <w:qFormat/>
    <w:rPr>
      <w:kern w:val="2"/>
      <w:sz w:val="18"/>
    </w:rPr>
  </w:style>
  <w:style w:type="character" w:styleId="Char17">
    <w:name w:val="文档结构图 Char1"/>
    <w:basedOn w:val="Style5"/>
    <w:qFormat/>
    <w:rPr>
      <w:kern w:val="2"/>
      <w:sz w:val="18"/>
      <w:shd w:fill="000080" w:val="clear"/>
    </w:rPr>
  </w:style>
  <w:style w:type="character" w:styleId="Char18">
    <w:name w:val="信息标题 Char"/>
    <w:basedOn w:val="Style5"/>
    <w:qFormat/>
    <w:rPr>
      <w:rFonts w:ascii="Arial" w:hAnsi="Arial" w:cs="Arial"/>
      <w:kern w:val="2"/>
      <w:sz w:val="24"/>
      <w:szCs w:val="24"/>
      <w:shd w:fill="CCCCCC" w:val="clear"/>
    </w:rPr>
  </w:style>
  <w:style w:type="character" w:styleId="2Char2">
    <w:name w:val="正文首行缩进 2 Char"/>
    <w:basedOn w:val="Char6"/>
    <w:qFormat/>
    <w:rPr/>
  </w:style>
  <w:style w:type="character" w:styleId="3Char1">
    <w:name w:val="正文文本 3 Char"/>
    <w:basedOn w:val="Style5"/>
    <w:qFormat/>
    <w:rPr>
      <w:kern w:val="2"/>
      <w:sz w:val="16"/>
      <w:szCs w:val="16"/>
    </w:rPr>
  </w:style>
  <w:style w:type="character" w:styleId="3Char2">
    <w:name w:val="正文文本缩进 3 Char"/>
    <w:basedOn w:val="Style5"/>
    <w:qFormat/>
    <w:rPr>
      <w:kern w:val="2"/>
      <w:sz w:val="16"/>
      <w:szCs w:val="16"/>
    </w:rPr>
  </w:style>
  <w:style w:type="character" w:styleId="Char19">
    <w:name w:val="注释标题 Char"/>
    <w:basedOn w:val="Style5"/>
    <w:qFormat/>
    <w:rPr>
      <w:kern w:val="2"/>
      <w:sz w:val="18"/>
    </w:rPr>
  </w:style>
  <w:style w:type="character" w:styleId="simjour">
    <w:name w:val="simjour"/>
    <w:basedOn w:val="Style5"/>
    <w:qFormat/>
    <w:rPr/>
  </w:style>
  <w:style w:type="character" w:styleId="z3988">
    <w:name w:val="z3988"/>
    <w:basedOn w:val="Style5"/>
    <w:qFormat/>
    <w:rPr/>
  </w:style>
  <w:style w:type="character" w:styleId="year">
    <w:name w:val="year"/>
    <w:basedOn w:val="Style5"/>
    <w:qFormat/>
    <w:rPr/>
  </w:style>
  <w:style w:type="character" w:styleId="st1">
    <w:name w:val="st1"/>
    <w:basedOn w:val="Style5"/>
    <w:qFormat/>
    <w:rPr>
      <w:rFonts w:ascii="Times New Roman" w:hAnsi="Times New Roman" w:cs="Times New Roman"/>
    </w:rPr>
  </w:style>
  <w:style w:type="character" w:styleId="Char20">
    <w:name w:val="页眉 Char"/>
    <w:basedOn w:val="Style5"/>
    <w:qFormat/>
    <w:rPr>
      <w:sz w:val="18"/>
      <w:szCs w:val="18"/>
    </w:rPr>
  </w:style>
  <w:style w:type="character" w:styleId="Char21">
    <w:name w:val="页脚 Char"/>
    <w:basedOn w:val="Style5"/>
    <w:qFormat/>
    <w:rPr>
      <w:sz w:val="18"/>
      <w:szCs w:val="18"/>
    </w:rPr>
  </w:style>
  <w:style w:type="character" w:styleId="Char22">
    <w:name w:val="批注框文本 Char"/>
    <w:basedOn w:val="Style5"/>
    <w:qFormat/>
    <w:rPr>
      <w:sz w:val="18"/>
      <w:szCs w:val="18"/>
    </w:rPr>
  </w:style>
  <w:style w:type="character" w:styleId="1Char">
    <w:name w:val="标题 1 Char"/>
    <w:basedOn w:val="Style5"/>
    <w:qFormat/>
    <w:rPr>
      <w:b/>
      <w:bCs/>
      <w:kern w:val="2"/>
      <w:sz w:val="44"/>
      <w:szCs w:val="44"/>
    </w:rPr>
  </w:style>
  <w:style w:type="character" w:styleId="2Char3">
    <w:name w:val="标题 2 Char"/>
    <w:basedOn w:val="Style5"/>
    <w:qFormat/>
    <w:rPr>
      <w:rFonts w:eastAsia="黑体;SimHei" w:cs="Times New Roman"/>
      <w:kern w:val="0"/>
      <w:sz w:val="18"/>
      <w:szCs w:val="20"/>
    </w:rPr>
  </w:style>
  <w:style w:type="character" w:styleId="Char23">
    <w:name w:val="正文文本 Char"/>
    <w:basedOn w:val="Style5"/>
    <w:qFormat/>
    <w:rPr/>
  </w:style>
  <w:style w:type="character" w:styleId="Char24">
    <w:name w:val="图题 Char"/>
    <w:qFormat/>
    <w:rPr>
      <w:rFonts w:cs="宋体;SimSun"/>
      <w:kern w:val="2"/>
      <w:sz w:val="18"/>
      <w:szCs w:val="18"/>
    </w:rPr>
  </w:style>
  <w:style w:type="character" w:styleId="EndNoteBibliographyTitleChar">
    <w:name w:val="EndNote Bibliography Title Char"/>
    <w:qFormat/>
    <w:rPr>
      <w:rFonts w:ascii="Calibri" w:hAnsi="Calibri" w:cs="Calibri"/>
      <w:kern w:val="2"/>
      <w:szCs w:val="22"/>
      <w:lang w:val="en-US" w:eastAsia="en-US"/>
    </w:rPr>
  </w:style>
  <w:style w:type="character" w:styleId="EndNoteBibliographyChar">
    <w:name w:val="EndNote Bibliography Char"/>
    <w:qFormat/>
    <w:rPr>
      <w:rFonts w:ascii="Calibri" w:hAnsi="Calibri" w:cs="Calibri"/>
      <w:kern w:val="2"/>
      <w:szCs w:val="22"/>
      <w:lang w:val="en-US" w:eastAsia="en-US"/>
    </w:rPr>
  </w:style>
  <w:style w:type="character" w:styleId="1Char1">
    <w:name w:val="1级标题 Char"/>
    <w:qFormat/>
    <w:rPr>
      <w:rFonts w:eastAsia="黑体;SimHei"/>
      <w:kern w:val="2"/>
      <w:sz w:val="21"/>
      <w:szCs w:val="21"/>
    </w:rPr>
  </w:style>
  <w:style w:type="character" w:styleId="2Char4">
    <w:name w:val="2级标题 Char"/>
    <w:qFormat/>
    <w:rPr>
      <w:rFonts w:eastAsia="黑体;SimHei"/>
      <w:kern w:val="2"/>
      <w:sz w:val="18"/>
      <w:szCs w:val="18"/>
    </w:rPr>
  </w:style>
  <w:style w:type="character" w:styleId="3Char3">
    <w:name w:val="3级标题 Char"/>
    <w:qFormat/>
    <w:rPr>
      <w:kern w:val="2"/>
      <w:sz w:val="18"/>
    </w:rPr>
  </w:style>
  <w:style w:type="character" w:styleId="Char25">
    <w:name w:val="批注主题 Char"/>
    <w:basedOn w:val="Char11"/>
    <w:qFormat/>
    <w:rPr>
      <w:b/>
      <w:bCs/>
      <w:sz w:val="18"/>
      <w:szCs w:val="22"/>
    </w:rPr>
  </w:style>
  <w:style w:type="character" w:styleId="Style6">
    <w:name w:val="占位符文本"/>
    <w:qFormat/>
    <w:rPr>
      <w:color w:val="808080"/>
    </w:rPr>
  </w:style>
  <w:style w:type="character" w:styleId="Char26">
    <w:name w:val="文档结构图 Char"/>
    <w:qFormat/>
    <w:rPr>
      <w:rFonts w:ascii="宋体;SimSun" w:hAnsi="宋体;SimSun"/>
      <w:kern w:val="2"/>
      <w:sz w:val="18"/>
      <w:szCs w:val="18"/>
    </w:rPr>
  </w:style>
  <w:style w:type="character" w:styleId="Char2Char1">
    <w:name w:val="Char2 Char"/>
    <w:qFormat/>
    <w:rPr>
      <w:rFonts w:eastAsia="宋体;SimSun"/>
      <w:kern w:val="2"/>
      <w:sz w:val="24"/>
      <w:szCs w:val="24"/>
      <w:lang w:bidi="ar-SA"/>
    </w:rPr>
  </w:style>
  <w:style w:type="character" w:styleId="MTEquationSection">
    <w:name w:val="MTEquationSection"/>
    <w:qFormat/>
    <w:rPr>
      <w:vanish/>
      <w:color w:val="FF0000"/>
      <w:sz w:val="15"/>
    </w:rPr>
  </w:style>
  <w:style w:type="character" w:styleId="Style7">
    <w:name w:val="批注引用"/>
    <w:qFormat/>
    <w:rPr>
      <w:sz w:val="21"/>
      <w:szCs w:val="21"/>
    </w:rPr>
  </w:style>
  <w:style w:type="character" w:styleId="Char27">
    <w:name w:val="批注文字 Char"/>
    <w:basedOn w:val="Style5"/>
    <w:qFormat/>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spacing w:before="240" w:after="60"/>
      <w:jc w:val="center"/>
      <w:outlineLvl w:val="0"/>
    </w:pPr>
    <w:rPr>
      <w:rFonts w:ascii="Arial" w:hAnsi="Arial" w:cs="Arial"/>
      <w:b/>
      <w:bCs/>
      <w:sz w:val="32"/>
      <w:szCs w:val="32"/>
    </w:rPr>
  </w:style>
  <w:style w:type="paragraph" w:styleId="BodyText">
    <w:name w:val="Body Text"/>
    <w:basedOn w:val="Normal"/>
    <w:pPr>
      <w:widowControl/>
      <w:tabs>
        <w:tab w:val="clear" w:pos="420"/>
        <w:tab w:val="left" w:pos="357" w:leader="none"/>
      </w:tabs>
      <w:spacing w:line="260" w:lineRule="exact" w:before="0" w:after="40"/>
      <w:ind w:firstLineChars="200" w:startChars="0" w:start="0" w:endChars="0" w:end="0" w:firstLine="360"/>
    </w:pPr>
    <w:rPr>
      <w:rFonts w:ascii="Liberation Serif" w:hAnsi="Liberation Serif" w:eastAsia="Noto Serif CJK SC"/>
      <w:b w:val="0"/>
      <w:i w:val="0"/>
      <w:sz w:val="18"/>
    </w:rPr>
  </w:style>
  <w:style w:type="paragraph" w:styleId="List">
    <w:name w:val="List"/>
    <w:basedOn w:val="Normal"/>
    <w:pPr>
      <w:ind w:hangingChars="200" w:startChars="0" w:start="0" w:endChars="0" w:end="0"/>
    </w:pPr>
    <w:rPr/>
  </w:style>
  <w:style w:type="paragraph" w:styleId="Caption">
    <w:name w:val="caption"/>
    <w:basedOn w:val="Normal"/>
    <w:qFormat/>
    <w:pPr>
      <w:widowControl/>
      <w:suppressLineNumbers/>
      <w:spacing w:before="0" w:after="40" w:line="260" w:lineRule="exact"/>
      <w:ind w:firstLine="360"/>
    </w:pPr>
    <w:rPr>
      <w:rFonts w:cs="Noto Sans" w:ascii="Liberation Serif" w:hAnsi="Liberation Serif" w:eastAsia="Noto Serif CJK SC"/>
      <w:b w:val="0"/>
      <w:i w:val="0"/>
      <w:iCs/>
      <w:sz w:val="18"/>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autoSpaceDE w:val="false"/>
      <w:spacing w:lineRule="atLeast" w:line="240"/>
      <w:jc w:val="start"/>
      <w:textAlignment w:val="baseline"/>
    </w:pPr>
    <w:rPr>
      <w:rFonts w:eastAsia="·s²Ó©úÅé;MingLiU"/>
      <w:kern w:val="0"/>
      <w:sz w:val="18"/>
    </w:rPr>
  </w:style>
  <w:style w:type="paragraph" w:styleId="Header">
    <w:name w:val="header"/>
    <w:basedOn w:val="Normal"/>
    <w:pPr>
      <w:snapToGrid w:val="false"/>
      <w:jc w:val="center"/>
    </w:pPr>
    <w:rPr>
      <w:sz w:val="18"/>
    </w:rPr>
  </w:style>
  <w:style w:type="paragraph" w:styleId="Style8">
    <w:name w:val="题注"/>
    <w:basedOn w:val="Normal"/>
    <w:next w:val="Normal"/>
    <w:qFormat/>
    <w:pPr>
      <w:spacing w:before="152" w:after="160"/>
    </w:pPr>
    <w:rPr>
      <w:rFonts w:ascii="Arial" w:hAnsi="Arial" w:eastAsia="黑体;SimHei" w:cs="Arial"/>
      <w:lang w:val="en-US"/>
    </w:rPr>
  </w:style>
  <w:style w:type="paragraph" w:styleId="FootnoteText">
    <w:name w:val="footnote text"/>
    <w:basedOn w:val="Normal"/>
    <w:next w:val="1"/>
    <w:pPr>
      <w:tabs>
        <w:tab w:val="clear" w:pos="420"/>
        <w:tab w:val="left" w:pos="465" w:leader="none"/>
      </w:tabs>
      <w:snapToGrid w:val="false"/>
      <w:spacing w:lineRule="auto" w:line="312" w:before="120" w:after="0"/>
      <w:ind w:firstLineChars="267" w:startChars="0" w:start="0" w:endChars="0" w:end="0"/>
    </w:pPr>
    <w:rPr>
      <w:sz w:val="15"/>
    </w:rPr>
  </w:style>
  <w:style w:type="paragraph" w:styleId="1">
    <w:name w:val="脚注文本1"/>
    <w:basedOn w:val="FootnoteText"/>
    <w:qFormat/>
    <w:pPr>
      <w:spacing w:before="0" w:after="0"/>
      <w:ind w:firstLineChars="297" w:startChars="0" w:start="0" w:endChars="0" w:end="0"/>
    </w:pPr>
    <w:rPr/>
  </w:style>
  <w:style w:type="paragraph" w:styleId="Style9">
    <w:name w:val="首页页眉"/>
    <w:basedOn w:val="Header"/>
    <w:qFormat/>
    <w:pPr>
      <w:pBdr>
        <w:bottom w:val="double" w:sz="6" w:space="1" w:color="000000"/>
      </w:pBdr>
      <w:jc w:val="both"/>
    </w:pPr>
    <w:rPr/>
  </w:style>
  <w:style w:type="paragraph" w:styleId="Style10">
    <w:name w:val="单位"/>
    <w:qFormat/>
    <w:pPr>
      <w:widowControl/>
      <w:bidi w:val="0"/>
      <w:ind w:hangingChars="70" w:startChars="0" w:start="0" w:endChars="0" w:end="0"/>
      <w:jc w:val="both"/>
    </w:pPr>
    <w:rPr>
      <w:rFonts w:ascii="Times New Roman" w:hAnsi="Times New Roman" w:eastAsia="宋体;SimSun" w:cs="Times New Roman"/>
      <w:color w:val="auto"/>
      <w:sz w:val="17"/>
      <w:szCs w:val="20"/>
      <w:lang w:bidi="ar-SA" w:val="en-US" w:eastAsia="zh-CN"/>
    </w:rPr>
  </w:style>
  <w:style w:type="paragraph" w:styleId="DepartCorrespondhttp">
    <w:name w:val="Depart.Correspond.http"/>
    <w:basedOn w:val="Style10"/>
    <w:qFormat/>
    <w:pPr>
      <w:ind w:hangingChars="66" w:startChars="0" w:start="0" w:endChars="0" w:end="0"/>
    </w:pPr>
    <w:rPr>
      <w:iCs/>
      <w:sz w:val="16"/>
    </w:rPr>
  </w:style>
  <w:style w:type="paragraph" w:styleId="Correspond">
    <w:name w:val="Correspond"/>
    <w:basedOn w:val="DepartCorrespondhttp"/>
    <w:next w:val="Normal"/>
    <w:qFormat/>
    <w:pPr/>
    <w:rPr>
      <w:sz w:val="16"/>
    </w:rPr>
  </w:style>
  <w:style w:type="paragraph" w:styleId="Date">
    <w:name w:val="Date"/>
    <w:basedOn w:val="DepartCorrespondhttp"/>
    <w:next w:val="Information"/>
    <w:qFormat/>
    <w:pPr>
      <w:spacing w:before="0" w:after="240"/>
    </w:pPr>
    <w:rPr>
      <w:sz w:val="18"/>
    </w:rPr>
  </w:style>
  <w:style w:type="paragraph" w:styleId="Information">
    <w:name w:val="Information"/>
    <w:basedOn w:val="Date"/>
    <w:next w:val="Abstract"/>
    <w:qFormat/>
    <w:pPr>
      <w:ind w:firstLineChars="0" w:firstLine="0" w:startChars="0" w:start="0" w:endChars="0" w:end="0"/>
    </w:pPr>
    <w:rPr>
      <w:b/>
      <w:bCs/>
    </w:rPr>
  </w:style>
  <w:style w:type="paragraph" w:styleId="Abstract">
    <w:name w:val="Abstract"/>
    <w:next w:val="Keywords"/>
    <w:qFormat/>
    <w:pPr>
      <w:widowControl/>
      <w:tabs>
        <w:tab w:val="clear" w:pos="420"/>
        <w:tab w:val="left" w:pos="937" w:leader="none"/>
      </w:tabs>
      <w:bidi w:val="0"/>
      <w:spacing w:line="260" w:lineRule="exact" w:before="0" w:after="40"/>
      <w:ind w:firstLine="360"/>
      <w:jc w:val="both"/>
    </w:pPr>
    <w:rPr>
      <w:rFonts w:ascii="Liberation Serif" w:hAnsi="Liberation Serif" w:eastAsia="Noto Serif CJK SC" w:cs="Times New Roman"/>
      <w:b w:val="0"/>
      <w:i w:val="0"/>
      <w:color w:val="auto"/>
      <w:kern w:val="2"/>
      <w:sz w:val="18"/>
      <w:szCs w:val="20"/>
      <w:lang w:bidi="ar-SA" w:val="en-US" w:eastAsia="zh-CN"/>
    </w:rPr>
  </w:style>
  <w:style w:type="paragraph" w:styleId="Keywords">
    <w:name w:val="Key words"/>
    <w:basedOn w:val="Normal"/>
    <w:next w:val="Style11"/>
    <w:qFormat/>
    <w:pPr>
      <w:tabs>
        <w:tab w:val="clear" w:pos="420"/>
        <w:tab w:val="left" w:pos="1176" w:leader="none"/>
      </w:tabs>
      <w:spacing w:before="0" w:after="290"/>
      <w:ind w:hangingChars="632" w:startChars="0" w:start="0" w:endChars="0" w:end="0"/>
    </w:pPr>
    <w:rPr>
      <w:rFonts w:eastAsia="楷体_GB2312;楷体"/>
    </w:rPr>
  </w:style>
  <w:style w:type="paragraph" w:styleId="Style11">
    <w:name w:val="摘要"/>
    <w:basedOn w:val="BodyText"/>
    <w:next w:val="Style12"/>
    <w:qFormat/>
    <w:pPr>
      <w:tabs>
        <w:tab w:val="clear" w:pos="357"/>
        <w:tab w:val="left" w:pos="798" w:leader="none"/>
      </w:tabs>
      <w:ind w:firstLineChars="0" w:firstLine="0" w:startChars="0" w:start="0" w:endChars="0" w:end="0"/>
    </w:pPr>
    <w:rPr>
      <w:rFonts w:eastAsia="楷体_GB2312;楷体"/>
    </w:rPr>
  </w:style>
  <w:style w:type="paragraph" w:styleId="Style12">
    <w:name w:val="关键词"/>
    <w:basedOn w:val="Style11"/>
    <w:next w:val="Style13"/>
    <w:qFormat/>
    <w:pPr>
      <w:ind w:hangingChars="429" w:startChars="0" w:start="0" w:endChars="0" w:end="0"/>
    </w:pPr>
    <w:rPr/>
  </w:style>
  <w:style w:type="paragraph" w:styleId="Style13">
    <w:name w:val="分类号"/>
    <w:basedOn w:val="Date"/>
    <w:next w:val="BodyText"/>
    <w:qFormat/>
    <w:pPr>
      <w:tabs>
        <w:tab w:val="clear" w:pos="420"/>
        <w:tab w:val="left" w:pos="1233" w:leader="none"/>
      </w:tabs>
      <w:spacing w:before="0" w:after="320"/>
      <w:ind w:firstLineChars="0" w:firstLine="0" w:startChars="0" w:start="0" w:endChars="0" w:end="0"/>
    </w:pPr>
    <w:rPr>
      <w:rFonts w:eastAsia="黑体;SimHei"/>
    </w:rPr>
  </w:style>
  <w:style w:type="paragraph" w:styleId="Title">
    <w:name w:val="Title"/>
    <w:basedOn w:val="Normal"/>
    <w:next w:val="Name"/>
    <w:qFormat/>
    <w:pPr>
      <w:keepNext w:val="true"/>
      <w:keepLines/>
      <w:snapToGrid w:val="false"/>
      <w:spacing w:before="240" w:after="100"/>
      <w:outlineLvl w:val="0"/>
    </w:pPr>
    <w:rPr>
      <w:rFonts w:eastAsia="Noto Serif CJK SC" w:ascii="Liberation Serif" w:hAnsi="Liberation Serif"/>
      <w:b/>
      <w:i w:val="0"/>
      <w:sz w:val="32"/>
    </w:rPr>
  </w:style>
  <w:style w:type="paragraph" w:styleId="Style14">
    <w:name w:val="作者"/>
    <w:basedOn w:val="Normal"/>
    <w:next w:val="Style10"/>
    <w:qFormat/>
    <w:pPr>
      <w:spacing w:lineRule="atLeast" w:line="0" w:before="160" w:after="240"/>
      <w:jc w:val="start"/>
    </w:pPr>
    <w:rPr>
      <w:rFonts w:eastAsia="仿宋_GB2312;仿宋"/>
      <w:w w:val="66"/>
      <w:sz w:val="28"/>
    </w:rPr>
  </w:style>
  <w:style w:type="paragraph" w:styleId="Name">
    <w:name w:val="Name"/>
    <w:basedOn w:val="Style14"/>
    <w:next w:val="DepartCorrespondhttp"/>
    <w:qFormat/>
    <w:pPr>
      <w:keepNext w:val="true"/>
      <w:spacing w:before="220" w:after="180"/>
      <w:jc w:val="start"/>
    </w:pPr>
    <w:rPr>
      <w:rFonts w:ascii="Times New Roman" w:hAnsi="Times New Roman" w:eastAsia="宋体;SimSun"/>
      <w:w w:val="100"/>
      <w:sz w:val="18"/>
    </w:rPr>
  </w:style>
  <w:style w:type="paragraph" w:styleId="Style15">
    <w:name w:val="文前文本"/>
    <w:basedOn w:val="Style12"/>
    <w:qFormat/>
    <w:pPr>
      <w:ind w:hangingChars="429" w:startChars="0" w:start="0" w:endChars="0" w:end="0"/>
    </w:pPr>
    <w:rPr>
      <w:rFonts w:eastAsia="楷体_GB2312;楷体"/>
      <w:b/>
    </w:rPr>
  </w:style>
  <w:style w:type="paragraph" w:styleId="Style16">
    <w:name w:val="定理"/>
    <w:basedOn w:val="BodyText"/>
    <w:next w:val="BodyText"/>
    <w:qFormat/>
    <w:pPr/>
    <w:rPr>
      <w:rFonts w:eastAsia="黑体;SimHei"/>
    </w:rPr>
  </w:style>
  <w:style w:type="paragraph" w:styleId="Subtitle">
    <w:name w:val="Subtitle"/>
    <w:basedOn w:val="Normal"/>
    <w:next w:val="Style14"/>
    <w:qFormat/>
    <w:pPr>
      <w:spacing w:before="320" w:after="0"/>
      <w:outlineLvl w:val="0"/>
    </w:pPr>
    <w:rPr>
      <w:rFonts w:eastAsia="黑体;SimHei"/>
      <w:sz w:val="36"/>
    </w:rPr>
  </w:style>
  <w:style w:type="paragraph" w:styleId="Style17">
    <w:name w:val="表名"/>
    <w:basedOn w:val="Normal"/>
    <w:qFormat/>
    <w:pPr>
      <w:spacing w:before="0" w:after="120"/>
    </w:pPr>
    <w:rPr/>
  </w:style>
  <w:style w:type="paragraph" w:styleId="Reference">
    <w:name w:val="Reference"/>
    <w:basedOn w:val="Normal"/>
    <w:next w:val="TextofReference"/>
    <w:qFormat/>
    <w:pPr>
      <w:snapToGrid w:val="false"/>
      <w:spacing w:before="280" w:after="0"/>
      <w:jc w:val="start"/>
      <w:outlineLvl w:val="0"/>
    </w:pPr>
    <w:rPr>
      <w:rFonts w:eastAsia="黑体;SimHei"/>
      <w:b/>
    </w:rPr>
  </w:style>
  <w:style w:type="paragraph" w:styleId="TextofReference">
    <w:name w:val="Text of Reference"/>
    <w:qFormat/>
    <w:pPr>
      <w:widowControl/>
      <w:bidi w:val="0"/>
      <w:spacing w:lineRule="exact" w:line="260"/>
      <w:jc w:val="both"/>
    </w:pPr>
    <w:rPr>
      <w:rFonts w:ascii="Times New Roman" w:hAnsi="Times New Roman" w:eastAsia="宋体;SimSun" w:cs="Times New Roman"/>
      <w:color w:val="auto"/>
      <w:sz w:val="15"/>
      <w:szCs w:val="20"/>
      <w:lang w:bidi="ar-SA" w:val="en-US" w:eastAsia="zh-CN"/>
    </w:rPr>
  </w:style>
  <w:style w:type="paragraph" w:styleId="Style18">
    <w:name w:val="证明"/>
    <w:basedOn w:val="Style16"/>
    <w:qFormat/>
    <w:pPr/>
    <w:rPr>
      <w:rFonts w:eastAsia="仿宋_GB2312;仿宋"/>
    </w:rPr>
  </w:style>
  <w:style w:type="paragraph" w:styleId="TextofReference1">
    <w:name w:val="Text of Reference 1"/>
    <w:qFormat/>
    <w:pPr>
      <w:widowControl/>
      <w:bidi w:val="0"/>
      <w:spacing w:lineRule="exact" w:line="260"/>
      <w:jc w:val="both"/>
    </w:pPr>
    <w:rPr>
      <w:rFonts w:ascii="Times New Roman" w:hAnsi="Times New Roman" w:eastAsia="宋体;SimSun" w:cs="Times New Roman"/>
      <w:color w:val="auto"/>
      <w:sz w:val="15"/>
      <w:szCs w:val="20"/>
      <w:lang w:bidi="ar-SA" w:val="en-US" w:eastAsia="zh-CN"/>
    </w:rPr>
  </w:style>
  <w:style w:type="paragraph" w:styleId="Style19">
    <w:name w:val="中文参考文献"/>
    <w:basedOn w:val="Reference"/>
    <w:next w:val="BodyText"/>
    <w:qFormat/>
    <w:pPr>
      <w:spacing w:before="240" w:after="0"/>
    </w:pPr>
    <w:rPr>
      <w:b w:val="false"/>
    </w:rPr>
  </w:style>
  <w:style w:type="paragraph" w:styleId="Style20">
    <w:name w:val="致谢"/>
    <w:basedOn w:val="Style16"/>
    <w:next w:val="Reference"/>
    <w:qFormat/>
    <w:pPr>
      <w:tabs>
        <w:tab w:val="clear" w:pos="357"/>
      </w:tabs>
      <w:spacing w:before="100" w:after="0"/>
      <w:ind w:firstLineChars="0" w:firstLine="0" w:startChars="0" w:start="0" w:endChars="0" w:end="0"/>
    </w:pPr>
    <w:rPr>
      <w:rFonts w:eastAsia="宋体;SimSun"/>
      <w:bCs/>
    </w:rPr>
  </w:style>
  <w:style w:type="paragraph" w:styleId="Textof">
    <w:name w:val="Text of 中文参考文献"/>
    <w:basedOn w:val="TextofReference"/>
    <w:qFormat/>
    <w:pPr>
      <w:tabs>
        <w:tab w:val="clear" w:pos="420"/>
        <w:tab w:val="left" w:pos="346" w:leader="none"/>
      </w:tabs>
      <w:ind w:hangingChars="258" w:startChars="0" w:start="0" w:endChars="0" w:end="0"/>
    </w:pPr>
    <w:rPr/>
  </w:style>
  <w:style w:type="paragraph" w:styleId="Textof1">
    <w:name w:val="Text of 中文参考文献１"/>
    <w:basedOn w:val="Textof"/>
    <w:qFormat/>
    <w:pPr>
      <w:tabs>
        <w:tab w:val="clear" w:pos="346"/>
        <w:tab w:val="left" w:pos="78" w:leader="none"/>
        <w:tab w:val="left" w:pos="424" w:leader="none"/>
      </w:tabs>
    </w:pPr>
    <w:rPr/>
  </w:style>
  <w:style w:type="paragraph" w:styleId="2">
    <w:name w:val="正文文本 2"/>
    <w:basedOn w:val="Normal"/>
    <w:qFormat/>
    <w:pPr>
      <w:spacing w:lineRule="atLeast" w:line="0"/>
      <w:jc w:val="center"/>
    </w:pPr>
    <w:rPr>
      <w:sz w:val="15"/>
    </w:rPr>
  </w:style>
  <w:style w:type="paragraph" w:styleId="http">
    <w:name w:val="http(中)"/>
    <w:basedOn w:val="Normal"/>
    <w:next w:val="Normal"/>
    <w:qFormat/>
    <w:pPr>
      <w:widowControl/>
      <w:overflowPunct w:val="true"/>
      <w:spacing w:before="0" w:after="200"/>
    </w:pPr>
    <w:rPr>
      <w:kern w:val="0"/>
      <w:sz w:val="15"/>
    </w:rPr>
  </w:style>
  <w:style w:type="paragraph" w:styleId="DepartCorrespond">
    <w:name w:val="Depart.Correspond"/>
    <w:basedOn w:val="Style10"/>
    <w:qFormat/>
    <w:pPr>
      <w:ind w:hangingChars="66" w:startChars="0" w:start="0" w:endChars="0" w:end="0"/>
    </w:pPr>
    <w:rPr>
      <w:iCs/>
      <w:sz w:val="16"/>
    </w:rPr>
  </w:style>
  <w:style w:type="paragraph" w:styleId="Style21">
    <w:name w:val="批注文字"/>
    <w:basedOn w:val="Normal"/>
    <w:qFormat/>
    <w:pPr>
      <w:overflowPunct w:val="true"/>
      <w:jc w:val="start"/>
    </w:pPr>
    <w:rPr>
      <w:sz w:val="21"/>
    </w:rPr>
  </w:style>
  <w:style w:type="paragraph" w:styleId="p1a">
    <w:name w:val="p1a"/>
    <w:basedOn w:val="Normal"/>
    <w:next w:val="Normal"/>
    <w:qFormat/>
    <w:pPr>
      <w:widowControl/>
      <w:overflowPunct w:val="true"/>
    </w:pPr>
    <w:rPr>
      <w:rFonts w:ascii="Times" w:hAnsi="Times" w:cs="Times"/>
      <w:kern w:val="0"/>
      <w:sz w:val="20"/>
    </w:rPr>
  </w:style>
  <w:style w:type="paragraph" w:styleId="abstract1">
    <w:name w:val="abstract1"/>
    <w:basedOn w:val="p1a"/>
    <w:next w:val="Normal"/>
    <w:qFormat/>
    <w:pPr>
      <w:spacing w:before="600" w:after="120"/>
      <w:ind w:hanging="0" w:start="567" w:end="567"/>
    </w:pPr>
    <w:rPr>
      <w:sz w:val="18"/>
    </w:rPr>
  </w:style>
  <w:style w:type="paragraph" w:styleId="author">
    <w:name w:val="author"/>
    <w:basedOn w:val="Normal"/>
    <w:next w:val="authorinfo"/>
    <w:qFormat/>
    <w:pPr>
      <w:widowControl/>
      <w:autoSpaceDE w:val="false"/>
      <w:spacing w:before="0" w:after="220"/>
      <w:ind w:firstLine="227" w:start="0" w:end="0"/>
      <w:jc w:val="center"/>
      <w:textAlignment w:val="baseline"/>
    </w:pPr>
    <w:rPr>
      <w:rFonts w:ascii="Times" w:hAnsi="Times" w:cs="Times"/>
      <w:kern w:val="0"/>
      <w:sz w:val="20"/>
      <w:lang w:eastAsia="ja-JP"/>
    </w:rPr>
  </w:style>
  <w:style w:type="paragraph" w:styleId="authorinfo">
    <w:name w:val="authorinfo"/>
    <w:basedOn w:val="Normal"/>
    <w:next w:val="email"/>
    <w:qFormat/>
    <w:pPr>
      <w:widowControl/>
      <w:autoSpaceDE w:val="false"/>
      <w:ind w:firstLine="227" w:start="0" w:end="0"/>
      <w:jc w:val="center"/>
      <w:textAlignment w:val="baseline"/>
    </w:pPr>
    <w:rPr>
      <w:rFonts w:ascii="Times" w:hAnsi="Times" w:cs="Times"/>
      <w:kern w:val="0"/>
      <w:lang w:eastAsia="ja-JP"/>
    </w:rPr>
  </w:style>
  <w:style w:type="paragraph" w:styleId="email">
    <w:name w:val="email"/>
    <w:basedOn w:val="Normal"/>
    <w:next w:val="abstract1"/>
    <w:qFormat/>
    <w:pPr>
      <w:widowControl/>
      <w:autoSpaceDE w:val="false"/>
      <w:ind w:firstLine="227" w:start="0" w:end="0"/>
      <w:jc w:val="center"/>
      <w:textAlignment w:val="baseline"/>
    </w:pPr>
    <w:rPr>
      <w:rFonts w:ascii="Times" w:hAnsi="Times" w:cs="Times"/>
      <w:kern w:val="0"/>
      <w:lang w:eastAsia="ja-JP"/>
    </w:rPr>
  </w:style>
  <w:style w:type="paragraph" w:styleId="Style22">
    <w:name w:val="纯文本"/>
    <w:basedOn w:val="Normal"/>
    <w:qFormat/>
    <w:pPr>
      <w:overflowPunct w:val="true"/>
    </w:pPr>
    <w:rPr>
      <w:rFonts w:ascii="宋体;SimSun" w:hAnsi="宋体;SimSun" w:cs="Courier New"/>
      <w:sz w:val="21"/>
      <w:szCs w:val="21"/>
    </w:rPr>
  </w:style>
  <w:style w:type="paragraph" w:styleId="11">
    <w:name w:val="样式1"/>
    <w:basedOn w:val="Normal"/>
    <w:qFormat/>
    <w:pPr>
      <w:tabs>
        <w:tab w:val="clear" w:pos="420"/>
        <w:tab w:val="left" w:pos="357" w:leader="none"/>
      </w:tabs>
      <w:ind w:firstLineChars="200" w:startChars="0" w:start="0" w:endChars="0" w:end="0"/>
    </w:pPr>
    <w:rPr/>
  </w:style>
  <w:style w:type="paragraph" w:styleId="Style23">
    <w:name w:val="正文首行缩进"/>
    <w:basedOn w:val="BodyText"/>
    <w:qFormat/>
    <w:pPr>
      <w:tabs>
        <w:tab w:val="clear" w:pos="357"/>
      </w:tabs>
      <w:spacing w:before="0" w:after="120"/>
      <w:ind w:firstLineChars="100" w:startChars="0" w:start="0" w:endChars="0" w:end="0"/>
    </w:pPr>
    <w:rPr>
      <w:szCs w:val="18"/>
    </w:rPr>
  </w:style>
  <w:style w:type="paragraph" w:styleId="12">
    <w:name w:val="样式 正文首行缩进 + 首行缩进:  1 字符"/>
    <w:basedOn w:val="Style23"/>
    <w:qFormat/>
    <w:pPr>
      <w:overflowPunct w:val="true"/>
      <w:spacing w:lineRule="auto" w:line="360" w:before="100" w:after="100"/>
      <w:ind w:firstLineChars="200" w:startChars="0" w:start="0" w:endChars="0" w:end="0"/>
    </w:pPr>
    <w:rPr>
      <w:sz w:val="24"/>
      <w:szCs w:val="24"/>
    </w:rPr>
  </w:style>
  <w:style w:type="paragraph" w:styleId="-">
    <w:name w:val="图说明-两端"/>
    <w:qFormat/>
    <w:pPr>
      <w:widowControl/>
      <w:bidi w:val="0"/>
      <w:snapToGrid w:val="false"/>
      <w:jc w:val="both"/>
    </w:pPr>
    <w:rPr>
      <w:rFonts w:ascii="Times New Roman" w:hAnsi="Times New Roman" w:eastAsia="黑体;SimHei" w:cs="Times New Roman"/>
      <w:b/>
      <w:color w:val="auto"/>
      <w:kern w:val="2"/>
      <w:sz w:val="18"/>
      <w:szCs w:val="24"/>
      <w:lang w:bidi="ar-SA" w:val="en-US" w:eastAsia="zh-CN"/>
    </w:rPr>
  </w:style>
  <w:style w:type="paragraph" w:styleId="BodyTextIndent">
    <w:name w:val="Body Text Indent"/>
    <w:basedOn w:val="Normal"/>
    <w:pPr>
      <w:overflowPunct w:val="true"/>
      <w:ind w:firstLineChars="200" w:startChars="0" w:start="0" w:endChars="0" w:end="0"/>
    </w:pPr>
    <w:rPr>
      <w:szCs w:val="24"/>
    </w:rPr>
  </w:style>
  <w:style w:type="paragraph" w:styleId="Style24">
    <w:name w:val="批注框文本"/>
    <w:basedOn w:val="Normal"/>
    <w:qFormat/>
    <w:pPr>
      <w:overflowPunct w:val="true"/>
    </w:pPr>
    <w:rPr>
      <w:szCs w:val="18"/>
    </w:rPr>
  </w:style>
  <w:style w:type="paragraph" w:styleId="21">
    <w:name w:val="正文文本缩进 2"/>
    <w:basedOn w:val="Normal"/>
    <w:qFormat/>
    <w:pPr>
      <w:overflowPunct w:val="true"/>
      <w:spacing w:lineRule="auto" w:line="360"/>
      <w:ind w:firstLineChars="200" w:startChars="0" w:start="0" w:endChars="0" w:end="0"/>
    </w:pPr>
    <w:rPr>
      <w:sz w:val="24"/>
      <w:szCs w:val="24"/>
    </w:rPr>
  </w:style>
  <w:style w:type="paragraph" w:styleId="Style25">
    <w:name w:val="图目录"/>
    <w:next w:val="Normal"/>
    <w:qFormat/>
    <w:pPr>
      <w:widowControl/>
      <w:bidi w:val="0"/>
      <w:spacing w:lineRule="auto" w:line="300"/>
      <w:jc w:val="center"/>
    </w:pPr>
    <w:rPr>
      <w:rFonts w:ascii="Times New Roman" w:hAnsi="Times New Roman" w:eastAsia="宋体;SimSun" w:cs="Times New Roman"/>
      <w:color w:val="auto"/>
      <w:sz w:val="24"/>
      <w:szCs w:val="20"/>
      <w:lang w:bidi="ar-SA" w:val="en-US" w:eastAsia="zh-CN"/>
    </w:rPr>
  </w:style>
  <w:style w:type="paragraph" w:styleId="-1">
    <w:name w:val="封面-编号"/>
    <w:basedOn w:val="Normal"/>
    <w:qFormat/>
    <w:pPr>
      <w:overflowPunct w:val="true"/>
      <w:spacing w:lineRule="auto" w:line="264" w:before="100" w:after="100"/>
      <w:outlineLvl w:val="0"/>
    </w:pPr>
    <w:rPr>
      <w:rFonts w:ascii="仿宋_GB2312;仿宋" w:hAnsi="仿宋_GB2312;仿宋" w:eastAsia="仿宋_GB2312;仿宋"/>
      <w:sz w:val="24"/>
    </w:rPr>
  </w:style>
  <w:style w:type="paragraph" w:styleId="FigureCaptionCharChar">
    <w:name w:val="Figure Caption Char Char"/>
    <w:basedOn w:val="Normal"/>
    <w:qFormat/>
    <w:pPr>
      <w:widowControl/>
      <w:overflowPunct w:val="true"/>
      <w:autoSpaceDE w:val="false"/>
    </w:pPr>
    <w:rPr>
      <w:sz w:val="16"/>
      <w:szCs w:val="16"/>
    </w:rPr>
  </w:style>
  <w:style w:type="paragraph" w:styleId="Date1">
    <w:name w:val="Date1"/>
    <w:basedOn w:val="DepartCorrespond"/>
    <w:next w:val="Information"/>
    <w:qFormat/>
    <w:pPr>
      <w:spacing w:before="0" w:after="240"/>
    </w:pPr>
    <w:rPr>
      <w:sz w:val="18"/>
    </w:rPr>
  </w:style>
  <w:style w:type="paragraph" w:styleId="Title1">
    <w:name w:val="Title1"/>
    <w:basedOn w:val="Normal"/>
    <w:next w:val="Name"/>
    <w:qFormat/>
    <w:pPr>
      <w:keepNext w:val="true"/>
      <w:keepLines/>
      <w:snapToGrid w:val="false"/>
      <w:spacing w:before="240" w:after="100"/>
      <w:outlineLvl w:val="0"/>
    </w:pPr>
    <w:rPr>
      <w:rFonts w:eastAsia="黑体;SimHei"/>
      <w:b/>
      <w:sz w:val="24"/>
    </w:rPr>
  </w:style>
  <w:style w:type="paragraph" w:styleId="MTDisplayEquation">
    <w:name w:val="MTDisplayEquation"/>
    <w:basedOn w:val="Normal"/>
    <w:next w:val="Normal"/>
    <w:qFormat/>
    <w:pPr>
      <w:tabs>
        <w:tab w:val="clear" w:pos="420"/>
        <w:tab w:val="center" w:pos="4400" w:leader="none"/>
        <w:tab w:val="right" w:pos="8780" w:leader="none"/>
      </w:tabs>
      <w:ind w:firstLine="420" w:start="0" w:end="0"/>
    </w:pPr>
    <w:rPr>
      <w:lang w:val="en-US"/>
    </w:rPr>
  </w:style>
  <w:style w:type="paragraph" w:styleId="Style26">
    <w:name w:val="列表编号"/>
    <w:basedOn w:val="Normal"/>
    <w:qFormat/>
    <w:pPr/>
    <w:rPr/>
  </w:style>
  <w:style w:type="paragraph" w:styleId="22">
    <w:name w:val="列表编号 2"/>
    <w:basedOn w:val="Normal"/>
    <w:qFormat/>
    <w:pPr/>
    <w:rPr/>
  </w:style>
  <w:style w:type="paragraph" w:styleId="3">
    <w:name w:val="列表编号 3"/>
    <w:basedOn w:val="Normal"/>
    <w:qFormat/>
    <w:pPr/>
    <w:rPr/>
  </w:style>
  <w:style w:type="paragraph" w:styleId="4">
    <w:name w:val="列表编号 4"/>
    <w:basedOn w:val="Normal"/>
    <w:qFormat/>
    <w:pPr/>
    <w:rPr/>
  </w:style>
  <w:style w:type="paragraph" w:styleId="5">
    <w:name w:val="列表编号 5"/>
    <w:basedOn w:val="Normal"/>
    <w:qFormat/>
    <w:pPr/>
    <w:rPr/>
  </w:style>
  <w:style w:type="paragraph" w:styleId="Style27">
    <w:name w:val="列表项目符号"/>
    <w:basedOn w:val="Normal"/>
    <w:qFormat/>
    <w:pPr/>
    <w:rPr/>
  </w:style>
  <w:style w:type="paragraph" w:styleId="23">
    <w:name w:val="列表项目符号 2"/>
    <w:basedOn w:val="Normal"/>
    <w:qFormat/>
    <w:pPr/>
    <w:rPr/>
  </w:style>
  <w:style w:type="paragraph" w:styleId="31">
    <w:name w:val="列表项目符号 3"/>
    <w:basedOn w:val="Normal"/>
    <w:qFormat/>
    <w:pPr/>
    <w:rPr/>
  </w:style>
  <w:style w:type="paragraph" w:styleId="41">
    <w:name w:val="列表项目符号 4"/>
    <w:basedOn w:val="Normal"/>
    <w:qFormat/>
    <w:pPr/>
    <w:rPr/>
  </w:style>
  <w:style w:type="paragraph" w:styleId="51">
    <w:name w:val="列表项目符号 5"/>
    <w:basedOn w:val="Normal"/>
    <w:qFormat/>
    <w:pPr/>
    <w:rPr/>
  </w:style>
  <w:style w:type="paragraph" w:styleId="TOC4">
    <w:name w:val="toc 4"/>
    <w:basedOn w:val="Normal"/>
    <w:next w:val="Normal"/>
    <w:pPr>
      <w:ind w:firstLineChars="0" w:firstLine="0" w:startChars="600" w:endChars="0" w:end="0"/>
    </w:pPr>
    <w:rPr/>
  </w:style>
  <w:style w:type="paragraph" w:styleId="24">
    <w:name w:val="列表 2"/>
    <w:basedOn w:val="Normal"/>
    <w:qFormat/>
    <w:pPr>
      <w:ind w:hangingChars="200" w:startChars="200" w:endChars="0" w:end="0"/>
    </w:pPr>
    <w:rPr/>
  </w:style>
  <w:style w:type="paragraph" w:styleId="32">
    <w:name w:val="列表 3"/>
    <w:basedOn w:val="Normal"/>
    <w:qFormat/>
    <w:pPr>
      <w:ind w:hangingChars="200" w:startChars="400" w:endChars="0" w:end="0"/>
    </w:pPr>
    <w:rPr/>
  </w:style>
  <w:style w:type="paragraph" w:styleId="42">
    <w:name w:val="列表 4"/>
    <w:basedOn w:val="Normal"/>
    <w:qFormat/>
    <w:pPr>
      <w:ind w:hangingChars="200" w:startChars="600" w:endChars="0" w:end="0"/>
    </w:pPr>
    <w:rPr/>
  </w:style>
  <w:style w:type="paragraph" w:styleId="HTML">
    <w:name w:val="HTML 地址"/>
    <w:basedOn w:val="Normal"/>
    <w:qFormat/>
    <w:pPr/>
    <w:rPr>
      <w:i/>
      <w:iCs/>
    </w:rPr>
  </w:style>
  <w:style w:type="paragraph" w:styleId="HTML1">
    <w:name w:val="HTML 预设格式"/>
    <w:basedOn w:val="Normal"/>
    <w:qFormat/>
    <w:pPr/>
    <w:rPr>
      <w:rFonts w:ascii="Courier New" w:hAnsi="Courier New" w:cs="Courier New"/>
      <w:sz w:val="20"/>
    </w:rPr>
  </w:style>
  <w:style w:type="paragraph" w:styleId="Style28">
    <w:name w:val="称呼"/>
    <w:basedOn w:val="Normal"/>
    <w:next w:val="Normal"/>
    <w:qFormat/>
    <w:pPr/>
    <w:rPr/>
  </w:style>
  <w:style w:type="paragraph" w:styleId="Style29">
    <w:name w:val="电子邮件签名"/>
    <w:basedOn w:val="Normal"/>
    <w:qFormat/>
    <w:pPr/>
    <w:rPr/>
  </w:style>
  <w:style w:type="paragraph" w:styleId="Style30">
    <w:name w:val="宏文本"/>
    <w:qFormat/>
    <w:pPr>
      <w:widowControl w:val="false"/>
      <w:tabs>
        <w:tab w:val="clear" w:pos="4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kinsoku w:val="false"/>
      <w:overflowPunct w:val="false"/>
      <w:autoSpaceDE w:val="false"/>
      <w:bidi w:val="0"/>
      <w:snapToGrid w:val="false"/>
    </w:pPr>
    <w:rPr>
      <w:rFonts w:ascii="Courier New" w:hAnsi="Courier New" w:eastAsia="宋体;SimSun" w:cs="Courier New"/>
      <w:color w:val="auto"/>
      <w:kern w:val="2"/>
      <w:sz w:val="24"/>
      <w:szCs w:val="24"/>
      <w:lang w:bidi="ar-SA" w:val="en-US" w:eastAsia="zh-CN"/>
    </w:rPr>
  </w:style>
  <w:style w:type="paragraph" w:styleId="EnvelopeReturn">
    <w:name w:val="envelope return"/>
    <w:basedOn w:val="Normal"/>
    <w:pPr>
      <w:snapToGrid w:val="false"/>
    </w:pPr>
    <w:rPr>
      <w:rFonts w:ascii="Arial" w:hAnsi="Arial" w:cs="Arial"/>
    </w:rPr>
  </w:style>
  <w:style w:type="paragraph" w:styleId="Style31">
    <w:name w:val="结束语"/>
    <w:basedOn w:val="Normal"/>
    <w:qFormat/>
    <w:pPr>
      <w:ind w:firstLineChars="0" w:firstLine="0" w:startChars="2100" w:endChars="0" w:end="0"/>
    </w:pPr>
    <w:rPr/>
  </w:style>
  <w:style w:type="paragraph" w:styleId="52">
    <w:name w:val="列表 5"/>
    <w:basedOn w:val="Normal"/>
    <w:qFormat/>
    <w:pPr>
      <w:ind w:hangingChars="200" w:startChars="800" w:endChars="0" w:end="0"/>
    </w:pPr>
    <w:rPr/>
  </w:style>
  <w:style w:type="paragraph" w:styleId="Style32">
    <w:name w:val="列表接续"/>
    <w:basedOn w:val="Normal"/>
    <w:qFormat/>
    <w:pPr>
      <w:spacing w:before="0" w:after="120"/>
      <w:ind w:firstLineChars="0" w:firstLine="0" w:startChars="200" w:endChars="0" w:end="0"/>
    </w:pPr>
    <w:rPr/>
  </w:style>
  <w:style w:type="paragraph" w:styleId="25">
    <w:name w:val="列表接续 2"/>
    <w:basedOn w:val="Normal"/>
    <w:qFormat/>
    <w:pPr>
      <w:spacing w:before="0" w:after="120"/>
      <w:ind w:firstLineChars="0" w:firstLine="0" w:startChars="400" w:endChars="0" w:end="0"/>
    </w:pPr>
    <w:rPr/>
  </w:style>
  <w:style w:type="paragraph" w:styleId="33">
    <w:name w:val="列表接续 3"/>
    <w:basedOn w:val="Normal"/>
    <w:qFormat/>
    <w:pPr>
      <w:spacing w:before="0" w:after="120"/>
      <w:ind w:firstLineChars="0" w:firstLine="0" w:startChars="600" w:endChars="0" w:end="0"/>
    </w:pPr>
    <w:rPr/>
  </w:style>
  <w:style w:type="paragraph" w:styleId="43">
    <w:name w:val="列表接续 4"/>
    <w:basedOn w:val="Normal"/>
    <w:qFormat/>
    <w:pPr>
      <w:spacing w:before="0" w:after="120"/>
      <w:ind w:firstLineChars="0" w:firstLine="0" w:startChars="800" w:endChars="0" w:end="0"/>
    </w:pPr>
    <w:rPr/>
  </w:style>
  <w:style w:type="paragraph" w:styleId="53">
    <w:name w:val="列表接续 5"/>
    <w:basedOn w:val="Normal"/>
    <w:qFormat/>
    <w:pPr>
      <w:spacing w:before="0" w:after="120"/>
      <w:ind w:firstLineChars="0" w:firstLine="0" w:startChars="1000" w:endChars="0" w:end="0"/>
    </w:pPr>
    <w:rPr/>
  </w:style>
  <w:style w:type="paragraph" w:styleId="TOC1">
    <w:name w:val="toc 1"/>
    <w:basedOn w:val="Normal"/>
    <w:next w:val="Normal"/>
    <w:pPr/>
    <w:rPr/>
  </w:style>
  <w:style w:type="paragraph" w:styleId="TOC2">
    <w:name w:val="toc 2"/>
    <w:basedOn w:val="Normal"/>
    <w:next w:val="Normal"/>
    <w:pPr>
      <w:ind w:firstLineChars="0" w:firstLine="0" w:startChars="200" w:endChars="0" w:end="0"/>
    </w:pPr>
    <w:rPr/>
  </w:style>
  <w:style w:type="paragraph" w:styleId="TOC3">
    <w:name w:val="toc 3"/>
    <w:basedOn w:val="Normal"/>
    <w:next w:val="Normal"/>
    <w:pPr>
      <w:ind w:firstLineChars="0" w:firstLine="0" w:startChars="400" w:endChars="0" w:end="0"/>
    </w:pPr>
    <w:rPr/>
  </w:style>
  <w:style w:type="paragraph" w:styleId="TOC5">
    <w:name w:val="toc 5"/>
    <w:basedOn w:val="Normal"/>
    <w:next w:val="Normal"/>
    <w:pPr>
      <w:ind w:firstLineChars="0" w:firstLine="0" w:startChars="800" w:endChars="0" w:end="0"/>
    </w:pPr>
    <w:rPr/>
  </w:style>
  <w:style w:type="paragraph" w:styleId="TOC6">
    <w:name w:val="toc 6"/>
    <w:basedOn w:val="Normal"/>
    <w:next w:val="Normal"/>
    <w:pPr>
      <w:ind w:firstLineChars="0" w:firstLine="0" w:startChars="1000" w:endChars="0" w:end="0"/>
    </w:pPr>
    <w:rPr/>
  </w:style>
  <w:style w:type="paragraph" w:styleId="TOC7">
    <w:name w:val="toc 7"/>
    <w:basedOn w:val="Normal"/>
    <w:next w:val="Normal"/>
    <w:pPr>
      <w:ind w:firstLineChars="0" w:firstLine="0" w:startChars="1200" w:endChars="0" w:end="0"/>
    </w:pPr>
    <w:rPr/>
  </w:style>
  <w:style w:type="paragraph" w:styleId="TOC8">
    <w:name w:val="toc 8"/>
    <w:basedOn w:val="Normal"/>
    <w:next w:val="Normal"/>
    <w:pPr>
      <w:ind w:firstLineChars="0" w:firstLine="0" w:startChars="1400" w:endChars="0" w:end="0"/>
    </w:pPr>
    <w:rPr/>
  </w:style>
  <w:style w:type="paragraph" w:styleId="TOC9">
    <w:name w:val="toc 9"/>
    <w:basedOn w:val="Normal"/>
    <w:next w:val="Normal"/>
    <w:pPr>
      <w:ind w:firstLineChars="0" w:firstLine="0" w:startChars="1600" w:endChars="0" w:end="0"/>
    </w:pPr>
    <w:rPr/>
  </w:style>
  <w:style w:type="paragraph" w:styleId="BalloonText">
    <w:name w:val="Balloon Text"/>
    <w:basedOn w:val="Normal"/>
    <w:qFormat/>
    <w:pPr/>
    <w:rPr>
      <w:szCs w:val="18"/>
    </w:rPr>
  </w:style>
  <w:style w:type="paragraph" w:styleId="CommentSubject">
    <w:name w:val="Comment Subject"/>
    <w:basedOn w:val="Style21"/>
    <w:next w:val="Style21"/>
    <w:qFormat/>
    <w:pPr>
      <w:overflowPunct w:val="false"/>
    </w:pPr>
    <w:rPr>
      <w:b/>
      <w:bCs/>
      <w:sz w:val="18"/>
    </w:rPr>
  </w:style>
  <w:style w:type="paragraph" w:styleId="Style33">
    <w:name w:val="普通(网站)"/>
    <w:basedOn w:val="Normal"/>
    <w:qFormat/>
    <w:pPr/>
    <w:rPr>
      <w:sz w:val="24"/>
      <w:szCs w:val="24"/>
    </w:rPr>
  </w:style>
  <w:style w:type="paragraph" w:styleId="Signature">
    <w:name w:val="Signature"/>
    <w:basedOn w:val="Normal"/>
    <w:pPr>
      <w:ind w:firstLineChars="0" w:firstLine="0" w:startChars="2100" w:endChars="0" w:end="0"/>
    </w:pPr>
    <w:rPr/>
  </w:style>
  <w:style w:type="paragraph" w:styleId="Style34">
    <w:name w:val="日期"/>
    <w:basedOn w:val="Normal"/>
    <w:next w:val="Normal"/>
    <w:qFormat/>
    <w:pPr>
      <w:ind w:firstLineChars="0" w:firstLine="0" w:startChars="2500" w:endChars="0" w:end="0"/>
    </w:pPr>
    <w:rPr/>
  </w:style>
  <w:style w:type="paragraph" w:styleId="EnvelopeAddress">
    <w:name w:val="envelope address"/>
    <w:basedOn w:val="Normal"/>
    <w:pPr>
      <w:snapToGrid w:val="false"/>
      <w:ind w:firstLineChars="0" w:firstLine="0" w:startChars="1400" w:endChars="0" w:end="0"/>
    </w:pPr>
    <w:rPr>
      <w:rFonts w:ascii="Arial" w:hAnsi="Arial" w:cs="Arial"/>
      <w:sz w:val="24"/>
      <w:szCs w:val="24"/>
    </w:rPr>
  </w:style>
  <w:style w:type="paragraph" w:styleId="Index1">
    <w:name w:val="index 1"/>
    <w:basedOn w:val="Normal"/>
    <w:next w:val="Normal"/>
    <w:pPr/>
    <w:rPr/>
  </w:style>
  <w:style w:type="paragraph" w:styleId="Index2">
    <w:name w:val="index 2"/>
    <w:basedOn w:val="Normal"/>
    <w:next w:val="Normal"/>
    <w:pPr>
      <w:ind w:firstLineChars="0" w:firstLine="0" w:startChars="200" w:endChars="0" w:end="0"/>
    </w:pPr>
    <w:rPr/>
  </w:style>
  <w:style w:type="paragraph" w:styleId="Index3">
    <w:name w:val="index 3"/>
    <w:basedOn w:val="Normal"/>
    <w:next w:val="Normal"/>
    <w:pPr>
      <w:ind w:firstLineChars="0" w:firstLine="0" w:startChars="400" w:endChars="0" w:end="0"/>
    </w:pPr>
    <w:rPr/>
  </w:style>
  <w:style w:type="paragraph" w:styleId="44">
    <w:name w:val="索引 4"/>
    <w:basedOn w:val="Normal"/>
    <w:next w:val="Normal"/>
    <w:qFormat/>
    <w:pPr>
      <w:ind w:firstLineChars="0" w:firstLine="0" w:startChars="600" w:endChars="0" w:end="0"/>
    </w:pPr>
    <w:rPr/>
  </w:style>
  <w:style w:type="paragraph" w:styleId="54">
    <w:name w:val="索引 5"/>
    <w:basedOn w:val="Normal"/>
    <w:next w:val="Normal"/>
    <w:qFormat/>
    <w:pPr>
      <w:ind w:firstLineChars="0" w:firstLine="0" w:startChars="800" w:endChars="0" w:end="0"/>
    </w:pPr>
    <w:rPr/>
  </w:style>
  <w:style w:type="paragraph" w:styleId="6">
    <w:name w:val="索引 6"/>
    <w:basedOn w:val="Normal"/>
    <w:next w:val="Normal"/>
    <w:qFormat/>
    <w:pPr>
      <w:ind w:firstLineChars="0" w:firstLine="0" w:startChars="1000" w:endChars="0" w:end="0"/>
    </w:pPr>
    <w:rPr/>
  </w:style>
  <w:style w:type="paragraph" w:styleId="7">
    <w:name w:val="索引 7"/>
    <w:basedOn w:val="Normal"/>
    <w:next w:val="Normal"/>
    <w:qFormat/>
    <w:pPr>
      <w:ind w:firstLineChars="0" w:firstLine="0" w:startChars="1200" w:endChars="0" w:end="0"/>
    </w:pPr>
    <w:rPr/>
  </w:style>
  <w:style w:type="paragraph" w:styleId="8">
    <w:name w:val="索引 8"/>
    <w:basedOn w:val="Normal"/>
    <w:next w:val="Normal"/>
    <w:qFormat/>
    <w:pPr>
      <w:ind w:firstLineChars="0" w:firstLine="0" w:startChars="1400" w:endChars="0" w:end="0"/>
    </w:pPr>
    <w:rPr/>
  </w:style>
  <w:style w:type="paragraph" w:styleId="9">
    <w:name w:val="索引 9"/>
    <w:basedOn w:val="Normal"/>
    <w:next w:val="Normal"/>
    <w:qFormat/>
    <w:pPr>
      <w:ind w:firstLineChars="0" w:firstLine="0" w:startChars="1600" w:endChars="0" w:end="0"/>
    </w:pPr>
    <w:rPr/>
  </w:style>
  <w:style w:type="paragraph" w:styleId="IndexHeading">
    <w:name w:val="index heading"/>
    <w:basedOn w:val="Normal"/>
    <w:next w:val="Index1"/>
    <w:pPr/>
    <w:rPr>
      <w:rFonts w:ascii="Arial" w:hAnsi="Arial" w:cs="Arial"/>
      <w:b/>
      <w:bCs/>
    </w:rPr>
  </w:style>
  <w:style w:type="paragraph" w:styleId="Style35">
    <w:name w:val="图表目录"/>
    <w:basedOn w:val="Normal"/>
    <w:next w:val="Normal"/>
    <w:qFormat/>
    <w:pPr>
      <w:ind w:hangingChars="200" w:startChars="200" w:endChars="0" w:end="0"/>
    </w:pPr>
    <w:rPr/>
  </w:style>
  <w:style w:type="paragraph" w:styleId="EndnoteText">
    <w:name w:val="endnote text"/>
    <w:basedOn w:val="Normal"/>
    <w:pPr>
      <w:snapToGrid w:val="false"/>
      <w:jc w:val="start"/>
    </w:pPr>
    <w:rPr>
      <w:lang w:val="en-US"/>
    </w:rPr>
  </w:style>
  <w:style w:type="paragraph" w:styleId="Style36">
    <w:name w:val="文本块"/>
    <w:basedOn w:val="Normal"/>
    <w:qFormat/>
    <w:pPr>
      <w:spacing w:before="0" w:after="120"/>
      <w:ind w:firstLineChars="0" w:firstLine="0" w:startChars="700" w:endChars="700"/>
    </w:pPr>
    <w:rPr/>
  </w:style>
  <w:style w:type="paragraph" w:styleId="Style37">
    <w:name w:val="文档结构图"/>
    <w:basedOn w:val="Normal"/>
    <w:qFormat/>
    <w:pPr>
      <w:shd w:fill="000080" w:val="clear"/>
    </w:pPr>
    <w:rPr/>
  </w:style>
  <w:style w:type="paragraph" w:styleId="Style38">
    <w:name w:val="信息标题"/>
    <w:basedOn w:val="Normal"/>
    <w:qFormat/>
    <w:pPr>
      <w:pBdr>
        <w:top w:val="single" w:sz="6" w:space="1" w:color="000000"/>
        <w:left w:val="single" w:sz="6" w:space="1" w:color="000000"/>
        <w:bottom w:val="single" w:sz="6" w:space="1" w:color="000000"/>
        <w:right w:val="single" w:sz="6" w:space="1" w:color="000000"/>
      </w:pBdr>
      <w:shd w:fill="CCCCCC" w:val="clear"/>
      <w:ind w:hangingChars="500" w:startChars="500" w:endChars="0" w:end="0"/>
    </w:pPr>
    <w:rPr>
      <w:rFonts w:ascii="Arial" w:hAnsi="Arial" w:cs="Arial"/>
      <w:sz w:val="24"/>
      <w:szCs w:val="24"/>
    </w:rPr>
  </w:style>
  <w:style w:type="paragraph" w:styleId="Style39">
    <w:name w:val="引文目录"/>
    <w:basedOn w:val="Normal"/>
    <w:next w:val="Normal"/>
    <w:qFormat/>
    <w:pPr>
      <w:ind w:firstLineChars="0" w:firstLine="0" w:startChars="200" w:endChars="0" w:end="0"/>
    </w:pPr>
    <w:rPr/>
  </w:style>
  <w:style w:type="paragraph" w:styleId="Style40">
    <w:name w:val="引文目录标题"/>
    <w:basedOn w:val="Normal"/>
    <w:next w:val="Normal"/>
    <w:qFormat/>
    <w:pPr>
      <w:spacing w:before="120" w:after="0"/>
    </w:pPr>
    <w:rPr>
      <w:rFonts w:ascii="Arial" w:hAnsi="Arial" w:cs="Arial"/>
      <w:sz w:val="24"/>
      <w:szCs w:val="24"/>
    </w:rPr>
  </w:style>
  <w:style w:type="paragraph" w:styleId="26">
    <w:name w:val="正文首行缩进 2"/>
    <w:basedOn w:val="BodyTextIndent"/>
    <w:qFormat/>
    <w:pPr>
      <w:overflowPunct w:val="false"/>
      <w:spacing w:before="0" w:after="120"/>
      <w:ind w:firstLineChars="200" w:startChars="200" w:endChars="0" w:end="0"/>
    </w:pPr>
    <w:rPr>
      <w:szCs w:val="20"/>
    </w:rPr>
  </w:style>
  <w:style w:type="paragraph" w:styleId="Style41">
    <w:name w:val="正文缩进"/>
    <w:basedOn w:val="Normal"/>
    <w:qFormat/>
    <w:pPr>
      <w:ind w:firstLineChars="200" w:startChars="0" w:start="0" w:endChars="0" w:end="0"/>
    </w:pPr>
    <w:rPr/>
  </w:style>
  <w:style w:type="paragraph" w:styleId="34">
    <w:name w:val="正文文本 3"/>
    <w:basedOn w:val="Normal"/>
    <w:qFormat/>
    <w:pPr>
      <w:spacing w:before="0" w:after="120"/>
    </w:pPr>
    <w:rPr>
      <w:sz w:val="16"/>
      <w:szCs w:val="16"/>
    </w:rPr>
  </w:style>
  <w:style w:type="paragraph" w:styleId="35">
    <w:name w:val="正文文本缩进 3"/>
    <w:basedOn w:val="Normal"/>
    <w:qFormat/>
    <w:pPr>
      <w:spacing w:before="0" w:after="120"/>
      <w:ind w:firstLineChars="0" w:firstLine="0" w:startChars="200" w:endChars="0" w:end="0"/>
    </w:pPr>
    <w:rPr>
      <w:sz w:val="16"/>
      <w:szCs w:val="16"/>
    </w:rPr>
  </w:style>
  <w:style w:type="paragraph" w:styleId="Style42">
    <w:name w:val="注释标题"/>
    <w:basedOn w:val="Normal"/>
    <w:next w:val="Normal"/>
    <w:qFormat/>
    <w:pPr>
      <w:jc w:val="center"/>
    </w:pPr>
    <w:rPr/>
  </w:style>
  <w:style w:type="paragraph" w:styleId="Default">
    <w:name w:val="Default"/>
    <w:qFormat/>
    <w:pPr>
      <w:widowControl w:val="false"/>
      <w:autoSpaceDE w:val="false"/>
      <w:bidi w:val="0"/>
    </w:pPr>
    <w:rPr>
      <w:rFonts w:ascii="Times New Roman" w:hAnsi="Times New Roman" w:eastAsia="宋体;SimSun" w:cs="Times New Roman"/>
      <w:color w:val="000000"/>
      <w:sz w:val="24"/>
      <w:szCs w:val="24"/>
      <w:lang w:bidi="ar-SA" w:val="en-US" w:eastAsia="zh-CN"/>
    </w:rPr>
  </w:style>
  <w:style w:type="paragraph" w:styleId="Affiliation">
    <w:name w:val="Affiliation"/>
    <w:basedOn w:val="Normal"/>
    <w:qFormat/>
    <w:pPr>
      <w:widowControl/>
      <w:overflowPunct w:val="true"/>
      <w:jc w:val="center"/>
    </w:pPr>
    <w:rPr>
      <w:i/>
      <w:kern w:val="0"/>
      <w:sz w:val="24"/>
    </w:rPr>
  </w:style>
  <w:style w:type="paragraph" w:styleId="tablecolhead">
    <w:name w:val="table col head"/>
    <w:basedOn w:val="Normal"/>
    <w:qFormat/>
    <w:pPr>
      <w:widowControl/>
      <w:overflowPunct w:val="true"/>
      <w:jc w:val="center"/>
    </w:pPr>
    <w:rPr>
      <w:b/>
      <w:bCs/>
      <w:kern w:val="0"/>
      <w:sz w:val="16"/>
      <w:szCs w:val="16"/>
    </w:rPr>
  </w:style>
  <w:style w:type="paragraph" w:styleId="tablecolsubhead">
    <w:name w:val="table col subhead"/>
    <w:basedOn w:val="tablecolhead"/>
    <w:qFormat/>
    <w:pPr/>
    <w:rPr>
      <w:i/>
      <w:iCs/>
      <w:sz w:val="15"/>
      <w:szCs w:val="15"/>
    </w:rPr>
  </w:style>
  <w:style w:type="paragraph" w:styleId="tablecopy">
    <w:name w:val="table copy"/>
    <w:qFormat/>
    <w:pPr>
      <w:widowControl/>
      <w:bidi w:val="0"/>
      <w:jc w:val="both"/>
    </w:pPr>
    <w:rPr>
      <w:rFonts w:ascii="Times New Roman" w:hAnsi="Times New Roman" w:eastAsia="宋体;SimSun" w:cs="Times New Roman"/>
      <w:color w:val="auto"/>
      <w:sz w:val="16"/>
      <w:szCs w:val="16"/>
      <w:lang w:val="en-US" w:eastAsia="en-US" w:bidi="ar-SA"/>
    </w:rPr>
  </w:style>
  <w:style w:type="paragraph" w:styleId="references">
    <w:name w:val="references"/>
    <w:basedOn w:val="Normal"/>
    <w:qFormat/>
    <w:pPr>
      <w:overflowPunct w:val="true"/>
      <w:spacing w:lineRule="auto" w:line="324"/>
    </w:pPr>
    <w:rPr>
      <w:sz w:val="24"/>
      <w:szCs w:val="24"/>
    </w:rPr>
  </w:style>
  <w:style w:type="paragraph" w:styleId="Style43">
    <w:name w:val="列出段落"/>
    <w:basedOn w:val="Normal"/>
    <w:qFormat/>
    <w:pPr>
      <w:overflowPunct w:val="true"/>
      <w:ind w:firstLineChars="200" w:startChars="0" w:start="0" w:endChars="0" w:end="0"/>
    </w:pPr>
    <w:rPr>
      <w:rFonts w:ascii="Calibri" w:hAnsi="Calibri" w:cs="Calibri"/>
      <w:sz w:val="21"/>
      <w:szCs w:val="22"/>
    </w:rPr>
  </w:style>
  <w:style w:type="paragraph" w:styleId="Style44">
    <w:name w:val="修订"/>
    <w:qFormat/>
    <w:pPr>
      <w:widowControl/>
      <w:bidi w:val="0"/>
    </w:pPr>
    <w:rPr>
      <w:rFonts w:ascii="Times New Roman" w:hAnsi="Times New Roman" w:eastAsia="宋体;SimSun" w:cs="Times New Roman"/>
      <w:color w:val="auto"/>
      <w:kern w:val="2"/>
      <w:sz w:val="21"/>
      <w:szCs w:val="22"/>
      <w:lang w:bidi="ar-SA" w:val="en-US" w:eastAsia="zh-CN"/>
    </w:rPr>
  </w:style>
  <w:style w:type="paragraph" w:styleId="Style45">
    <w:name w:val="图题"/>
    <w:basedOn w:val="Normal"/>
    <w:qFormat/>
    <w:pPr>
      <w:keepNext w:val="true"/>
      <w:overflowPunct w:val="true"/>
      <w:spacing w:lineRule="atLeast" w:line="0"/>
      <w:ind w:firstLineChars="200" w:startChars="0" w:start="0" w:endChars="0" w:end="0"/>
      <w:jc w:val="center"/>
    </w:pPr>
    <w:rPr>
      <w:rFonts w:cs="宋体;SimSun"/>
      <w:szCs w:val="18"/>
      <w:lang w:val="en-US"/>
    </w:rPr>
  </w:style>
  <w:style w:type="paragraph" w:styleId="EndNoteBibliographyTitle">
    <w:name w:val="EndNote Bibliography Title"/>
    <w:basedOn w:val="Normal"/>
    <w:qFormat/>
    <w:pPr>
      <w:overflowPunct w:val="true"/>
      <w:ind w:firstLineChars="200" w:startChars="0" w:start="0" w:endChars="0" w:end="0"/>
      <w:jc w:val="center"/>
    </w:pPr>
    <w:rPr>
      <w:rFonts w:ascii="Calibri" w:hAnsi="Calibri" w:cs="Calibri"/>
      <w:sz w:val="20"/>
      <w:szCs w:val="22"/>
      <w:lang w:val="en-US" w:eastAsia="en-US"/>
    </w:rPr>
  </w:style>
  <w:style w:type="paragraph" w:styleId="EndNoteBibliography">
    <w:name w:val="EndNote Bibliography"/>
    <w:basedOn w:val="Normal"/>
    <w:qFormat/>
    <w:pPr>
      <w:overflowPunct w:val="true"/>
      <w:ind w:firstLineChars="200" w:startChars="0" w:start="0" w:endChars="0" w:end="0"/>
    </w:pPr>
    <w:rPr>
      <w:rFonts w:ascii="Calibri" w:hAnsi="Calibri" w:cs="Calibri"/>
      <w:sz w:val="20"/>
      <w:szCs w:val="22"/>
      <w:lang w:val="en-US" w:eastAsia="en-US"/>
    </w:rPr>
  </w:style>
  <w:style w:type="paragraph" w:styleId="13">
    <w:name w:val="1级标题"/>
    <w:basedOn w:val="Normal"/>
    <w:qFormat/>
    <w:pPr>
      <w:overflowPunct w:val="true"/>
      <w:spacing w:before="160" w:after="160"/>
      <w:outlineLvl w:val="0"/>
    </w:pPr>
    <w:rPr>
      <w:rFonts w:eastAsia="黑体;SimHei"/>
      <w:sz w:val="21"/>
      <w:szCs w:val="21"/>
      <w:lang w:val="en-US"/>
    </w:rPr>
  </w:style>
  <w:style w:type="paragraph" w:styleId="27">
    <w:name w:val="2级标题"/>
    <w:basedOn w:val="Normal"/>
    <w:qFormat/>
    <w:pPr>
      <w:widowControl/>
      <w:overflowPunct w:val="true"/>
      <w:spacing w:before="25" w:after="25"/>
      <w:jc w:val="start"/>
      <w:outlineLvl w:val="1"/>
    </w:pPr>
    <w:rPr>
      <w:rFonts w:eastAsia="黑体;SimHei"/>
      <w:szCs w:val="18"/>
      <w:lang w:val="en-US"/>
    </w:rPr>
  </w:style>
  <w:style w:type="paragraph" w:styleId="36">
    <w:name w:val="3级标题"/>
    <w:basedOn w:val="Normal"/>
    <w:qFormat/>
    <w:pPr>
      <w:keepNext w:val="true"/>
      <w:keepLines/>
      <w:tabs>
        <w:tab w:val="clear" w:pos="420"/>
        <w:tab w:val="left" w:pos="561" w:leader="none"/>
        <w:tab w:val="left" w:pos="720" w:leader="none"/>
      </w:tabs>
      <w:ind w:hanging="0" w:start="0" w:end="0"/>
      <w:jc w:val="start"/>
      <w:outlineLvl w:val="2"/>
    </w:pPr>
    <w:rPr>
      <w:lang w:val="en-US"/>
    </w:rPr>
  </w:style>
  <w:style w:type="paragraph" w:styleId="Style46">
    <w:name w:val="批注主题"/>
    <w:basedOn w:val="Style21"/>
    <w:next w:val="Style21"/>
    <w:qFormat/>
    <w:pPr>
      <w:ind w:firstLineChars="200" w:startChars="0" w:start="0" w:endChars="0" w:end="0"/>
    </w:pPr>
    <w:rPr>
      <w:b/>
      <w:bCs/>
      <w:sz w:val="18"/>
      <w:szCs w:val="22"/>
    </w:rPr>
  </w:style>
  <w:style w:type="paragraph" w:styleId="p0">
    <w:name w:val="p0"/>
    <w:basedOn w:val="Normal"/>
    <w:qFormat/>
    <w:pPr>
      <w:widowControl/>
      <w:overflowPunct w:val="true"/>
      <w:ind w:firstLineChars="200" w:startChars="0" w:start="0" w:endChars="0" w:end="0"/>
      <w:jc w:val="start"/>
    </w:pPr>
    <w:rPr>
      <w:rFonts w:cs="Calibri"/>
      <w:kern w:val="0"/>
      <w:szCs w:val="21"/>
    </w:rPr>
  </w:style>
  <w:style w:type="paragraph" w:styleId="14">
    <w:name w:val="日期1"/>
    <w:basedOn w:val="DepartCorrespond"/>
    <w:next w:val="Information"/>
    <w:qFormat/>
    <w:pPr>
      <w:spacing w:before="0" w:after="240"/>
    </w:pPr>
    <w:rPr>
      <w:sz w:val="18"/>
    </w:rPr>
  </w:style>
  <w:style w:type="paragraph" w:styleId="15">
    <w:name w:val="标题1"/>
    <w:basedOn w:val="Normal"/>
    <w:next w:val="Name"/>
    <w:qFormat/>
    <w:pPr>
      <w:keepNext w:val="true"/>
      <w:keepLines/>
      <w:snapToGrid w:val="false"/>
      <w:spacing w:before="240" w:after="100"/>
      <w:outlineLvl w:val="0"/>
    </w:pPr>
    <w:rPr>
      <w:rFonts w:eastAsia="黑体;SimHei"/>
      <w:b/>
      <w:sz w:val="24"/>
    </w:rPr>
  </w:style>
  <w:style w:type="paragraph" w:styleId="28">
    <w:name w:val="日期2"/>
    <w:basedOn w:val="DepartCorrespond"/>
    <w:next w:val="Information"/>
    <w:qFormat/>
    <w:pPr>
      <w:spacing w:before="0" w:after="240"/>
    </w:pPr>
    <w:rPr>
      <w:sz w:val="18"/>
    </w:rPr>
  </w:style>
  <w:style w:type="paragraph" w:styleId="29">
    <w:name w:val="标题2"/>
    <w:basedOn w:val="Normal"/>
    <w:next w:val="Name"/>
    <w:qFormat/>
    <w:pPr>
      <w:keepNext w:val="true"/>
      <w:keepLines/>
      <w:snapToGrid w:val="false"/>
      <w:spacing w:before="240" w:after="100"/>
      <w:outlineLvl w:val="0"/>
    </w:pPr>
    <w:rPr>
      <w:rFonts w:eastAsia="黑体;SimHei"/>
      <w:b/>
      <w:sz w:val="24"/>
    </w:rPr>
  </w:style>
  <w:style w:type="paragraph" w:styleId="Style47">
    <w:name w:val="参考文献"/>
    <w:basedOn w:val="Normal"/>
    <w:qFormat/>
    <w:pPr>
      <w:overflowPunct w:val="true"/>
      <w:snapToGrid w:val="false"/>
      <w:spacing w:lineRule="auto" w:line="293"/>
    </w:pPr>
    <w:rPr>
      <w:rFonts w:eastAsia="方正书宋简体;微软雅黑"/>
      <w:color w:val="000000"/>
      <w:spacing w:val="2"/>
      <w:szCs w:val="18"/>
    </w:rPr>
  </w:style>
  <w:style w:type="paragraph" w:styleId="reference1">
    <w:name w:val="reference1"/>
    <w:basedOn w:val="Normal"/>
    <w:qFormat/>
    <w:pPr>
      <w:widowControl/>
      <w:overflowPunct w:val="true"/>
      <w:ind w:hanging="227" w:start="227" w:end="0"/>
    </w:pPr>
    <w:rPr>
      <w:rFonts w:ascii="Times" w:hAnsi="Times" w:eastAsia="Malgun Gothic" w:cs="Times"/>
      <w:kern w:val="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styleId="HeaderLeft">
    <w:name w:val="Header Left"/>
    <w:basedOn w:val="Header"/>
    <w:qFormat/>
    <w:pPr>
      <w:suppressLineNumbers/>
      <w:tabs>
        <w:tab w:val="clear" w:pos="420"/>
        <w:tab w:val="center" w:pos="4398" w:leader="none"/>
        <w:tab w:val="right" w:pos="8796"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paragraph" w:customStyle="1" w:styleId="FirstParagraph">
    <w:name w:val="First Paragraph"/>
    <w:pPr>
      <w:widowControl/>
      <w:spacing w:line="260" w:lineRule="exact" w:before="0" w:after="40"/>
      <w:ind w:firstLine="360"/>
    </w:pPr>
    <w:rPr>
      <w:rFonts w:ascii="Liberation Serif" w:hAnsi="Liberation Serif" w:eastAsia="Noto Serif CJK SC"/>
      <w:b w:val="0"/>
      <w:i w:val="0"/>
      <w:sz w:val="18"/>
    </w:rPr>
  </w:style>
  <w:style w:type="paragraph" w:customStyle="1" w:styleId="Compact">
    <w:name w:val="Compact"/>
    <w:pPr>
      <w:widowControl/>
      <w:spacing w:line="260" w:lineRule="exact" w:before="0" w:after="40"/>
      <w:ind w:firstLine="360"/>
    </w:pPr>
    <w:rPr>
      <w:rFonts w:ascii="Liberation Serif" w:hAnsi="Liberation Serif" w:eastAsia="Noto Serif CJK SC"/>
      <w:b w:val="0"/>
      <w:i w:val="0"/>
      <w:sz w:val="18"/>
    </w:rPr>
  </w:style>
  <w:style w:type="paragraph" w:customStyle="1" w:styleId="Table">
    <w:name w:val="Table"/>
    <w:pPr>
      <w:widowControl/>
      <w:spacing w:line="260" w:lineRule="exact" w:before="0" w:after="40"/>
      <w:ind w:firstLine="360"/>
    </w:pPr>
    <w:rPr>
      <w:rFonts w:ascii="Liberation Serif" w:hAnsi="Liberation Serif" w:eastAsia="Noto Serif CJK SC"/>
      <w:b w:val="0"/>
      <w:i w:val="0"/>
      <w:sz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4" Type="http://schemas.openxmlformats.org/officeDocument/2006/relationships/oleObject" Target="embeddings/oleObject1.bin"/><Relationship Id="rId6" Type="http://schemas.openxmlformats.org/officeDocument/2006/relationships/oleObject" Target="embeddings/oleObject2.bin"/><Relationship Id="rId8" Type="http://schemas.openxmlformats.org/officeDocument/2006/relationships/oleObject" Target="embeddings/oleObject3.bin"/><Relationship Id="rId10" Type="http://schemas.openxmlformats.org/officeDocument/2006/relationships/oleObject" Target="embeddings/oleObject4.bin"/><Relationship Id="rId12" Type="http://schemas.openxmlformats.org/officeDocument/2006/relationships/oleObject" Target="embeddings/oleObject5.bin"/><Relationship Id="rId14" Type="http://schemas.openxmlformats.org/officeDocument/2006/relationships/oleObject" Target="embeddings/oleObject6.bin"/><Relationship Id="rId16" Type="http://schemas.openxmlformats.org/officeDocument/2006/relationships/oleObject" Target="embeddings/oleObject7.bin"/><Relationship Id="rId18" Type="http://schemas.openxmlformats.org/officeDocument/2006/relationships/oleObject" Target="embeddings/oleObject8.bin"/><Relationship Id="rId20" Type="http://schemas.openxmlformats.org/officeDocument/2006/relationships/oleObject" Target="embeddings/oleObject9.bin"/><Relationship Id="rId22" Type="http://schemas.openxmlformats.org/officeDocument/2006/relationships/oleObject" Target="embeddings/oleObject10.bin"/><Relationship Id="rId24" Type="http://schemas.openxmlformats.org/officeDocument/2006/relationships/oleObject" Target="embeddings/oleObject11.bin"/><Relationship Id="rId26" Type="http://schemas.openxmlformats.org/officeDocument/2006/relationships/oleObject" Target="embeddings/oleObject12.bin"/><Relationship Id="rId28" Type="http://schemas.openxmlformats.org/officeDocument/2006/relationships/oleObject" Target="embeddings/oleObject13.bin"/><Relationship Id="rId30" Type="http://schemas.openxmlformats.org/officeDocument/2006/relationships/oleObject" Target="embeddings/oleObject14.bin"/><Relationship Id="rId32" Type="http://schemas.openxmlformats.org/officeDocument/2006/relationships/oleObject" Target="embeddings/oleObject15.bin"/><Relationship Id="rId34" Type="http://schemas.openxmlformats.org/officeDocument/2006/relationships/oleObject" Target="embeddings/oleObject16.bin"/><Relationship Id="rId36" Type="http://schemas.openxmlformats.org/officeDocument/2006/relationships/oleObject" Target="embeddings/oleObject17.bin"/><Relationship Id="rId38" Type="http://schemas.openxmlformats.org/officeDocument/2006/relationships/oleObject" Target="embeddings/oleObject18.bin"/><Relationship Id="rId40" Type="http://schemas.openxmlformats.org/officeDocument/2006/relationships/oleObject" Target="embeddings/oleObject19.bin"/><Relationship Id="rId42" Type="http://schemas.openxmlformats.org/officeDocument/2006/relationships/oleObject" Target="embeddings/oleObject20.bin"/><Relationship Id="rId45" Type="http://schemas.openxmlformats.org/officeDocument/2006/relationships/oleObject" Target="embeddings/oleObject21.bin"/><Relationship Id="rId47" Type="http://schemas.openxmlformats.org/officeDocument/2006/relationships/oleObject" Target="embeddings/oleObject22.bin"/><Relationship Id="rId50" Type="http://schemas.openxmlformats.org/officeDocument/2006/relationships/oleObject" Target="embeddings/oleObject23.bin"/><Relationship Id="rId52" Type="http://schemas.openxmlformats.org/officeDocument/2006/relationships/oleObject" Target="embeddings/oleObject24.bin"/><Relationship Id="rId54" Type="http://schemas.openxmlformats.org/officeDocument/2006/relationships/oleObject" Target="embeddings/oleObject25.bin"/><Relationship Id="rId56" Type="http://schemas.openxmlformats.org/officeDocument/2006/relationships/oleObject" Target="embeddings/oleObject26.bin"/><Relationship Id="rId58" Type="http://schemas.openxmlformats.org/officeDocument/2006/relationships/oleObject" Target="embeddings/oleObject27.bin"/><Relationship Id="rId60" Type="http://schemas.openxmlformats.org/officeDocument/2006/relationships/oleObject" Target="embeddings/oleObject28.bin"/><Relationship Id="rId62" Type="http://schemas.openxmlformats.org/officeDocument/2006/relationships/oleObject" Target="embeddings/oleObject29.bin"/><Relationship Id="rId64" Type="http://schemas.openxmlformats.org/officeDocument/2006/relationships/oleObject" Target="embeddings/oleObject30.bin"/><Relationship Id="rId66" Type="http://schemas.openxmlformats.org/officeDocument/2006/relationships/oleObject" Target="embeddings/oleObject31.bin"/><Relationship Id="rId68" Type="http://schemas.openxmlformats.org/officeDocument/2006/relationships/oleObject" Target="embeddings/oleObject32.bin"/><Relationship Id="rId70" Type="http://schemas.openxmlformats.org/officeDocument/2006/relationships/oleObject" Target="embeddings/oleObject33.bin"/><Relationship Id="rId72" Type="http://schemas.openxmlformats.org/officeDocument/2006/relationships/oleObject" Target="embeddings/oleObject34.bin"/><Relationship Id="rId74" Type="http://schemas.openxmlformats.org/officeDocument/2006/relationships/oleObject" Target="embeddings/oleObject35.bin"/><Relationship Id="rId76" Type="http://schemas.openxmlformats.org/officeDocument/2006/relationships/oleObject" Target="embeddings/oleObject36.bin"/><Relationship Id="rId79" Type="http://schemas.openxmlformats.org/officeDocument/2006/relationships/oleObject" Target="embeddings/oleObject37.bin"/><Relationship Id="rId81" Type="http://schemas.openxmlformats.org/officeDocument/2006/relationships/oleObject" Target="embeddings/oleObject38.bin"/><Relationship Id="rId83" Type="http://schemas.openxmlformats.org/officeDocument/2006/relationships/oleObject" Target="embeddings/oleObject39.bin"/><Relationship Id="rId85" Type="http://schemas.openxmlformats.org/officeDocument/2006/relationships/oleObject" Target="embeddings/oleObject40.bin"/><Relationship Id="rId87" Type="http://schemas.openxmlformats.org/officeDocument/2006/relationships/oleObject" Target="embeddings/oleObject41.bin"/><Relationship Id="rId89" Type="http://schemas.openxmlformats.org/officeDocument/2006/relationships/oleObject" Target="embeddings/oleObject42.bin"/><Relationship Id="rId91" Type="http://schemas.openxmlformats.org/officeDocument/2006/relationships/oleObject" Target="embeddings/oleObject43.bin"/><Relationship Id="rId93" Type="http://schemas.openxmlformats.org/officeDocument/2006/relationships/oleObject" Target="embeddings/oleObject44.bin"/><Relationship Id="rId95" Type="http://schemas.openxmlformats.org/officeDocument/2006/relationships/oleObject" Target="embeddings/oleObject45.bin"/><Relationship Id="rId97" Type="http://schemas.openxmlformats.org/officeDocument/2006/relationships/oleObject" Target="embeddings/oleObject46.bin"/><Relationship Id="rId99" Type="http://schemas.openxmlformats.org/officeDocument/2006/relationships/oleObject" Target="embeddings/oleObject47.bin"/><Relationship Id="rId101" Type="http://schemas.openxmlformats.org/officeDocument/2006/relationships/oleObject" Target="embeddings/oleObject48.bin"/><Relationship Id="rId103" Type="http://schemas.openxmlformats.org/officeDocument/2006/relationships/oleObject" Target="embeddings/oleObject49.bin"/><Relationship Id="rId105" Type="http://schemas.openxmlformats.org/officeDocument/2006/relationships/oleObject" Target="embeddings/oleObject50.bin"/><Relationship Id="rId107" Type="http://schemas.openxmlformats.org/officeDocument/2006/relationships/oleObject" Target="embeddings/oleObject51.bin"/><Relationship Id="rId109" Type="http://schemas.openxmlformats.org/officeDocument/2006/relationships/oleObject" Target="embeddings/oleObject52.bin"/><Relationship Id="rId111" Type="http://schemas.openxmlformats.org/officeDocument/2006/relationships/oleObject" Target="embeddings/oleObject53.bin"/><Relationship Id="rId113" Type="http://schemas.openxmlformats.org/officeDocument/2006/relationships/oleObject" Target="embeddings/oleObject54.bin"/><Relationship Id="rId115" Type="http://schemas.openxmlformats.org/officeDocument/2006/relationships/oleObject" Target="embeddings/oleObject55.bin"/><Relationship Id="rId117" Type="http://schemas.openxmlformats.org/officeDocument/2006/relationships/oleObject" Target="embeddings/oleObject56.bin"/><Relationship Id="rId119" Type="http://schemas.openxmlformats.org/officeDocument/2006/relationships/oleObject" Target="embeddings/oleObject57.bin"/><Relationship Id="rId121" Type="http://schemas.openxmlformats.org/officeDocument/2006/relationships/oleObject" Target="embeddings/oleObject58.bin"/><Relationship Id="rId123" Type="http://schemas.openxmlformats.org/officeDocument/2006/relationships/oleObject" Target="embeddings/oleObject59.bin"/><Relationship Id="rId125" Type="http://schemas.openxmlformats.org/officeDocument/2006/relationships/oleObject" Target="embeddings/oleObject60.bin"/><Relationship Id="rId127" Type="http://schemas.openxmlformats.org/officeDocument/2006/relationships/oleObject" Target="embeddings/oleObject61.bin"/><Relationship Id="rId129" Type="http://schemas.openxmlformats.org/officeDocument/2006/relationships/oleObject" Target="embeddings/oleObject62.bin"/><Relationship Id="rId131" Type="http://schemas.openxmlformats.org/officeDocument/2006/relationships/oleObject" Target="embeddings/oleObject63.bin"/><Relationship Id="rId133" Type="http://schemas.openxmlformats.org/officeDocument/2006/relationships/oleObject" Target="embeddings/oleObject64.bin"/><Relationship Id="rId135" Type="http://schemas.openxmlformats.org/officeDocument/2006/relationships/oleObject" Target="embeddings/oleObject65.bin"/><Relationship Id="rId137" Type="http://schemas.openxmlformats.org/officeDocument/2006/relationships/oleObject" Target="embeddings/oleObject66.bin"/><Relationship Id="rId139" Type="http://schemas.openxmlformats.org/officeDocument/2006/relationships/oleObject" Target="embeddings/oleObject67.bin"/><Relationship Id="rId141" Type="http://schemas.openxmlformats.org/officeDocument/2006/relationships/oleObject" Target="embeddings/oleObject68.bin"/><Relationship Id="rId143" Type="http://schemas.openxmlformats.org/officeDocument/2006/relationships/oleObject" Target="embeddings/oleObject69.bin"/><Relationship Id="rId145" Type="http://schemas.openxmlformats.org/officeDocument/2006/relationships/oleObject" Target="embeddings/oleObject70.bin"/><Relationship Id="rId154" Type="http://schemas.openxmlformats.org/officeDocument/2006/relationships/header" Target="header1.xml"/><Relationship Id="rId155" Type="http://schemas.openxmlformats.org/officeDocument/2006/relationships/header" Target="header2.xml"/><Relationship Id="rId156" Type="http://schemas.openxmlformats.org/officeDocument/2006/relationships/header" Target="header3.xml"/><Relationship Id="rId157" Type="http://schemas.openxmlformats.org/officeDocument/2006/relationships/footer" Target="footer1.xml"/><Relationship Id="rId158" Type="http://schemas.openxmlformats.org/officeDocument/2006/relationships/footer" Target="footer2.xml"/><Relationship Id="rId159" Type="http://schemas.openxmlformats.org/officeDocument/2006/relationships/footer" Target="footer3.xml"/><Relationship Id="rId161" Type="http://schemas.openxmlformats.org/officeDocument/2006/relationships/numbering" Target="numbering.xml"/><Relationship Id="rId162" Type="http://schemas.openxmlformats.org/officeDocument/2006/relationships/fontTable" Target="fontTable.xml"/><Relationship Id="rId163" Type="http://schemas.openxmlformats.org/officeDocument/2006/relationships/settings" Target="settings.xml"/><Relationship Id="rId16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中文模板（2003）</Template>
  <TotalTime>1</TotalTime>
  <Application>LibreOfficeDev/26.8.0.0.alpha0$Linux_X86_64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2021-08-09T05:56:00Z</dcterms:created>
  <dc:creator/>
  <dc:description/>
  <dc:language>en-US</dc:language>
  <cp:lastModifiedBy/>
  <cp:lastPrinted>2021-04-16T20:10:00Z</cp:lastPrinted>
  <dcterms:modified xsi:type="dcterms:W3CDTF">2021-08-09T05:56:00Z</dcterms:modified>
  <cp:revision>2</cp:revision>
  <dc:subject>RFID室内定位综述技术报告</dc:subject>
  <dc:title>从信号空间相似性到相位全息匹配：RFID室内定位机制综述</dc:title>
  <cp:keywords>RFID; LANDMARC; SAR; 室内定位; 综述</cp:keywords>
</cp:coreProperties>
</file>