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Reappointment committee speech</w:t>
      </w:r>
    </w:p>
    <w:p>
      <w:pPr>
        <w:pStyle w:val="Subtitle"/>
      </w:pPr>
      <w:r>
        <w:t>David Molik  |  Monday, November 2, 2026</w:t>
      </w:r>
    </w:p>
    <w:p>
      <w:pPr>
        <w:keepLines/>
      </w:pPr>
      <w:r>
        <w:rPr>
          <w:i w:val="0"/>
        </w:rPr>
        <w:t>Thank you for your continued guidance and the work this committee undertakes. I've received some good-natured commentary about the portfolio's length. With the anticipated transition to Wildcat Scholar, I used this packet to document the breadth, depth, and sustained communication my position requires.</w:t>
      </w:r>
    </w:p>
    <w:p>
      <w:pPr>
        <w:keepLines/>
      </w:pPr>
      <w:r>
        <w:rPr>
          <w:i w:val="0"/>
        </w:rPr>
        <w:t>Two concepts connect my responsibilities as Open Publishing Exchange department head, librarian, associate professor, and Library Lead Research Officer: scholarly communication and sustainability.</w:t>
      </w:r>
    </w:p>
    <w:p>
      <w:pPr>
        <w:keepLines/>
      </w:pPr>
      <w:r>
        <w:rPr>
          <w:i w:val="0"/>
        </w:rPr>
        <w:t>Scholarly communication encompasses the creation, publication, dissemination, preservation, discovery, and reuse of knowledge. The Libraries participate throughout that lifecycle: publishing an article, supporting affordable textbooks, or helping researchers share interpretable, reusable data. OPE coordinates publishing, repositories, open education, and research-data services around those responsibilities.</w:t>
      </w:r>
    </w:p>
    <w:p>
      <w:pPr>
        <w:keepLines/>
      </w:pPr>
      <w:r>
        <w:rPr>
          <w:b w:val="0"/>
        </w:rPr>
        <w:t xml:space="preserve">Sustainability is both my objective and an ethical framework for that work. I distinguish four dimensions. </w:t>
      </w:r>
      <w:r>
        <w:rPr>
          <w:b/>
        </w:rPr>
        <w:t>Financial sustainability</w:t>
      </w:r>
      <w:r>
        <w:rPr>
          <w:b w:val="0"/>
        </w:rPr>
        <w:t xml:space="preserve"> requires credible funding for our commitments. </w:t>
      </w:r>
      <w:r>
        <w:rPr>
          <w:b/>
        </w:rPr>
        <w:t>Operational sustainability</w:t>
      </w:r>
      <w:r>
        <w:rPr>
          <w:b w:val="0"/>
        </w:rPr>
        <w:t xml:space="preserve"> requires defined responsibilities, documented workflows, and sufficient staffing. </w:t>
      </w:r>
      <w:r>
        <w:rPr>
          <w:b/>
        </w:rPr>
        <w:t>Technical sustainability</w:t>
      </w:r>
      <w:r>
        <w:rPr>
          <w:b w:val="0"/>
        </w:rPr>
        <w:t xml:space="preserve"> requires maintainable infrastructure, interoperability, and preservation. </w:t>
      </w:r>
      <w:r>
        <w:rPr>
          <w:b/>
        </w:rPr>
        <w:t>Intellectual sustainability</w:t>
      </w:r>
      <w:r>
        <w:rPr>
          <w:b w:val="0"/>
        </w:rPr>
        <w:t xml:space="preserve"> requires transferable expertise and the capacity to evaluate and improve our services.</w:t>
      </w:r>
    </w:p>
    <w:p>
      <w:pPr>
        <w:keepLines/>
      </w:pPr>
      <w:r>
        <w:rPr>
          <w:i w:val="0"/>
        </w:rPr>
        <w:t>These dimensions are interdependent. Funding alone cannot sustain a service whose operation depends on one person's knowledge. Technical sophistication cannot compensate for inadequate maintenance. My responsibility is institutional continuity: services that remain dependable beyond their initial implementation and beyond any individual, including me.</w:t>
      </w:r>
    </w:p>
    <w:p>
      <w:pPr>
        <w:keepLines/>
      </w:pPr>
      <w:r>
        <w:rPr>
          <w:i w:val="0"/>
        </w:rPr>
        <w:t>Accepting a journal or a dataset creates a continuing stewardship obligation. We need to account for editorial coordination, description, preservation, accessibility, and eventual migration. Those obligations belong in the initial service decision. The June OPE landscape I wrote establishes proposed priorities across our four service areas, connecting infrastructure decisions with staffing, funding, and professional development. It gives us a common basis for evaluating expansion.</w:t>
      </w:r>
    </w:p>
    <w:p>
      <w:pPr>
        <w:keepLines/>
        <w:pageBreakBefore/>
      </w:pPr>
      <w:r>
        <w:rPr>
          <w:i w:val="0"/>
        </w:rPr>
        <w:t>That standard also applies to how I lead. Tara's evaluation identifies two priorities: sustainable commitments and clearer communication of specialized work. Both warrant attention.</w:t>
      </w:r>
    </w:p>
    <w:p>
      <w:pPr>
        <w:keepLines/>
      </w:pPr>
      <w:r>
        <w:rPr>
          <w:i w:val="0"/>
        </w:rPr>
        <w:t>On workload, sustainability applies to me as well. Tara questions the accumulation of projects when existing work encounters obstacles. Parallel work can be productive; accumulated obligations can exceed capacity. I will review commitments with administration against departmental priorities, resources, and feasibility. That requires deliberate prioritization, occasional deferral, and delegation with sufficient authority and support.</w:t>
      </w:r>
    </w:p>
    <w:p>
      <w:pPr>
        <w:keepLines/>
      </w:pPr>
      <w:r>
        <w:rPr>
          <w:i w:val="0"/>
        </w:rPr>
        <w:t>On communication, Tara recognizes my strengths while recommending greater accessibility for nonspecialists. My practical response is to establish shared context before introducing technical detail. Repository identifiers, for example, support reliable discovery and citation. That purpose should precede the implementation discussion. My Research Weekly articles on publishing costs and open access demonstrate this approach; I intend to apply it more consistently.</w:t>
      </w:r>
    </w:p>
    <w:p>
      <w:pPr>
        <w:keepLines/>
      </w:pPr>
      <w:r>
        <w:rPr>
          <w:i w:val="0"/>
        </w:rPr>
        <w:t>I take a different view of the earlier feedback about my foundation in library science. My nontraditional background does not, by itself, establish a knowledge deficit. Publishing, preservation, research-data stewardship, and scholarly access are library responsibilities to which I contribute substantive expertise. I ask the committee to assess that contribution alongside specific opportunities for development.</w:t>
      </w:r>
    </w:p>
    <w:p>
      <w:pPr>
        <w:keepLines/>
      </w:pPr>
      <w:r>
        <w:rPr>
          <w:i w:val="0"/>
        </w:rPr>
        <w:t>Conversations with Cliff have reinforced the importance of demonstrating library integration. My preparation includes the Leadership Institute for Academic Librarians, FORCE11, assessment training, and continuing professional reading. If the committee identifies a deficiency, I ask it to specify the competency, its relevance to my appointment, and the evidence that would demonstrate progress. If a formal qualification is expected, that expectation should be explicit. I welcome actionable guidance.</w:t>
      </w:r>
    </w:p>
    <w:p>
      <w:pPr>
        <w:keepLines/>
        <w:pageBreakBefore/>
      </w:pPr>
      <w:r>
        <w:rPr>
          <w:i w:val="0"/>
        </w:rPr>
        <w:t>Integration also occurs through collaboration. With Gwen Sibley, I taught data-curation workshops connecting research methods with description, sharing, and reuse. With Ryan Otto, I worked on repository policy addressing description, discovery, and stewardship. These collaborations depend on reciprocal expertise and deepen my understanding of library practice.</w:t>
      </w:r>
    </w:p>
    <w:p>
      <w:pPr>
        <w:keepLines/>
      </w:pPr>
      <w:r>
        <w:rPr>
          <w:i w:val="0"/>
        </w:rPr>
        <w:t>That exchange extends to mentoring. I helped develop student roles with designated librarian mentors, and my work with Gwen included successive reviews of her William T. Grant letter of inquiry: refining the research question, methodology, evidence, and funder alignment. She incorporated recommendations and retained authorship. Supporting a colleague's independent research leadership distributes expertise and responsibility, which is also how I intend to make my own workload more sustainable.</w:t>
      </w:r>
    </w:p>
    <w:p>
      <w:pPr>
        <w:keepLines/>
      </w:pPr>
      <w:r>
        <w:rPr>
          <w:i w:val="0"/>
        </w:rPr>
        <w:t>Professional development is a career-long responsibility. I intend to pursue it with explicit objectives and demonstrate its application through our services and partnerships.</w:t>
      </w:r>
    </w:p>
    <w:p>
      <w:pPr>
        <w:keepLines/>
      </w:pPr>
      <w:r>
        <w:rPr>
          <w:i w:val="0"/>
        </w:rPr>
        <w:t>The Journal of Extension provides a current example of that application. I led New Prairie Press's production-management proposal, submitted October 1, with Ryan involved in the interview process. Since the portfolio submission, we have advanced to the next interview round. We are still competing, but advancement through external review is a substantive milestone. The prospective partnership requires us to demonstrate publishing expertise and a credible operating model: staffing, responsibilities, costs, and continuity.</w:t>
      </w:r>
    </w:p>
    <w:p>
      <w:pPr>
        <w:keepLines/>
      </w:pPr>
      <w:r>
        <w:rPr>
          <w:i w:val="0"/>
        </w:rPr>
        <w:t>Our responsibility for scholarship also extends to how the institution understands its own output. At the request of the Office of the Vice President for Research, I developed HAIL and HAIL-local to aggregate and connect publication records. The question is straightforward: what scholarship does K-State produce, and how reliably can we characterize it? I've presented the approach to campus colleagues; preliminary reports are available, with validation continuing. This applies library expertise in metadata and discovery to institutional assessment.</w:t>
      </w:r>
    </w:p>
    <w:p>
      <w:pPr>
        <w:keepLines/>
        <w:pageBreakBefore/>
      </w:pPr>
      <w:r>
        <w:rPr>
          <w:i w:val="0"/>
        </w:rPr>
        <w:t>The methodological issue is interpretation. An incomplete publication record can misrepresent institutional activity. Missing information must remain distinguishable from an observed absence, and coverage limitations need to accompany the results. HAIL's development addresses those distinctions. The objective is defensible institutional evidence, with enough provenance and transparency to evaluate what a report actually represents.</w:t>
      </w:r>
    </w:p>
    <w:p>
      <w:pPr>
        <w:keepLines/>
      </w:pPr>
      <w:r>
        <w:rPr>
          <w:i w:val="0"/>
        </w:rPr>
        <w:t xml:space="preserve">The reliability of scholarly evidence is also a research question. I co-authored </w:t>
      </w:r>
      <w:r>
        <w:rPr>
          <w:i/>
        </w:rPr>
        <w:t>How to write (and review) a Genome Report</w:t>
      </w:r>
      <w:r>
        <w:rPr>
          <w:i w:val="0"/>
        </w:rPr>
        <w:t xml:space="preserve">, translating scientific reporting standards into guidance for authors, reviewers, and publishers. Genomics supplies the disciplinary context; the broader question is what documentation supports evaluation and reuse. My contributions to </w:t>
      </w:r>
      <w:r>
        <w:rPr>
          <w:i/>
        </w:rPr>
        <w:t>The Future is FAIR</w:t>
      </w:r>
      <w:r>
        <w:rPr>
          <w:i w:val="0"/>
        </w:rPr>
        <w:t xml:space="preserve"> address related data-management and sharing practices. AgBioData's Mission and Leadership Award recognized my contributions to that community this year. Those relationships and experiences inform my work here.</w:t>
      </w:r>
    </w:p>
    <w:p>
      <w:pPr>
        <w:keepLines/>
      </w:pPr>
      <w:r>
        <w:rPr>
          <w:i w:val="0"/>
        </w:rPr>
        <w:t>These questions need attention before research begins, while responsibilities and budgets are still negotiable. That is where my Library Lead Research Officer role becomes particularly useful. For the proposed regional AI hub, I delivered a draft data-management and sharing plan in October and supported budget preparation. The plan connects metadata, provenance, repositories, preservation, and annual stewardship review. Those provisions define a substantive library contribution to research design.</w:t>
      </w:r>
    </w:p>
    <w:p>
      <w:pPr>
        <w:keepLines/>
      </w:pPr>
      <w:r>
        <w:rPr>
          <w:i w:val="0"/>
        </w:rPr>
        <w:t>Alongside that service work, my investigator-led research received a $13,417 digital-agriculture seed award for a research-data platform. That is awarded support; the regional hub remains proposal work. Both illustrate the connection I am developing between research and library infrastructure. Funding can initiate a project, while explicit stewardship responsibilities help establish the conditions for its continuity.</w:t>
      </w:r>
    </w:p>
    <w:p>
      <w:pPr>
        <w:keepLines/>
      </w:pPr>
      <w:r>
        <w:rPr>
          <w:i w:val="0"/>
        </w:rPr>
        <w:t>This brings me back to OPE leadership. My responsibility is to translate publishing expertise, research, and professional relationships into services the Libraries can sustain. Clearer communication, manageable commitments, and continued library integration are practical objectives for doing that well. I am proud of our work and the expertise I contribute.</w:t>
      </w:r>
    </w:p>
    <w:p>
      <w:pPr>
        <w:keepLines/>
      </w:pPr>
      <w:r>
        <w:rPr>
          <w:i w:val="0"/>
        </w:rPr>
        <w:t>Lastly, I believe my record warrants a discussion of early tenure. I've asked Tara to reserve time to discuss pursuing early tenure next year and the objectives I would need to meet. I welcome specific committee expectations for communication, workload, and library integration, so that decision rests on explicit criteria. Thank you.</w:t>
      </w:r>
    </w:p>
    <w:sectPr w:rsidR="00FC693F" w:rsidRPr="0006063C" w:rsidSect="00034616">
      <w:headerReference w:type="default" r:id="rId9"/>
      <w:footerReference w:type="default" r:id="rId10"/>
      <w:pgSz w:w="12240" w:h="15840"/>
      <w:pgMar w:top="1224"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David Molik  |  Reappointment committee speech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60"/>
    </w:pPr>
    <w:rPr>
      <w:rFonts w:ascii="Georgia" w:hAnsi="Georgia" w:eastAsia="Georgia" w:cs="Georgia"/>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Georgia" w:hAnsi="Georgia" w:eastAsia="Georgia" w:cs="Georgia"/>
      <w:color w:val="000000"/>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Georgia" w:hAnsi="Georgia" w:eastAsia="Georgia" w:cs="Georgia"/>
      <w:color w:val="000000"/>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Georgia" w:hAnsi="Georgia" w:eastAsia="Georgia" w:cs="Georgi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Georgia" w:hAnsi="Georgia" w:eastAsia="Georgia" w:cs="Georgi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Georgia" w:hAnsi="Georgia" w:eastAsia="Georgia" w:cs="Georgia"/>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Georgia" w:hAnsi="Georgia" w:eastAsia="Georgia" w:cs="Georgia"/>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Georgia" w:hAnsi="Georgia" w:eastAsia="Georgia" w:cs="Georgia"/>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Georgia" w:hAnsi="Georgia" w:eastAsia="Georgia" w:cs="Georgia"/>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Georgia" w:hAnsi="Georgia" w:eastAsia="Georgia" w:cs="Georgia"/>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Georgia" w:hAnsi="Georgia" w:eastAsia="Georgia" w:cs="Georgia"/>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Georgia" w:hAnsi="Georgia" w:eastAsia="Georgia" w:cs="Georgia"/>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ascii="Georgia" w:hAnsi="Georgia" w:eastAsia="Georgia" w:cs="Georgia"/>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cstheme="majorBidi" w:ascii="Georgia" w:hAnsi="Georgia" w:eastAsia="Georgia" w:cs="Georgia"/>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style>
  <w:style w:type="paragraph" w:styleId="BodyText">
    <w:name w:val="Body Text"/>
    <w:basedOn w:val="Normal"/>
    <w:link w:val="BodyTextChar"/>
    <w:uiPriority w:val="99"/>
    <w:unhideWhenUsed/>
    <w:rsid w:val="00AA1D8D"/>
    <w:pPr>
      <w:spacing w:after="120"/>
    </w:pPr>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style>
  <w:style w:type="paragraph" w:styleId="List2">
    <w:name w:val="List 2"/>
    <w:basedOn w:val="Normal"/>
    <w:uiPriority w:val="99"/>
    <w:unhideWhenUsed/>
    <w:rsid w:val="00326F90"/>
    <w:pPr>
      <w:ind w:left="720" w:hanging="360"/>
      <w:contextualSpacing/>
    </w:pPr>
    <w:rPr/>
  </w:style>
  <w:style w:type="paragraph" w:styleId="List3">
    <w:name w:val="List 3"/>
    <w:basedOn w:val="Normal"/>
    <w:uiPriority w:val="99"/>
    <w:unhideWhenUsed/>
    <w:rsid w:val="00326F90"/>
    <w:pPr>
      <w:ind w:left="1080" w:hanging="360"/>
      <w:contextualSpacing/>
    </w:pPr>
    <w:r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rPr/>
  </w:style>
  <w:style w:type="paragraph" w:styleId="ListBullet3">
    <w:name w:val="List Bullet 3"/>
    <w:basedOn w:val="Normal"/>
    <w:uiPriority w:val="99"/>
    <w:unhideWhenUsed/>
    <w:rsid w:val="00326F90"/>
    <w:pPr>
      <w:numPr>
        <w:numId w:val="3"/>
      </w:numPr>
      <w:contextualSpacing/>
    </w:pPr>
    <w:rPr/>
  </w:style>
  <w:style w:type="paragraph" w:styleId="ListNumber">
    <w:name w:val="List Number"/>
    <w:basedOn w:val="Normal"/>
    <w:uiPriority w:val="99"/>
    <w:unhideWhenUsed/>
    <w:rsid w:val="00326F90"/>
    <w:pPr>
      <w:numPr>
        <w:numId w:val="5"/>
      </w:numPr>
      <w:contextualSpacing/>
    </w:pPr>
    <w:rPr/>
  </w:style>
  <w:style w:type="paragraph" w:styleId="ListNumber2">
    <w:name w:val="List Number 2"/>
    <w:basedOn w:val="Normal"/>
    <w:uiPriority w:val="99"/>
    <w:unhideWhenUsed/>
    <w:rsid w:val="0029639D"/>
    <w:pPr>
      <w:numPr>
        <w:numId w:val="6"/>
      </w:numPr>
      <w:contextualSpacing/>
    </w:pPr>
    <w:rPr/>
  </w:style>
  <w:style w:type="paragraph" w:styleId="ListNumber3">
    <w:name w:val="List Number 3"/>
    <w:basedOn w:val="Normal"/>
    <w:uiPriority w:val="99"/>
    <w:unhideWhenUsed/>
    <w:rsid w:val="0029639D"/>
    <w:pPr>
      <w:numPr>
        <w:numId w:val="7"/>
      </w:numPr>
      <w:contextualSpacing/>
    </w:pPr>
    <w:rPr/>
  </w:style>
  <w:style w:type="paragraph" w:styleId="ListContinue">
    <w:name w:val="List Continue"/>
    <w:basedOn w:val="Normal"/>
    <w:uiPriority w:val="99"/>
    <w:unhideWhenUsed/>
    <w:rsid w:val="0029639D"/>
    <w:pPr>
      <w:spacing w:after="120"/>
      <w:ind w:left="360"/>
      <w:contextualSpacing/>
    </w:pPr>
    <w:rPr/>
  </w:style>
  <w:style w:type="paragraph" w:styleId="ListContinue2">
    <w:name w:val="List Continue 2"/>
    <w:basedOn w:val="Normal"/>
    <w:uiPriority w:val="99"/>
    <w:unhideWhenUsed/>
    <w:rsid w:val="0029639D"/>
    <w:pPr>
      <w:spacing w:after="120"/>
      <w:ind w:left="720"/>
      <w:contextualSpacing/>
    </w:pPr>
    <w:rPr/>
  </w:style>
  <w:style w:type="paragraph" w:styleId="ListContinue3">
    <w:name w:val="List Continue 3"/>
    <w:basedOn w:val="Normal"/>
    <w:uiPriority w:val="99"/>
    <w:unhideWhenUsed/>
    <w:rsid w:val="0029639D"/>
    <w:pPr>
      <w:spacing w:after="120"/>
      <w:ind w:left="1080"/>
      <w:contextualSpacing/>
    </w:pP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Georgia" w:hAnsi="Georgia" w:eastAsia="Georgia" w:cs="Georgia"/>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Reappointment committee speech</dc:title>
  <dc:subject>November 2 2026 reappointment presentation</dc:subject>
  <dc:creator>David Molik</dc:creator>
  <cp:keywords/>
  <dc:description/>
  <cp:lastModifiedBy/>
  <cp:revision>1</cp:revision>
  <dcterms:created xsi:type="dcterms:W3CDTF">2013-12-23T23:15:00Z</dcterms:created>
  <dcterms:modified xsi:type="dcterms:W3CDTF">2013-12-23T23:15:00Z</dcterms:modified>
  <cp:category/>
</cp:coreProperties>
</file>