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37504" w14:textId="3F8B7BC4" w:rsidR="00B2042B" w:rsidRPr="00B2042B" w:rsidRDefault="00B2042B" w:rsidP="00B2042B">
      <w:pPr>
        <w:rPr>
          <w:b/>
          <w:bCs/>
        </w:rPr>
      </w:pPr>
      <w:r w:rsidRPr="00B2042B">
        <w:rPr>
          <w:b/>
          <w:bCs/>
        </w:rPr>
        <w:t>NHS A&amp;E Wait Times Dashboard (2004–2024)</w:t>
      </w:r>
    </w:p>
    <w:p w14:paraId="7415F224" w14:textId="5C84EF22" w:rsidR="00B2042B" w:rsidRPr="00B2042B" w:rsidRDefault="00B2042B" w:rsidP="00B2042B">
      <w:pPr>
        <w:rPr>
          <w:b/>
          <w:bCs/>
          <w:sz w:val="20"/>
          <w:szCs w:val="20"/>
        </w:rPr>
      </w:pPr>
      <w:r w:rsidRPr="00B2042B">
        <w:rPr>
          <w:b/>
          <w:bCs/>
          <w:sz w:val="20"/>
          <w:szCs w:val="20"/>
        </w:rPr>
        <w:t xml:space="preserve">Project Overview  </w:t>
      </w:r>
    </w:p>
    <w:p w14:paraId="0EE37A5C" w14:textId="6D8E50ED" w:rsidR="00B2042B" w:rsidRPr="00B2042B" w:rsidRDefault="00B2042B" w:rsidP="00B2042B">
      <w:pPr>
        <w:rPr>
          <w:sz w:val="20"/>
          <w:szCs w:val="20"/>
        </w:rPr>
      </w:pPr>
      <w:r w:rsidRPr="00B2042B">
        <w:rPr>
          <w:sz w:val="20"/>
          <w:szCs w:val="20"/>
        </w:rPr>
        <w:t>This project explores over 20 years of NHS Accident &amp; Emergency (A&amp;E) data in England. The goal was to understand trends in patient demand, waiting time performance, and system pressure across Type 1, 2, and 3 emergency departments.</w:t>
      </w:r>
    </w:p>
    <w:p w14:paraId="73E24177" w14:textId="40B4A798" w:rsidR="00B2042B" w:rsidRDefault="00B2042B" w:rsidP="00B2042B">
      <w:r w:rsidRPr="00B2042B">
        <w:rPr>
          <w:sz w:val="20"/>
          <w:szCs w:val="20"/>
        </w:rPr>
        <w:t>Using Excel and Power BI, I created a fully interactive dashboard to visuali</w:t>
      </w:r>
      <w:r>
        <w:rPr>
          <w:sz w:val="20"/>
          <w:szCs w:val="20"/>
        </w:rPr>
        <w:t>s</w:t>
      </w:r>
      <w:r w:rsidRPr="00B2042B">
        <w:rPr>
          <w:sz w:val="20"/>
          <w:szCs w:val="20"/>
        </w:rPr>
        <w:t>e patient flow, long waits, and performance against the 4-hour target. The project simulates the kind of real-world analysis used by public health analysts and operations teams</w:t>
      </w:r>
      <w:r>
        <w:t>.</w:t>
      </w:r>
    </w:p>
    <w:p w14:paraId="49F65549" w14:textId="1A7A466B" w:rsidR="00B2042B" w:rsidRPr="00B2042B" w:rsidRDefault="00B2042B" w:rsidP="00B2042B">
      <w:pPr>
        <w:rPr>
          <w:b/>
          <w:bCs/>
          <w:sz w:val="20"/>
          <w:szCs w:val="20"/>
        </w:rPr>
      </w:pPr>
      <w:r w:rsidRPr="00B2042B">
        <w:rPr>
          <w:b/>
          <w:bCs/>
          <w:sz w:val="20"/>
          <w:szCs w:val="20"/>
        </w:rPr>
        <w:t xml:space="preserve"> Tools &amp; Technologies  </w:t>
      </w:r>
    </w:p>
    <w:p w14:paraId="0A32B075" w14:textId="079C88AD" w:rsidR="00B2042B" w:rsidRPr="00B2042B" w:rsidRDefault="00B2042B" w:rsidP="00B2042B">
      <w:pPr>
        <w:rPr>
          <w:sz w:val="20"/>
          <w:szCs w:val="20"/>
        </w:rPr>
      </w:pPr>
      <w:r w:rsidRPr="00B2042B">
        <w:rPr>
          <w:sz w:val="20"/>
          <w:szCs w:val="20"/>
        </w:rPr>
        <w:t xml:space="preserve">- Excel – Data cleaning, time formatting, ratio calculations  </w:t>
      </w:r>
    </w:p>
    <w:p w14:paraId="55A8314C" w14:textId="74880FDF" w:rsidR="00B2042B" w:rsidRPr="00B2042B" w:rsidRDefault="00B2042B" w:rsidP="00B2042B">
      <w:pPr>
        <w:rPr>
          <w:sz w:val="20"/>
          <w:szCs w:val="20"/>
        </w:rPr>
      </w:pPr>
      <w:r w:rsidRPr="00B2042B">
        <w:rPr>
          <w:sz w:val="20"/>
          <w:szCs w:val="20"/>
        </w:rPr>
        <w:t xml:space="preserve">- Power BI – Visualizations, KPI cards, slicers, trend analysis  </w:t>
      </w:r>
    </w:p>
    <w:p w14:paraId="307824AD" w14:textId="002F080A" w:rsidR="00B2042B" w:rsidRPr="00B2042B" w:rsidRDefault="00B2042B" w:rsidP="00B2042B">
      <w:pPr>
        <w:rPr>
          <w:sz w:val="20"/>
          <w:szCs w:val="20"/>
        </w:rPr>
      </w:pPr>
      <w:r w:rsidRPr="00B2042B">
        <w:rPr>
          <w:sz w:val="20"/>
          <w:szCs w:val="20"/>
        </w:rPr>
        <w:t xml:space="preserve">- DAX – Custom metrics: % seen in 4 hours, % long waits  </w:t>
      </w:r>
    </w:p>
    <w:p w14:paraId="5E4F8EBB" w14:textId="428926EC" w:rsidR="00B2042B" w:rsidRPr="00B2042B" w:rsidRDefault="00B2042B" w:rsidP="00B2042B">
      <w:pPr>
        <w:rPr>
          <w:sz w:val="20"/>
          <w:szCs w:val="20"/>
        </w:rPr>
      </w:pPr>
      <w:r w:rsidRPr="00B2042B">
        <w:rPr>
          <w:sz w:val="20"/>
          <w:szCs w:val="20"/>
        </w:rPr>
        <w:t>- GitHub – Project documentation and portfolio hosting</w:t>
      </w:r>
    </w:p>
    <w:p w14:paraId="2D238EBA" w14:textId="5392C7BA" w:rsidR="00B2042B" w:rsidRPr="00B2042B" w:rsidRDefault="00B2042B" w:rsidP="00B2042B">
      <w:pPr>
        <w:rPr>
          <w:b/>
          <w:bCs/>
          <w:sz w:val="20"/>
          <w:szCs w:val="20"/>
        </w:rPr>
      </w:pPr>
      <w:r w:rsidRPr="00B2042B">
        <w:rPr>
          <w:b/>
          <w:bCs/>
          <w:sz w:val="20"/>
          <w:szCs w:val="20"/>
        </w:rPr>
        <w:t xml:space="preserve">Dataset  </w:t>
      </w:r>
    </w:p>
    <w:p w14:paraId="48273389" w14:textId="21521018" w:rsidR="00B2042B" w:rsidRPr="00B2042B" w:rsidRDefault="00B2042B" w:rsidP="00B2042B">
      <w:pPr>
        <w:rPr>
          <w:sz w:val="20"/>
          <w:szCs w:val="20"/>
        </w:rPr>
      </w:pPr>
      <w:r w:rsidRPr="00B2042B">
        <w:rPr>
          <w:sz w:val="20"/>
          <w:szCs w:val="20"/>
        </w:rPr>
        <w:t xml:space="preserve">- Source: NHS England – Quarterly &amp; Annual Time Series  </w:t>
      </w:r>
    </w:p>
    <w:p w14:paraId="22F0F0ED" w14:textId="505785F5" w:rsidR="00B2042B" w:rsidRPr="00B2042B" w:rsidRDefault="00B2042B" w:rsidP="00B2042B">
      <w:pPr>
        <w:rPr>
          <w:sz w:val="20"/>
          <w:szCs w:val="20"/>
        </w:rPr>
      </w:pPr>
      <w:r w:rsidRPr="00B2042B">
        <w:rPr>
          <w:sz w:val="20"/>
          <w:szCs w:val="20"/>
        </w:rPr>
        <w:t xml:space="preserve">- Timeframe: Q1 2004 – Q1 2024  </w:t>
      </w:r>
    </w:p>
    <w:p w14:paraId="10578BFE" w14:textId="50F0806E" w:rsidR="00B2042B" w:rsidRPr="00B2042B" w:rsidRDefault="00B2042B" w:rsidP="00B2042B">
      <w:pPr>
        <w:rPr>
          <w:sz w:val="20"/>
          <w:szCs w:val="20"/>
        </w:rPr>
      </w:pPr>
      <w:r w:rsidRPr="00B2042B">
        <w:rPr>
          <w:sz w:val="20"/>
          <w:szCs w:val="20"/>
        </w:rPr>
        <w:t>- Metrics Tracked:</w:t>
      </w:r>
    </w:p>
    <w:p w14:paraId="09A2453A" w14:textId="77777777" w:rsidR="00B2042B" w:rsidRPr="00B2042B" w:rsidRDefault="00B2042B" w:rsidP="00B2042B">
      <w:pPr>
        <w:rPr>
          <w:sz w:val="20"/>
          <w:szCs w:val="20"/>
        </w:rPr>
      </w:pPr>
      <w:r w:rsidRPr="00B2042B">
        <w:rPr>
          <w:sz w:val="20"/>
          <w:szCs w:val="20"/>
        </w:rPr>
        <w:t xml:space="preserve">  - A&amp;E attendances by department type (Type 1, 2, 3)</w:t>
      </w:r>
    </w:p>
    <w:p w14:paraId="31466D28" w14:textId="77777777" w:rsidR="00B2042B" w:rsidRPr="00B2042B" w:rsidRDefault="00B2042B" w:rsidP="00B2042B">
      <w:pPr>
        <w:rPr>
          <w:sz w:val="20"/>
          <w:szCs w:val="20"/>
        </w:rPr>
      </w:pPr>
      <w:r w:rsidRPr="00B2042B">
        <w:rPr>
          <w:sz w:val="20"/>
          <w:szCs w:val="20"/>
        </w:rPr>
        <w:t xml:space="preserve">  - % of patients seen within 4 hours</w:t>
      </w:r>
    </w:p>
    <w:p w14:paraId="75D65C03" w14:textId="77777777" w:rsidR="00B2042B" w:rsidRPr="00B2042B" w:rsidRDefault="00B2042B" w:rsidP="00B2042B">
      <w:pPr>
        <w:rPr>
          <w:sz w:val="20"/>
          <w:szCs w:val="20"/>
        </w:rPr>
      </w:pPr>
      <w:r w:rsidRPr="00B2042B">
        <w:rPr>
          <w:sz w:val="20"/>
          <w:szCs w:val="20"/>
        </w:rPr>
        <w:t xml:space="preserve">  - Number of patients waiting over 4 and 12 hours</w:t>
      </w:r>
    </w:p>
    <w:p w14:paraId="654A4089" w14:textId="6AA505FA" w:rsidR="00B2042B" w:rsidRPr="00B2042B" w:rsidRDefault="00B2042B" w:rsidP="00B2042B">
      <w:pPr>
        <w:rPr>
          <w:sz w:val="20"/>
          <w:szCs w:val="20"/>
        </w:rPr>
      </w:pPr>
      <w:r w:rsidRPr="00B2042B">
        <w:rPr>
          <w:sz w:val="20"/>
          <w:szCs w:val="20"/>
        </w:rPr>
        <w:t xml:space="preserve">  - Quarterly breakdowns</w:t>
      </w:r>
    </w:p>
    <w:p w14:paraId="2602A750" w14:textId="77777777" w:rsidR="00B2042B" w:rsidRDefault="00B2042B" w:rsidP="00B2042B">
      <w:pPr>
        <w:rPr>
          <w:b/>
          <w:bCs/>
          <w:sz w:val="20"/>
          <w:szCs w:val="20"/>
        </w:rPr>
      </w:pPr>
      <w:r w:rsidRPr="00B2042B">
        <w:rPr>
          <w:b/>
          <w:bCs/>
          <w:sz w:val="20"/>
          <w:szCs w:val="20"/>
        </w:rPr>
        <w:t>Key Insight</w:t>
      </w:r>
    </w:p>
    <w:p w14:paraId="4FFC4AC3" w14:textId="08061BDB" w:rsidR="00B2042B" w:rsidRPr="00B2042B" w:rsidRDefault="00B2042B" w:rsidP="00B2042B">
      <w:pPr>
        <w:rPr>
          <w:b/>
          <w:bCs/>
          <w:sz w:val="20"/>
          <w:szCs w:val="20"/>
        </w:rPr>
      </w:pPr>
      <w:r>
        <w:rPr>
          <w:b/>
          <w:bCs/>
          <w:sz w:val="20"/>
          <w:szCs w:val="20"/>
        </w:rPr>
        <w:t>1.</w:t>
      </w:r>
      <w:r w:rsidRPr="00B2042B">
        <w:rPr>
          <w:sz w:val="20"/>
          <w:szCs w:val="20"/>
        </w:rPr>
        <w:t>A&amp;E Attendances Increased Over 50% (2004 → 2024)</w:t>
      </w:r>
    </w:p>
    <w:p w14:paraId="1CCCF8BA" w14:textId="7F2F214B" w:rsidR="00B2042B" w:rsidRPr="00B2042B" w:rsidRDefault="00B2042B" w:rsidP="00B2042B">
      <w:pPr>
        <w:rPr>
          <w:sz w:val="20"/>
          <w:szCs w:val="20"/>
        </w:rPr>
      </w:pPr>
      <w:r>
        <w:rPr>
          <w:sz w:val="20"/>
          <w:szCs w:val="20"/>
        </w:rPr>
        <w:t xml:space="preserve">  </w:t>
      </w:r>
      <w:r w:rsidRPr="00B2042B">
        <w:rPr>
          <w:sz w:val="20"/>
          <w:szCs w:val="20"/>
        </w:rPr>
        <w:t xml:space="preserve">Attendances rose steadily from ~4.5 million to nearly 7 million per quarter over 20 years.  </w:t>
      </w:r>
    </w:p>
    <w:p w14:paraId="3CCA60A0" w14:textId="1978BD38" w:rsidR="00B2042B" w:rsidRPr="00B2042B" w:rsidRDefault="00B2042B" w:rsidP="00B2042B">
      <w:pPr>
        <w:rPr>
          <w:sz w:val="20"/>
          <w:szCs w:val="20"/>
        </w:rPr>
      </w:pPr>
      <w:r w:rsidRPr="00B2042B">
        <w:rPr>
          <w:sz w:val="20"/>
          <w:szCs w:val="20"/>
        </w:rPr>
        <w:t xml:space="preserve"> Rising demand stresses existing infrastructure and staffing </w:t>
      </w:r>
      <w:r w:rsidRPr="00B2042B">
        <w:rPr>
          <w:sz w:val="20"/>
          <w:szCs w:val="20"/>
        </w:rPr>
        <w:t xml:space="preserve">levels. </w:t>
      </w:r>
    </w:p>
    <w:p w14:paraId="3AE9A8CD" w14:textId="3DE4D84D" w:rsidR="00B2042B" w:rsidRPr="00B2042B" w:rsidRDefault="00B2042B" w:rsidP="00B2042B">
      <w:pPr>
        <w:rPr>
          <w:sz w:val="20"/>
          <w:szCs w:val="20"/>
        </w:rPr>
      </w:pPr>
      <w:r>
        <w:rPr>
          <w:sz w:val="20"/>
          <w:szCs w:val="20"/>
        </w:rPr>
        <w:t>2.(</w:t>
      </w:r>
      <w:r w:rsidRPr="00B2042B">
        <w:rPr>
          <w:sz w:val="20"/>
          <w:szCs w:val="20"/>
        </w:rPr>
        <w:t>4-Hour Target Performance Declined from ~95% to ~55%</w:t>
      </w:r>
      <w:r>
        <w:rPr>
          <w:sz w:val="20"/>
          <w:szCs w:val="20"/>
        </w:rPr>
        <w:t>)</w:t>
      </w:r>
    </w:p>
    <w:p w14:paraId="30FD8FAC" w14:textId="77777777" w:rsidR="00B2042B" w:rsidRPr="00B2042B" w:rsidRDefault="00B2042B" w:rsidP="00B2042B">
      <w:pPr>
        <w:rPr>
          <w:sz w:val="20"/>
          <w:szCs w:val="20"/>
        </w:rPr>
      </w:pPr>
      <w:r w:rsidRPr="00B2042B">
        <w:rPr>
          <w:sz w:val="20"/>
          <w:szCs w:val="20"/>
        </w:rPr>
        <w:t xml:space="preserve">From 2004–2015, ~95% of patients were seen within 4 hours. By 2022–2024, that fell below 60%.  </w:t>
      </w:r>
    </w:p>
    <w:p w14:paraId="6D3E039C" w14:textId="60176C7E" w:rsidR="00B2042B" w:rsidRPr="00B2042B" w:rsidRDefault="00B2042B" w:rsidP="00B2042B">
      <w:pPr>
        <w:rPr>
          <w:sz w:val="20"/>
          <w:szCs w:val="20"/>
        </w:rPr>
      </w:pPr>
      <w:r w:rsidRPr="00B2042B">
        <w:rPr>
          <w:sz w:val="20"/>
          <w:szCs w:val="20"/>
        </w:rPr>
        <w:t xml:space="preserve"> </w:t>
      </w:r>
      <w:r w:rsidRPr="00B2042B">
        <w:rPr>
          <w:sz w:val="20"/>
          <w:szCs w:val="20"/>
        </w:rPr>
        <w:t>These signals</w:t>
      </w:r>
      <w:r w:rsidRPr="00B2042B">
        <w:rPr>
          <w:sz w:val="20"/>
          <w:szCs w:val="20"/>
        </w:rPr>
        <w:t xml:space="preserve"> increasing operational strain and patient flow issues.</w:t>
      </w:r>
    </w:p>
    <w:p w14:paraId="7F1D7459" w14:textId="64AC979D" w:rsidR="00B2042B" w:rsidRPr="00B2042B" w:rsidRDefault="00B2042B" w:rsidP="00B2042B">
      <w:pPr>
        <w:rPr>
          <w:sz w:val="20"/>
          <w:szCs w:val="20"/>
        </w:rPr>
      </w:pPr>
      <w:r>
        <w:rPr>
          <w:sz w:val="20"/>
          <w:szCs w:val="20"/>
        </w:rPr>
        <w:t>3.</w:t>
      </w:r>
      <w:r w:rsidRPr="00B2042B">
        <w:rPr>
          <w:sz w:val="20"/>
          <w:szCs w:val="20"/>
        </w:rPr>
        <w:t xml:space="preserve"> </w:t>
      </w:r>
      <w:r w:rsidRPr="00B2042B">
        <w:rPr>
          <w:sz w:val="20"/>
          <w:szCs w:val="20"/>
        </w:rPr>
        <w:t>Long Waits (4+ and 12+ Hours) Spiked Post-2019</w:t>
      </w:r>
    </w:p>
    <w:p w14:paraId="28058420" w14:textId="7585D2AB" w:rsidR="00B2042B" w:rsidRPr="00B2042B" w:rsidRDefault="00B2042B" w:rsidP="00B2042B">
      <w:pPr>
        <w:rPr>
          <w:sz w:val="20"/>
          <w:szCs w:val="20"/>
        </w:rPr>
      </w:pPr>
      <w:r w:rsidRPr="00B2042B">
        <w:rPr>
          <w:sz w:val="20"/>
          <w:szCs w:val="20"/>
        </w:rPr>
        <w:t xml:space="preserve">Long waits were rare before 2019. By 2022, 4+ hour </w:t>
      </w:r>
      <w:r w:rsidRPr="00B2042B">
        <w:rPr>
          <w:sz w:val="20"/>
          <w:szCs w:val="20"/>
        </w:rPr>
        <w:t>wait</w:t>
      </w:r>
      <w:r w:rsidRPr="00B2042B">
        <w:rPr>
          <w:sz w:val="20"/>
          <w:szCs w:val="20"/>
        </w:rPr>
        <w:t xml:space="preserve"> numbered in the hundreds of thousands; 12+ hour </w:t>
      </w:r>
      <w:r w:rsidRPr="00B2042B">
        <w:rPr>
          <w:sz w:val="20"/>
          <w:szCs w:val="20"/>
        </w:rPr>
        <w:t>wait</w:t>
      </w:r>
      <w:r w:rsidRPr="00B2042B">
        <w:rPr>
          <w:sz w:val="20"/>
          <w:szCs w:val="20"/>
        </w:rPr>
        <w:t xml:space="preserve"> rose sharply.  </w:t>
      </w:r>
    </w:p>
    <w:p w14:paraId="427836B9" w14:textId="4AAEA56D" w:rsidR="00B2042B" w:rsidRPr="00B2042B" w:rsidRDefault="00B2042B" w:rsidP="00B2042B">
      <w:pPr>
        <w:rPr>
          <w:sz w:val="20"/>
          <w:szCs w:val="20"/>
        </w:rPr>
      </w:pPr>
      <w:r w:rsidRPr="00B2042B">
        <w:rPr>
          <w:sz w:val="20"/>
          <w:szCs w:val="20"/>
        </w:rPr>
        <w:t xml:space="preserve"> These delays can worsen patient outcomes and indicate bottlenecks in care delivery.</w:t>
      </w:r>
    </w:p>
    <w:p w14:paraId="18D82104" w14:textId="4FAF7718" w:rsidR="00B2042B" w:rsidRPr="00B2042B" w:rsidRDefault="00B2042B" w:rsidP="00B2042B">
      <w:pPr>
        <w:rPr>
          <w:sz w:val="20"/>
          <w:szCs w:val="20"/>
        </w:rPr>
      </w:pPr>
      <w:r>
        <w:rPr>
          <w:sz w:val="20"/>
          <w:szCs w:val="20"/>
        </w:rPr>
        <w:t>4.</w:t>
      </w:r>
      <w:r w:rsidRPr="00B2042B">
        <w:rPr>
          <w:sz w:val="20"/>
          <w:szCs w:val="20"/>
        </w:rPr>
        <w:t>COVID-19 Temporarily Suppressed Demand, Then Backlogs Grew</w:t>
      </w:r>
    </w:p>
    <w:p w14:paraId="367746B5" w14:textId="77777777" w:rsidR="00B2042B" w:rsidRPr="00B2042B" w:rsidRDefault="00B2042B" w:rsidP="00B2042B">
      <w:pPr>
        <w:rPr>
          <w:sz w:val="20"/>
          <w:szCs w:val="20"/>
        </w:rPr>
      </w:pPr>
      <w:r w:rsidRPr="00B2042B">
        <w:rPr>
          <w:sz w:val="20"/>
          <w:szCs w:val="20"/>
        </w:rPr>
        <w:lastRenderedPageBreak/>
        <w:t xml:space="preserve">During early 2020, attendances briefly dropped. But post-lockdown, demand surged along with delayed care and staffing shortages.  </w:t>
      </w:r>
    </w:p>
    <w:p w14:paraId="219C2488" w14:textId="7DDD5BF1" w:rsidR="00B2042B" w:rsidRPr="00B2042B" w:rsidRDefault="00B2042B" w:rsidP="00B2042B">
      <w:pPr>
        <w:rPr>
          <w:sz w:val="20"/>
          <w:szCs w:val="20"/>
        </w:rPr>
      </w:pPr>
      <w:r w:rsidRPr="00B2042B">
        <w:rPr>
          <w:sz w:val="20"/>
          <w:szCs w:val="20"/>
        </w:rPr>
        <w:t xml:space="preserve"> *Pandemic impacts remain visible across multiple metrics.</w:t>
      </w:r>
    </w:p>
    <w:p w14:paraId="68AFD13B" w14:textId="172B946C" w:rsidR="00B2042B" w:rsidRPr="00DE55C6" w:rsidRDefault="00B2042B" w:rsidP="00B2042B">
      <w:pPr>
        <w:rPr>
          <w:b/>
          <w:bCs/>
          <w:sz w:val="20"/>
          <w:szCs w:val="20"/>
        </w:rPr>
      </w:pPr>
      <w:r w:rsidRPr="00DE55C6">
        <w:rPr>
          <w:b/>
          <w:bCs/>
          <w:sz w:val="20"/>
          <w:szCs w:val="20"/>
        </w:rPr>
        <w:t xml:space="preserve">Dashboard Features  </w:t>
      </w:r>
    </w:p>
    <w:p w14:paraId="3BFAC3BD" w14:textId="15442399" w:rsidR="00B2042B" w:rsidRPr="00DE55C6" w:rsidRDefault="00B2042B" w:rsidP="00B2042B">
      <w:pPr>
        <w:rPr>
          <w:sz w:val="20"/>
          <w:szCs w:val="20"/>
        </w:rPr>
      </w:pPr>
      <w:r w:rsidRPr="00DE55C6">
        <w:rPr>
          <w:sz w:val="20"/>
          <w:szCs w:val="20"/>
        </w:rPr>
        <w:t xml:space="preserve">- Line Charts: 4-hour performance over time  </w:t>
      </w:r>
    </w:p>
    <w:p w14:paraId="1E33F471" w14:textId="0196E5C7" w:rsidR="00B2042B" w:rsidRPr="00DE55C6" w:rsidRDefault="00B2042B" w:rsidP="00B2042B">
      <w:pPr>
        <w:rPr>
          <w:sz w:val="20"/>
          <w:szCs w:val="20"/>
        </w:rPr>
      </w:pPr>
      <w:r w:rsidRPr="00DE55C6">
        <w:rPr>
          <w:sz w:val="20"/>
          <w:szCs w:val="20"/>
        </w:rPr>
        <w:t xml:space="preserve">- Combo Chart: Attendances vs. long waits  </w:t>
      </w:r>
    </w:p>
    <w:p w14:paraId="4A35512B" w14:textId="58EB13A9" w:rsidR="00B2042B" w:rsidRPr="00DE55C6" w:rsidRDefault="00B2042B" w:rsidP="00B2042B">
      <w:pPr>
        <w:rPr>
          <w:sz w:val="20"/>
          <w:szCs w:val="20"/>
        </w:rPr>
      </w:pPr>
      <w:r w:rsidRPr="00DE55C6">
        <w:rPr>
          <w:sz w:val="20"/>
          <w:szCs w:val="20"/>
        </w:rPr>
        <w:t xml:space="preserve">- KPI Cards: Summary of total attendances, % on time  </w:t>
      </w:r>
    </w:p>
    <w:p w14:paraId="0ECD8A2F" w14:textId="5C7AE021" w:rsidR="00B2042B" w:rsidRPr="00DE55C6" w:rsidRDefault="00B2042B" w:rsidP="00B2042B">
      <w:pPr>
        <w:rPr>
          <w:sz w:val="20"/>
          <w:szCs w:val="20"/>
        </w:rPr>
      </w:pPr>
      <w:r w:rsidRPr="00DE55C6">
        <w:rPr>
          <w:sz w:val="20"/>
          <w:szCs w:val="20"/>
        </w:rPr>
        <w:t xml:space="preserve">- Slicer: Filter dashboard by year  </w:t>
      </w:r>
    </w:p>
    <w:p w14:paraId="7E3AEA96" w14:textId="2F0587AE" w:rsidR="00B2042B" w:rsidRPr="00DE55C6" w:rsidRDefault="00B2042B" w:rsidP="00B2042B">
      <w:pPr>
        <w:rPr>
          <w:b/>
          <w:bCs/>
          <w:sz w:val="20"/>
          <w:szCs w:val="20"/>
        </w:rPr>
      </w:pPr>
      <w:r w:rsidRPr="00DE55C6">
        <w:rPr>
          <w:b/>
          <w:bCs/>
          <w:sz w:val="20"/>
          <w:szCs w:val="20"/>
        </w:rPr>
        <w:t xml:space="preserve">What I Learned  </w:t>
      </w:r>
    </w:p>
    <w:p w14:paraId="35468191" w14:textId="77777777" w:rsidR="00B2042B" w:rsidRPr="00DE55C6" w:rsidRDefault="00B2042B" w:rsidP="00B2042B">
      <w:pPr>
        <w:rPr>
          <w:sz w:val="20"/>
          <w:szCs w:val="20"/>
        </w:rPr>
      </w:pPr>
      <w:r w:rsidRPr="00DE55C6">
        <w:rPr>
          <w:sz w:val="20"/>
          <w:szCs w:val="20"/>
        </w:rPr>
        <w:t xml:space="preserve">- Handling messy real-world healthcare data  </w:t>
      </w:r>
    </w:p>
    <w:p w14:paraId="6CE561ED" w14:textId="77777777" w:rsidR="00B2042B" w:rsidRPr="00DE55C6" w:rsidRDefault="00B2042B" w:rsidP="00B2042B">
      <w:pPr>
        <w:rPr>
          <w:sz w:val="20"/>
          <w:szCs w:val="20"/>
        </w:rPr>
      </w:pPr>
      <w:r w:rsidRPr="00DE55C6">
        <w:rPr>
          <w:sz w:val="20"/>
          <w:szCs w:val="20"/>
        </w:rPr>
        <w:t xml:space="preserve">- Creating clean, insightful dashboards for decision-makers  </w:t>
      </w:r>
    </w:p>
    <w:p w14:paraId="36EAC187" w14:textId="77777777" w:rsidR="00B2042B" w:rsidRPr="00DE55C6" w:rsidRDefault="00B2042B" w:rsidP="00B2042B">
      <w:pPr>
        <w:rPr>
          <w:sz w:val="20"/>
          <w:szCs w:val="20"/>
        </w:rPr>
      </w:pPr>
      <w:r w:rsidRPr="00DE55C6">
        <w:rPr>
          <w:sz w:val="20"/>
          <w:szCs w:val="20"/>
        </w:rPr>
        <w:t xml:space="preserve">- Using DAX for time-based metric creation  </w:t>
      </w:r>
    </w:p>
    <w:p w14:paraId="24AFEE7F" w14:textId="18658A39" w:rsidR="00B2042B" w:rsidRPr="00DE55C6" w:rsidRDefault="00B2042B" w:rsidP="00B2042B">
      <w:pPr>
        <w:rPr>
          <w:sz w:val="20"/>
          <w:szCs w:val="20"/>
        </w:rPr>
      </w:pPr>
      <w:r w:rsidRPr="00DE55C6">
        <w:rPr>
          <w:sz w:val="20"/>
          <w:szCs w:val="20"/>
        </w:rPr>
        <w:t>- Communicating system-wide performance visually</w:t>
      </w:r>
    </w:p>
    <w:p w14:paraId="5BBEBE9A" w14:textId="0E6BB911" w:rsidR="00B2042B" w:rsidRPr="00DE55C6" w:rsidRDefault="00B2042B" w:rsidP="00B2042B">
      <w:pPr>
        <w:rPr>
          <w:b/>
          <w:bCs/>
          <w:sz w:val="20"/>
          <w:szCs w:val="20"/>
        </w:rPr>
      </w:pPr>
      <w:r w:rsidRPr="00DE55C6">
        <w:rPr>
          <w:b/>
          <w:bCs/>
          <w:sz w:val="20"/>
          <w:szCs w:val="20"/>
        </w:rPr>
        <w:t xml:space="preserve">Suggested Use Cases  </w:t>
      </w:r>
    </w:p>
    <w:p w14:paraId="3FA2F6C8" w14:textId="77777777" w:rsidR="00B2042B" w:rsidRPr="00DE55C6" w:rsidRDefault="00B2042B" w:rsidP="00B2042B">
      <w:pPr>
        <w:rPr>
          <w:sz w:val="20"/>
          <w:szCs w:val="20"/>
        </w:rPr>
      </w:pPr>
      <w:r w:rsidRPr="00DE55C6">
        <w:rPr>
          <w:sz w:val="20"/>
          <w:szCs w:val="20"/>
        </w:rPr>
        <w:t>This project can support NHS performance analysts, policy teams, or students learning healthcare analytics. It’s built to simulate how public data can be used to uncover systemic trends and inform high-level planning.</w:t>
      </w:r>
    </w:p>
    <w:p w14:paraId="79B3535A" w14:textId="18D09AAC" w:rsidR="00152BAB" w:rsidRDefault="00152BAB" w:rsidP="00B2042B"/>
    <w:sectPr w:rsidR="00152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515A7"/>
    <w:multiLevelType w:val="hybridMultilevel"/>
    <w:tmpl w:val="2D627E16"/>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EE5E78"/>
    <w:multiLevelType w:val="hybridMultilevel"/>
    <w:tmpl w:val="C172DD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CA79F9"/>
    <w:multiLevelType w:val="hybridMultilevel"/>
    <w:tmpl w:val="288E5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47950277">
    <w:abstractNumId w:val="1"/>
  </w:num>
  <w:num w:numId="2" w16cid:durableId="924342901">
    <w:abstractNumId w:val="2"/>
  </w:num>
  <w:num w:numId="3" w16cid:durableId="1131022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42B"/>
    <w:rsid w:val="000D70DF"/>
    <w:rsid w:val="00152BAB"/>
    <w:rsid w:val="00713895"/>
    <w:rsid w:val="00B2042B"/>
    <w:rsid w:val="00BD077C"/>
    <w:rsid w:val="00DE55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5F08D"/>
  <w15:chartTrackingRefBased/>
  <w15:docId w15:val="{CA1FC7D4-75DE-435E-B5D2-74C1AB5A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4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04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04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04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04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4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4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4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4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4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04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04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04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04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4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4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4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42B"/>
    <w:rPr>
      <w:rFonts w:eastAsiaTheme="majorEastAsia" w:cstheme="majorBidi"/>
      <w:color w:val="272727" w:themeColor="text1" w:themeTint="D8"/>
    </w:rPr>
  </w:style>
  <w:style w:type="paragraph" w:styleId="Title">
    <w:name w:val="Title"/>
    <w:basedOn w:val="Normal"/>
    <w:next w:val="Normal"/>
    <w:link w:val="TitleChar"/>
    <w:uiPriority w:val="10"/>
    <w:qFormat/>
    <w:rsid w:val="00B204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4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4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4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42B"/>
    <w:pPr>
      <w:spacing w:before="160"/>
      <w:jc w:val="center"/>
    </w:pPr>
    <w:rPr>
      <w:i/>
      <w:iCs/>
      <w:color w:val="404040" w:themeColor="text1" w:themeTint="BF"/>
    </w:rPr>
  </w:style>
  <w:style w:type="character" w:customStyle="1" w:styleId="QuoteChar">
    <w:name w:val="Quote Char"/>
    <w:basedOn w:val="DefaultParagraphFont"/>
    <w:link w:val="Quote"/>
    <w:uiPriority w:val="29"/>
    <w:rsid w:val="00B2042B"/>
    <w:rPr>
      <w:i/>
      <w:iCs/>
      <w:color w:val="404040" w:themeColor="text1" w:themeTint="BF"/>
    </w:rPr>
  </w:style>
  <w:style w:type="paragraph" w:styleId="ListParagraph">
    <w:name w:val="List Paragraph"/>
    <w:basedOn w:val="Normal"/>
    <w:uiPriority w:val="34"/>
    <w:qFormat/>
    <w:rsid w:val="00B2042B"/>
    <w:pPr>
      <w:ind w:left="720"/>
      <w:contextualSpacing/>
    </w:pPr>
  </w:style>
  <w:style w:type="character" w:styleId="IntenseEmphasis">
    <w:name w:val="Intense Emphasis"/>
    <w:basedOn w:val="DefaultParagraphFont"/>
    <w:uiPriority w:val="21"/>
    <w:qFormat/>
    <w:rsid w:val="00B2042B"/>
    <w:rPr>
      <w:i/>
      <w:iCs/>
      <w:color w:val="0F4761" w:themeColor="accent1" w:themeShade="BF"/>
    </w:rPr>
  </w:style>
  <w:style w:type="paragraph" w:styleId="IntenseQuote">
    <w:name w:val="Intense Quote"/>
    <w:basedOn w:val="Normal"/>
    <w:next w:val="Normal"/>
    <w:link w:val="IntenseQuoteChar"/>
    <w:uiPriority w:val="30"/>
    <w:qFormat/>
    <w:rsid w:val="00B204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42B"/>
    <w:rPr>
      <w:i/>
      <w:iCs/>
      <w:color w:val="0F4761" w:themeColor="accent1" w:themeShade="BF"/>
    </w:rPr>
  </w:style>
  <w:style w:type="character" w:styleId="IntenseReference">
    <w:name w:val="Intense Reference"/>
    <w:basedOn w:val="DefaultParagraphFont"/>
    <w:uiPriority w:val="32"/>
    <w:qFormat/>
    <w:rsid w:val="00B204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Molisa Molisa Nanyongo</dc:creator>
  <cp:keywords/>
  <dc:description/>
  <cp:lastModifiedBy>Molisa Molisa Nanyongo</cp:lastModifiedBy>
  <cp:revision>1</cp:revision>
  <dcterms:created xsi:type="dcterms:W3CDTF">2025-06-15T14:03:00Z</dcterms:created>
  <dcterms:modified xsi:type="dcterms:W3CDTF">2025-06-15T14:16:00Z</dcterms:modified>
</cp:coreProperties>
</file>