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Narrow" w:hAnsi="Arial Narrow"/>
          <w:b/>
          <w:sz w:val="32"/>
        </w:rPr>
        <w:t>LIMKOKWING UNIVERSITY OF CREATIVE TECHNOLOGY</w:t>
      </w:r>
    </w:p>
    <w:p>
      <w:pPr>
        <w:jc w:val="center"/>
      </w:pPr>
      <w:r>
        <w:rPr>
          <w:rFonts w:ascii="Arial Narrow" w:hAnsi="Arial Narrow"/>
          <w:b w:val="0"/>
          <w:i w:val="0"/>
        </w:rPr>
        <w:t>Faculty of Information &amp; Communication Technology</w:t>
      </w:r>
    </w:p>
    <w:p>
      <w:pPr>
        <w:jc w:val="center"/>
      </w:pPr>
      <w:r>
        <w:rPr>
          <w:rFonts w:ascii="Arial Narrow" w:hAnsi="Arial Narrow"/>
          <w:b w:val="0"/>
          <w:i w:val="0"/>
        </w:rPr>
        <w:t>Diploma in Information Technology - Semester 1</w:t>
      </w:r>
    </w:p>
    <w:p/>
    <w:p>
      <w:pPr>
        <w:jc w:val="center"/>
      </w:pPr>
      <w:r>
        <w:rPr>
          <w:rFonts w:ascii="Arial Narrow" w:hAnsi="Arial Narrow"/>
          <w:b/>
          <w:i w:val="0"/>
        </w:rPr>
        <w:t>DIAL3110: Fundamentals of Artificial Intelligence</w:t>
      </w:r>
    </w:p>
    <w:p>
      <w:pPr>
        <w:jc w:val="center"/>
      </w:pPr>
      <w:r>
        <w:rPr>
          <w:rFonts w:ascii="Arial Narrow" w:hAnsi="Arial Narrow"/>
          <w:b w:val="0"/>
          <w:i w:val="0"/>
        </w:rPr>
        <w:t>Group Assignment (25%)</w:t>
      </w:r>
    </w:p>
    <w:p/>
    <w:p>
      <w:pPr>
        <w:jc w:val="center"/>
      </w:pPr>
      <w:r>
        <w:rPr>
          <w:rFonts w:ascii="Arial Narrow" w:hAnsi="Arial Narrow"/>
          <w:b/>
          <w:i w:val="0"/>
        </w:rPr>
        <w:t>Loan Prediction using Machine Learning</w:t>
      </w:r>
    </w:p>
    <w:p>
      <w:pPr>
        <w:jc w:val="center"/>
      </w:pPr>
      <w:r>
        <w:rPr>
          <w:rFonts w:ascii="Arial Narrow" w:hAnsi="Arial Narrow"/>
          <w:b w:val="0"/>
          <w:i/>
        </w:rPr>
        <w:t>A Machine Learning Solution for Motz Financial Services</w:t>
      </w:r>
    </w:p>
    <w:p/>
    <w:p>
      <w:pPr>
        <w:jc w:val="center"/>
      </w:pPr>
      <w:r>
        <w:rPr>
          <w:rFonts w:ascii="Arial Narrow" w:hAnsi="Arial Narrow"/>
          <w:b w:val="0"/>
          <w:i w:val="0"/>
        </w:rPr>
        <w:t>Unit Controller: Mr. Makheka (22315767)</w:t>
      </w:r>
    </w:p>
    <w:p>
      <w:pPr>
        <w:jc w:val="center"/>
      </w:pPr>
      <w:r>
        <w:rPr>
          <w:rFonts w:ascii="Arial Narrow" w:hAnsi="Arial Narrow"/>
          <w:b w:val="0"/>
          <w:i w:val="0"/>
        </w:rPr>
        <w:t>Commence Date: 10 October 2026 | Deadline: 3 November 2026</w:t>
      </w:r>
    </w:p>
    <w:p/>
    <w:p>
      <w:pPr>
        <w:pStyle w:val="Heading2"/>
      </w:pPr>
      <w:r>
        <w:rPr>
          <w:rFonts w:ascii="Arial Narrow" w:hAnsi="Arial Narrow"/>
          <w:color w:val="1F3B57"/>
        </w:rPr>
        <w:t>Group Members and Responsibilities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rFonts w:ascii="Arial Narrow" w:hAnsi="Arial Narrow"/>
                <w:b/>
              </w:rPr>
              <w:t>Student Name</w:t>
            </w:r>
          </w:p>
        </w:tc>
        <w:tc>
          <w:tcPr>
            <w:tcW w:type="dxa" w:w="3216"/>
          </w:tcPr>
          <w:p>
            <w:r>
              <w:rPr>
                <w:rFonts w:ascii="Arial Narrow" w:hAnsi="Arial Narrow"/>
                <w:b/>
              </w:rPr>
              <w:t>Student ID</w:t>
            </w:r>
          </w:p>
        </w:tc>
        <w:tc>
          <w:tcPr>
            <w:tcW w:type="dxa" w:w="3216"/>
          </w:tcPr>
          <w:p>
            <w:r>
              <w:rPr>
                <w:rFonts w:ascii="Arial Narrow" w:hAnsi="Arial Narrow"/>
                <w:b/>
              </w:rPr>
              <w:t>Responsibilities</w:t>
            </w:r>
          </w:p>
        </w:tc>
      </w:tr>
      <w:tr>
        <w:tc>
          <w:tcPr>
            <w:tcW w:type="dxa" w:w="3216"/>
          </w:tcPr>
          <w:p>
            <w:r>
              <w:rPr>
                <w:rFonts w:ascii="Arial Narrow" w:hAnsi="Arial Narrow"/>
              </w:rPr>
              <w:t>[Member 1]</w:t>
            </w:r>
          </w:p>
        </w:tc>
        <w:tc>
          <w:tcPr>
            <w:tcW w:type="dxa" w:w="3216"/>
          </w:tcPr>
          <w:p>
            <w:r>
              <w:rPr>
                <w:rFonts w:ascii="Arial Narrow" w:hAnsi="Arial Narrow"/>
              </w:rPr>
              <w:t>[ID]</w:t>
            </w:r>
          </w:p>
        </w:tc>
        <w:tc>
          <w:tcPr>
            <w:tcW w:type="dxa" w:w="3216"/>
          </w:tcPr>
          <w:p>
            <w:r>
              <w:rPr>
                <w:rFonts w:ascii="Arial Narrow" w:hAnsi="Arial Narrow"/>
              </w:rPr>
              <w:t>Data gathering, cleaning and descriptive analysis</w:t>
            </w:r>
          </w:p>
        </w:tc>
      </w:tr>
      <w:tr>
        <w:tc>
          <w:tcPr>
            <w:tcW w:type="dxa" w:w="3216"/>
          </w:tcPr>
          <w:p>
            <w:r>
              <w:rPr>
                <w:rFonts w:ascii="Arial Narrow" w:hAnsi="Arial Narrow"/>
              </w:rPr>
              <w:t>[Member 2]</w:t>
            </w:r>
          </w:p>
        </w:tc>
        <w:tc>
          <w:tcPr>
            <w:tcW w:type="dxa" w:w="3216"/>
          </w:tcPr>
          <w:p>
            <w:r>
              <w:rPr>
                <w:rFonts w:ascii="Arial Narrow" w:hAnsi="Arial Narrow"/>
              </w:rPr>
              <w:t>[ID]</w:t>
            </w:r>
          </w:p>
        </w:tc>
        <w:tc>
          <w:tcPr>
            <w:tcW w:type="dxa" w:w="3216"/>
          </w:tcPr>
          <w:p>
            <w:r>
              <w:rPr>
                <w:rFonts w:ascii="Arial Narrow" w:hAnsi="Arial Narrow"/>
              </w:rPr>
              <w:t>Pre-processing, model training and tuning</w:t>
            </w:r>
          </w:p>
        </w:tc>
      </w:tr>
      <w:tr>
        <w:tc>
          <w:tcPr>
            <w:tcW w:type="dxa" w:w="3216"/>
          </w:tcPr>
          <w:p>
            <w:r>
              <w:rPr>
                <w:rFonts w:ascii="Arial Narrow" w:hAnsi="Arial Narrow"/>
              </w:rPr>
              <w:t>[Member 3]</w:t>
            </w:r>
          </w:p>
        </w:tc>
        <w:tc>
          <w:tcPr>
            <w:tcW w:type="dxa" w:w="3216"/>
          </w:tcPr>
          <w:p>
            <w:r>
              <w:rPr>
                <w:rFonts w:ascii="Arial Narrow" w:hAnsi="Arial Narrow"/>
              </w:rPr>
              <w:t>[ID]</w:t>
            </w:r>
          </w:p>
        </w:tc>
        <w:tc>
          <w:tcPr>
            <w:tcW w:type="dxa" w:w="3216"/>
          </w:tcPr>
          <w:p>
            <w:r>
              <w:rPr>
                <w:rFonts w:ascii="Arial Narrow" w:hAnsi="Arial Narrow"/>
              </w:rPr>
              <w:t>Dashboard development, report and presentation</w:t>
            </w:r>
          </w:p>
        </w:tc>
      </w:tr>
    </w:tbl>
    <w:p>
      <w:r>
        <w:rPr>
          <w:rFonts w:ascii="Arial Narrow" w:hAnsi="Arial Narrow"/>
          <w:b w:val="0"/>
          <w:i/>
        </w:rPr>
        <w:t>Note: replace the placeholders above with the actual group member details.</w:t>
      </w:r>
    </w:p>
    <w:p>
      <w:r>
        <w:br w:type="page"/>
      </w:r>
    </w:p>
    <w:p>
      <w:pPr>
        <w:pStyle w:val="Heading1"/>
      </w:pPr>
      <w:r>
        <w:rPr>
          <w:rFonts w:ascii="Arial Narrow" w:hAnsi="Arial Narrow"/>
          <w:color w:val="1F3B57"/>
        </w:rPr>
        <w:t>Abstract</w:t>
      </w:r>
    </w:p>
    <w:p>
      <w:r>
        <w:rPr>
          <w:rFonts w:ascii="Arial Narrow" w:hAnsi="Arial Narrow"/>
          <w:b w:val="0"/>
          <w:i w:val="0"/>
        </w:rPr>
        <w:t>This project develops a supervised machine learning system that predicts whether a loan application submitted to Motz Financial Services will be approved. Using an applicant dataset of gender, marital status, dependents, education, employment, income, loan amount, loan term, credit history and property area, the study follows a complete data-science workflow: data gathering and cleaning, handling of missing values and outliers, exploratory statistical analysis, feature engineering, model determination, training, hyper-parameter tuning and deployment through an interactive prediction dashboard. Nine candidate classifiers - seven base learners (logistic regression, decision tree, random forest, k-nearest neighbours, Gaussian naive Bayes, support vector machine and gradient boosting) plus advanced soft-voting and stacking ensembles - were compared using stratified five-fold cross-validation. The selected model achieved 83.5% accuracy, 0.897 F1 and 0.763 ROC-AUC on a held-out test set, comfortably exceeding the majority-class baseline. The results confirm that credit history is by far the strongest predictor of loan approval. The final model is served through a Streamlit dashboard that supports both single-applicant and batch scoring, providing Motz Financial Services with a practical, interpretable decision-support tool.</w:t>
      </w:r>
    </w:p>
    <w:p>
      <w:pPr>
        <w:pStyle w:val="Heading1"/>
      </w:pPr>
      <w:r>
        <w:rPr>
          <w:rFonts w:ascii="Arial Narrow" w:hAnsi="Arial Narrow"/>
          <w:color w:val="1F3B57"/>
        </w:rPr>
        <w:t>1. Introduction</w:t>
      </w:r>
    </w:p>
    <w:p>
      <w:pPr>
        <w:pStyle w:val="Heading2"/>
      </w:pPr>
      <w:r>
        <w:rPr>
          <w:rFonts w:ascii="Arial Narrow" w:hAnsi="Arial Narrow"/>
          <w:color w:val="1F3B57"/>
        </w:rPr>
        <w:t>1.1 Statement of the Problem</w:t>
      </w:r>
    </w:p>
    <w:p>
      <w:r>
        <w:rPr>
          <w:rFonts w:ascii="Arial Narrow" w:hAnsi="Arial Narrow"/>
          <w:b w:val="0"/>
          <w:i w:val="0"/>
        </w:rPr>
        <w:t>Motz Financial Services receives a large volume of loan applications that must be assessed for creditworthiness. Manual assessment is slow, subjective and inconsistent, and it does not scale with the volume of applications. The core problem addressed in this project is therefore: given an applicant's background information, can we accurately and automatically predict whether their loan should be approved? Reproducing this decision with a machine learning model reduces processing time, enforces consistency and allows human officers to focus on borderline cases.</w:t>
      </w:r>
    </w:p>
    <w:p>
      <w:pPr>
        <w:pStyle w:val="Heading2"/>
      </w:pPr>
      <w:r>
        <w:rPr>
          <w:rFonts w:ascii="Arial Narrow" w:hAnsi="Arial Narrow"/>
          <w:color w:val="1F3B57"/>
        </w:rPr>
        <w:t>1.2 Relevance and Importance</w:t>
      </w:r>
    </w:p>
    <w:p>
      <w:r>
        <w:rPr>
          <w:rFonts w:ascii="Arial Narrow" w:hAnsi="Arial Narrow"/>
          <w:b w:val="0"/>
          <w:i w:val="0"/>
        </w:rPr>
        <w:t>Accurate loan prediction is directly relevant to the financial health of a lending institution. Approving a loan to a high-risk applicant leads to default and financial loss, while rejecting a creditworthy applicant creates lost revenue and poor customer satisfaction. A data-driven prediction model improves the precision and consistency of these decisions, supports regulatory compliance through auditable, data-based rules, and shortens the time-to-decision for customers. It also produces interpretable insight into which applicant attributes matter most, informing the institution's credit policy.</w:t>
      </w:r>
    </w:p>
    <w:p>
      <w:pPr>
        <w:pStyle w:val="Heading2"/>
      </w:pPr>
      <w:r>
        <w:rPr>
          <w:rFonts w:ascii="Arial Narrow" w:hAnsi="Arial Narrow"/>
          <w:color w:val="1F3B57"/>
        </w:rPr>
        <w:t>1.3 Objectives and Scope</w:t>
      </w:r>
    </w:p>
    <w:p>
      <w:pPr>
        <w:pStyle w:val="ListBullet"/>
      </w:pPr>
      <w:r>
        <w:rPr>
          <w:rFonts w:ascii="Arial Narrow" w:hAnsi="Arial Narrow"/>
          <w:sz w:val="24"/>
        </w:rPr>
        <w:t>To gather, clean and statistically describe a loan applicant dataset.</w:t>
      </w:r>
    </w:p>
    <w:p>
      <w:pPr>
        <w:pStyle w:val="ListBullet"/>
      </w:pPr>
      <w:r>
        <w:rPr>
          <w:rFonts w:ascii="Arial Narrow" w:hAnsi="Arial Narrow"/>
          <w:sz w:val="24"/>
        </w:rPr>
        <w:t>To engineer informative financial features and prepare the data for modelling.</w:t>
      </w:r>
    </w:p>
    <w:p>
      <w:pPr>
        <w:pStyle w:val="ListBullet"/>
      </w:pPr>
      <w:r>
        <w:rPr>
          <w:rFonts w:ascii="Arial Narrow" w:hAnsi="Arial Narrow"/>
          <w:sz w:val="24"/>
        </w:rPr>
        <w:t>To determine, train and tune the best performing classification model.</w:t>
      </w:r>
    </w:p>
    <w:p>
      <w:pPr>
        <w:pStyle w:val="ListBullet"/>
      </w:pPr>
      <w:r>
        <w:rPr>
          <w:rFonts w:ascii="Arial Narrow" w:hAnsi="Arial Narrow"/>
          <w:sz w:val="24"/>
        </w:rPr>
        <w:t>To evaluate the model using accuracy, precision, recall, F1 and ROC-AUC.</w:t>
      </w:r>
    </w:p>
    <w:p>
      <w:pPr>
        <w:pStyle w:val="ListBullet"/>
      </w:pPr>
      <w:r>
        <w:rPr>
          <w:rFonts w:ascii="Arial Narrow" w:hAnsi="Arial Narrow"/>
          <w:sz w:val="24"/>
        </w:rPr>
        <w:t>To deliver an interactive dashboard for single and batch loan predictions.</w:t>
      </w:r>
    </w:p>
    <w:p>
      <w:r>
        <w:rPr>
          <w:rFonts w:ascii="Arial Narrow" w:hAnsi="Arial Narrow"/>
          <w:b w:val="0"/>
          <w:i w:val="0"/>
        </w:rPr>
        <w:t>The scope is limited to binary loan approval prediction (approved / rejected) based on the tabular applicant features provided by the client. It is a classification problem and does not model loan pricing, recovery or time-series default behaviour.</w:t>
      </w:r>
    </w:p>
    <w:p>
      <w:pPr>
        <w:pStyle w:val="Heading1"/>
      </w:pPr>
      <w:r>
        <w:rPr>
          <w:rFonts w:ascii="Arial Narrow" w:hAnsi="Arial Narrow"/>
          <w:color w:val="1F3B57"/>
        </w:rPr>
        <w:t>2. Data Gathering and Cleaning</w:t>
      </w:r>
    </w:p>
    <w:p>
      <w:pPr>
        <w:pStyle w:val="Heading2"/>
      </w:pPr>
      <w:r>
        <w:rPr>
          <w:rFonts w:ascii="Arial Narrow" w:hAnsi="Arial Narrow"/>
          <w:color w:val="1F3B57"/>
        </w:rPr>
        <w:t>2.1 Data Gathering</w:t>
      </w:r>
    </w:p>
    <w:p>
      <w:r>
        <w:rPr>
          <w:rFonts w:ascii="Arial Narrow" w:hAnsi="Arial Narrow"/>
          <w:b w:val="0"/>
          <w:i w:val="0"/>
        </w:rPr>
        <w:t>The dataset contains 1,000 loan applications with 12 fields: a unique Loan_ID, six categorical background attributes (Gender, Married, Dependents, Education, Self_Employed, Property_Area), four numeric/financial attributes (ApplicantIncome, CoapplicantIncome, LoanAmount, Loan_Amount_Term), the Credit_History indicator and the target Loan_Status (Y/N). The pipeline module generate_dataset.py reproduces this extract exactly and is re-runnable with a fixed random seed for full reproducibility.</w:t>
      </w:r>
    </w:p>
    <w:p>
      <w:pPr>
        <w:pStyle w:val="Heading2"/>
      </w:pPr>
      <w:r>
        <w:rPr>
          <w:rFonts w:ascii="Arial Narrow" w:hAnsi="Arial Narrow"/>
          <w:color w:val="1F3B57"/>
        </w:rPr>
        <w:t>2.2 Missing Values</w:t>
      </w:r>
    </w:p>
    <w:p>
      <w:r>
        <w:rPr>
          <w:rFonts w:ascii="Arial Narrow" w:hAnsi="Arial Narrow"/>
          <w:b w:val="0"/>
          <w:i w:val="0"/>
        </w:rPr>
        <w:t>An initial audit of missingness is performed per column. Categorical fields are imputed with their most frequent value (mode) and numeric fields with the median, which is robust to skew. Credit_History, the most important predictor, is imputed with its mode so that no application is discarded. After cleaning the dataset contains zero missing values, ensuring every record can be used in training.</w:t>
      </w:r>
    </w:p>
    <w:p>
      <w:pPr>
        <w:jc w:val="center"/>
      </w:pPr>
      <w:r>
        <w:drawing>
          <wp:inline xmlns:a="http://schemas.openxmlformats.org/drawingml/2006/main" xmlns:pic="http://schemas.openxmlformats.org/drawingml/2006/picture">
            <wp:extent cx="5120640" cy="2926080"/>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120640" cy="2926080"/>
                    </a:xfrm>
                    <a:prstGeom prst="rect"/>
                  </pic:spPr>
                </pic:pic>
              </a:graphicData>
            </a:graphic>
          </wp:inline>
        </w:drawing>
      </w:r>
    </w:p>
    <w:p>
      <w:pPr>
        <w:jc w:val="center"/>
      </w:pPr>
      <w:r>
        <w:rPr>
          <w:rFonts w:ascii="Arial Narrow" w:hAnsi="Arial Narrow"/>
          <w:i/>
          <w:sz w:val="20"/>
        </w:rPr>
        <w:t>Figure 1: Percentage of missing values per column before cleaning.</w:t>
      </w:r>
    </w:p>
    <w:p>
      <w:pPr>
        <w:pStyle w:val="Heading2"/>
      </w:pPr>
      <w:r>
        <w:rPr>
          <w:rFonts w:ascii="Arial Narrow" w:hAnsi="Arial Narrow"/>
          <w:color w:val="1F3B57"/>
        </w:rPr>
        <w:t>2.3 Outliers</w:t>
      </w:r>
    </w:p>
    <w:p>
      <w:r>
        <w:rPr>
          <w:rFonts w:ascii="Arial Narrow" w:hAnsi="Arial Narrow"/>
          <w:b w:val="0"/>
          <w:i w:val="0"/>
        </w:rPr>
        <w:t>Outliers in the numeric columns are detected using the inter-quartile range (IQR) rule: values below Q1 - 1.5*IQR or above Q3 + 1.5*IQR are flagged. Rather than deleting records (which would lose legitimate high-income applicants), outliers are winsorised - capped at the IQR fences. This retains every record while preventing extreme values from distorting the scaling and the fitted model.</w:t>
      </w:r>
    </w:p>
    <w:p>
      <w:pPr>
        <w:jc w:val="center"/>
      </w:pPr>
      <w:r>
        <w:drawing>
          <wp:inline xmlns:a="http://schemas.openxmlformats.org/drawingml/2006/main" xmlns:pic="http://schemas.openxmlformats.org/drawingml/2006/picture">
            <wp:extent cx="5120640" cy="3258589"/>
            <wp:docPr id="2" name="Picture 2"/>
            <wp:cNvGraphicFramePr>
              <a:graphicFrameLocks noChangeAspect="1"/>
            </wp:cNvGraphicFramePr>
            <a:graphic>
              <a:graphicData uri="http://schemas.openxmlformats.org/drawingml/2006/picture">
                <pic:pic>
                  <pic:nvPicPr>
                    <pic:cNvPr id="0" name="02_outliers_raw.png"/>
                    <pic:cNvPicPr/>
                  </pic:nvPicPr>
                  <pic:blipFill>
                    <a:blip r:embed="rId10"/>
                    <a:stretch>
                      <a:fillRect/>
                    </a:stretch>
                  </pic:blipFill>
                  <pic:spPr>
                    <a:xfrm>
                      <a:off x="0" y="0"/>
                      <a:ext cx="5120640" cy="3258589"/>
                    </a:xfrm>
                    <a:prstGeom prst="rect"/>
                  </pic:spPr>
                </pic:pic>
              </a:graphicData>
            </a:graphic>
          </wp:inline>
        </w:drawing>
      </w:r>
    </w:p>
    <w:p>
      <w:pPr>
        <w:jc w:val="center"/>
      </w:pPr>
      <w:r>
        <w:rPr>
          <w:rFonts w:ascii="Arial Narrow" w:hAnsi="Arial Narrow"/>
          <w:i/>
          <w:sz w:val="20"/>
        </w:rPr>
        <w:t>Figure 2: Box-plots of numeric features before outlier treatment.</w:t>
      </w:r>
    </w:p>
    <w:p>
      <w:pPr>
        <w:pStyle w:val="Heading2"/>
      </w:pPr>
      <w:r>
        <w:rPr>
          <w:rFonts w:ascii="Arial Narrow" w:hAnsi="Arial Narrow"/>
          <w:color w:val="1F3B57"/>
        </w:rPr>
        <w:t>2.4 Descriptive Statistical Analysis</w:t>
      </w:r>
    </w:p>
    <w:p>
      <w:r>
        <w:rPr>
          <w:rFonts w:ascii="Arial Narrow" w:hAnsi="Arial Narrow"/>
          <w:b w:val="0"/>
          <w:i w:val="0"/>
        </w:rPr>
        <w:t>Descriptive statistics summarise the central tendency and spread of the numeric features, and frequency tables summarise the categorical features. Income variables are right-skewed, motivating the logarithmic transform applied during pre-processing.</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rFonts w:ascii="Arial Narrow" w:hAnsi="Arial Narrow"/>
                <w:b/>
              </w:rPr>
              <w:t>Statistic</w:t>
            </w:r>
          </w:p>
        </w:tc>
        <w:tc>
          <w:tcPr>
            <w:tcW w:type="dxa" w:w="1930"/>
          </w:tcPr>
          <w:p>
            <w:r>
              <w:rPr>
                <w:rFonts w:ascii="Arial Narrow" w:hAnsi="Arial Narrow"/>
                <w:b/>
              </w:rPr>
              <w:t>ApplicantIncome</w:t>
            </w:r>
          </w:p>
        </w:tc>
        <w:tc>
          <w:tcPr>
            <w:tcW w:type="dxa" w:w="1930"/>
          </w:tcPr>
          <w:p>
            <w:r>
              <w:rPr>
                <w:rFonts w:ascii="Arial Narrow" w:hAnsi="Arial Narrow"/>
                <w:b/>
              </w:rPr>
              <w:t>CoapplicantIncome</w:t>
            </w:r>
          </w:p>
        </w:tc>
        <w:tc>
          <w:tcPr>
            <w:tcW w:type="dxa" w:w="1930"/>
          </w:tcPr>
          <w:p>
            <w:r>
              <w:rPr>
                <w:rFonts w:ascii="Arial Narrow" w:hAnsi="Arial Narrow"/>
                <w:b/>
              </w:rPr>
              <w:t>LoanAmount</w:t>
            </w:r>
          </w:p>
        </w:tc>
        <w:tc>
          <w:tcPr>
            <w:tcW w:type="dxa" w:w="1930"/>
          </w:tcPr>
          <w:p>
            <w:r>
              <w:rPr>
                <w:rFonts w:ascii="Arial Narrow" w:hAnsi="Arial Narrow"/>
                <w:b/>
              </w:rPr>
              <w:t>Loan_Amount_Term</w:t>
            </w:r>
          </w:p>
        </w:tc>
      </w:tr>
      <w:tr>
        <w:tc>
          <w:tcPr>
            <w:tcW w:type="dxa" w:w="1930"/>
          </w:tcPr>
          <w:p>
            <w:r>
              <w:rPr>
                <w:rFonts w:ascii="Arial Narrow" w:hAnsi="Arial Narrow"/>
              </w:rPr>
              <w:t>Mean</w:t>
            </w:r>
          </w:p>
        </w:tc>
        <w:tc>
          <w:tcPr>
            <w:tcW w:type="dxa" w:w="1930"/>
          </w:tcPr>
          <w:p>
            <w:r>
              <w:rPr>
                <w:rFonts w:ascii="Arial Narrow" w:hAnsi="Arial Narrow"/>
              </w:rPr>
              <w:t>5,262</w:t>
            </w:r>
          </w:p>
        </w:tc>
        <w:tc>
          <w:tcPr>
            <w:tcW w:type="dxa" w:w="1930"/>
          </w:tcPr>
          <w:p>
            <w:r>
              <w:rPr>
                <w:rFonts w:ascii="Arial Narrow" w:hAnsi="Arial Narrow"/>
              </w:rPr>
              <w:t>1,318</w:t>
            </w:r>
          </w:p>
        </w:tc>
        <w:tc>
          <w:tcPr>
            <w:tcW w:type="dxa" w:w="1930"/>
          </w:tcPr>
          <w:p>
            <w:r>
              <w:rPr>
                <w:rFonts w:ascii="Arial Narrow" w:hAnsi="Arial Narrow"/>
              </w:rPr>
              <w:t>~201,000</w:t>
            </w:r>
          </w:p>
        </w:tc>
        <w:tc>
          <w:tcPr>
            <w:tcW w:type="dxa" w:w="1930"/>
          </w:tcPr>
          <w:p>
            <w:r>
              <w:rPr>
                <w:rFonts w:ascii="Arial Narrow" w:hAnsi="Arial Narrow"/>
              </w:rPr>
              <w:t>310</w:t>
            </w:r>
          </w:p>
        </w:tc>
      </w:tr>
      <w:tr>
        <w:tc>
          <w:tcPr>
            <w:tcW w:type="dxa" w:w="1930"/>
          </w:tcPr>
          <w:p>
            <w:r>
              <w:rPr>
                <w:rFonts w:ascii="Arial Narrow" w:hAnsi="Arial Narrow"/>
              </w:rPr>
              <w:t>Std. dev.</w:t>
            </w:r>
          </w:p>
        </w:tc>
        <w:tc>
          <w:tcPr>
            <w:tcW w:type="dxa" w:w="1930"/>
          </w:tcPr>
          <w:p>
            <w:r>
              <w:rPr>
                <w:rFonts w:ascii="Arial Narrow" w:hAnsi="Arial Narrow"/>
              </w:rPr>
              <w:t>2,907</w:t>
            </w:r>
          </w:p>
        </w:tc>
        <w:tc>
          <w:tcPr>
            <w:tcW w:type="dxa" w:w="1930"/>
          </w:tcPr>
          <w:p>
            <w:r>
              <w:rPr>
                <w:rFonts w:ascii="Arial Narrow" w:hAnsi="Arial Narrow"/>
              </w:rPr>
              <w:t>1,595</w:t>
            </w:r>
          </w:p>
        </w:tc>
        <w:tc>
          <w:tcPr>
            <w:tcW w:type="dxa" w:w="1930"/>
          </w:tcPr>
          <w:p>
            <w:r>
              <w:rPr>
                <w:rFonts w:ascii="Arial Narrow" w:hAnsi="Arial Narrow"/>
              </w:rPr>
              <w:t>~90,000</w:t>
            </w:r>
          </w:p>
        </w:tc>
        <w:tc>
          <w:tcPr>
            <w:tcW w:type="dxa" w:w="1930"/>
          </w:tcPr>
          <w:p>
            <w:r>
              <w:rPr>
                <w:rFonts w:ascii="Arial Narrow" w:hAnsi="Arial Narrow"/>
              </w:rPr>
              <w:t>91</w:t>
            </w:r>
          </w:p>
        </w:tc>
      </w:tr>
      <w:tr>
        <w:tc>
          <w:tcPr>
            <w:tcW w:type="dxa" w:w="1930"/>
          </w:tcPr>
          <w:p>
            <w:r>
              <w:rPr>
                <w:rFonts w:ascii="Arial Narrow" w:hAnsi="Arial Narrow"/>
              </w:rPr>
              <w:t>Min</w:t>
            </w:r>
          </w:p>
        </w:tc>
        <w:tc>
          <w:tcPr>
            <w:tcW w:type="dxa" w:w="1930"/>
          </w:tcPr>
          <w:p>
            <w:r>
              <w:rPr>
                <w:rFonts w:ascii="Arial Narrow" w:hAnsi="Arial Narrow"/>
              </w:rPr>
              <w:t>825</w:t>
            </w:r>
          </w:p>
        </w:tc>
        <w:tc>
          <w:tcPr>
            <w:tcW w:type="dxa" w:w="1930"/>
          </w:tcPr>
          <w:p>
            <w:r>
              <w:rPr>
                <w:rFonts w:ascii="Arial Narrow" w:hAnsi="Arial Narrow"/>
              </w:rPr>
              <w:t>0</w:t>
            </w:r>
          </w:p>
        </w:tc>
        <w:tc>
          <w:tcPr>
            <w:tcW w:type="dxa" w:w="1930"/>
          </w:tcPr>
          <w:p>
            <w:r>
              <w:rPr>
                <w:rFonts w:ascii="Arial Narrow" w:hAnsi="Arial Narrow"/>
              </w:rPr>
              <w:t>30,000</w:t>
            </w:r>
          </w:p>
        </w:tc>
        <w:tc>
          <w:tcPr>
            <w:tcW w:type="dxa" w:w="1930"/>
          </w:tcPr>
          <w:p>
            <w:r>
              <w:rPr>
                <w:rFonts w:ascii="Arial Narrow" w:hAnsi="Arial Narrow"/>
              </w:rPr>
              <w:t>60</w:t>
            </w:r>
          </w:p>
        </w:tc>
      </w:tr>
      <w:tr>
        <w:tc>
          <w:tcPr>
            <w:tcW w:type="dxa" w:w="1930"/>
          </w:tcPr>
          <w:p>
            <w:r>
              <w:rPr>
                <w:rFonts w:ascii="Arial Narrow" w:hAnsi="Arial Narrow"/>
              </w:rPr>
              <w:t>Max</w:t>
            </w:r>
          </w:p>
        </w:tc>
        <w:tc>
          <w:tcPr>
            <w:tcW w:type="dxa" w:w="1930"/>
          </w:tcPr>
          <w:p>
            <w:r>
              <w:rPr>
                <w:rFonts w:ascii="Arial Narrow" w:hAnsi="Arial Narrow"/>
              </w:rPr>
              <w:t>12,185</w:t>
            </w:r>
          </w:p>
        </w:tc>
        <w:tc>
          <w:tcPr>
            <w:tcW w:type="dxa" w:w="1930"/>
          </w:tcPr>
          <w:p>
            <w:r>
              <w:rPr>
                <w:rFonts w:ascii="Arial Narrow" w:hAnsi="Arial Narrow"/>
              </w:rPr>
              <w:t>5,419</w:t>
            </w:r>
          </w:p>
        </w:tc>
        <w:tc>
          <w:tcPr>
            <w:tcW w:type="dxa" w:w="1930"/>
          </w:tcPr>
          <w:p>
            <w:r>
              <w:rPr>
                <w:rFonts w:ascii="Arial Narrow" w:hAnsi="Arial Narrow"/>
              </w:rPr>
              <w:t>700,000</w:t>
            </w:r>
          </w:p>
        </w:tc>
        <w:tc>
          <w:tcPr>
            <w:tcW w:type="dxa" w:w="1930"/>
          </w:tcPr>
          <w:p>
            <w:r>
              <w:rPr>
                <w:rFonts w:ascii="Arial Narrow" w:hAnsi="Arial Narrow"/>
              </w:rPr>
              <w:t>480</w:t>
            </w:r>
          </w:p>
        </w:tc>
      </w:tr>
    </w:tbl>
    <w:p>
      <w:pPr>
        <w:jc w:val="center"/>
      </w:pPr>
      <w:r>
        <w:drawing>
          <wp:inline xmlns:a="http://schemas.openxmlformats.org/drawingml/2006/main" xmlns:pic="http://schemas.openxmlformats.org/drawingml/2006/picture">
            <wp:extent cx="5120640" cy="3258589"/>
            <wp:docPr id="3" name="Picture 3"/>
            <wp:cNvGraphicFramePr>
              <a:graphicFrameLocks noChangeAspect="1"/>
            </wp:cNvGraphicFramePr>
            <a:graphic>
              <a:graphicData uri="http://schemas.openxmlformats.org/drawingml/2006/picture">
                <pic:pic>
                  <pic:nvPicPr>
                    <pic:cNvPr id="0" name="03_feature_distributions.png"/>
                    <pic:cNvPicPr/>
                  </pic:nvPicPr>
                  <pic:blipFill>
                    <a:blip r:embed="rId11"/>
                    <a:stretch>
                      <a:fillRect/>
                    </a:stretch>
                  </pic:blipFill>
                  <pic:spPr>
                    <a:xfrm>
                      <a:off x="0" y="0"/>
                      <a:ext cx="5120640" cy="3258589"/>
                    </a:xfrm>
                    <a:prstGeom prst="rect"/>
                  </pic:spPr>
                </pic:pic>
              </a:graphicData>
            </a:graphic>
          </wp:inline>
        </w:drawing>
      </w:r>
    </w:p>
    <w:p>
      <w:pPr>
        <w:jc w:val="center"/>
      </w:pPr>
      <w:r>
        <w:rPr>
          <w:rFonts w:ascii="Arial Narrow" w:hAnsi="Arial Narrow"/>
          <w:i/>
          <w:sz w:val="20"/>
        </w:rPr>
        <w:t>Figure 3: Distribution of the numeric features after cleaning.</w:t>
      </w:r>
    </w:p>
    <w:p>
      <w:pPr>
        <w:jc w:val="center"/>
      </w:pPr>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120640" cy="3840480"/>
                    </a:xfrm>
                    <a:prstGeom prst="rect"/>
                  </pic:spPr>
                </pic:pic>
              </a:graphicData>
            </a:graphic>
          </wp:inline>
        </w:drawing>
      </w:r>
    </w:p>
    <w:p>
      <w:pPr>
        <w:jc w:val="center"/>
      </w:pPr>
      <w:r>
        <w:rPr>
          <w:rFonts w:ascii="Arial Narrow" w:hAnsi="Arial Narrow"/>
          <w:i/>
          <w:sz w:val="20"/>
        </w:rPr>
        <w:t>Figure 4: Correlation matrix of numeric features and the target.</w:t>
      </w:r>
    </w:p>
    <w:p>
      <w:pPr>
        <w:jc w:val="center"/>
      </w:pPr>
      <w:r>
        <w:drawing>
          <wp:inline xmlns:a="http://schemas.openxmlformats.org/drawingml/2006/main" xmlns:pic="http://schemas.openxmlformats.org/drawingml/2006/picture">
            <wp:extent cx="5120640" cy="1862051"/>
            <wp:docPr id="5" name="Picture 5"/>
            <wp:cNvGraphicFramePr>
              <a:graphicFrameLocks noChangeAspect="1"/>
            </wp:cNvGraphicFramePr>
            <a:graphic>
              <a:graphicData uri="http://schemas.openxmlformats.org/drawingml/2006/picture">
                <pic:pic>
                  <pic:nvPicPr>
                    <pic:cNvPr id="0" name="05_target_distribution.png"/>
                    <pic:cNvPicPr/>
                  </pic:nvPicPr>
                  <pic:blipFill>
                    <a:blip r:embed="rId13"/>
                    <a:stretch>
                      <a:fillRect/>
                    </a:stretch>
                  </pic:blipFill>
                  <pic:spPr>
                    <a:xfrm>
                      <a:off x="0" y="0"/>
                      <a:ext cx="5120640" cy="1862051"/>
                    </a:xfrm>
                    <a:prstGeom prst="rect"/>
                  </pic:spPr>
                </pic:pic>
              </a:graphicData>
            </a:graphic>
          </wp:inline>
        </w:drawing>
      </w:r>
    </w:p>
    <w:p>
      <w:pPr>
        <w:jc w:val="center"/>
      </w:pPr>
      <w:r>
        <w:rPr>
          <w:rFonts w:ascii="Arial Narrow" w:hAnsi="Arial Narrow"/>
          <w:i/>
          <w:sz w:val="20"/>
        </w:rPr>
        <w:t>Figure 5: Target (loan status) distribution and its relation to property area.</w:t>
      </w:r>
    </w:p>
    <w:p>
      <w:pPr>
        <w:pStyle w:val="Heading1"/>
      </w:pPr>
      <w:r>
        <w:rPr>
          <w:rFonts w:ascii="Arial Narrow" w:hAnsi="Arial Narrow"/>
          <w:color w:val="1F3B57"/>
        </w:rPr>
        <w:t>3. Data Pre-processing</w:t>
      </w:r>
    </w:p>
    <w:p>
      <w:pPr>
        <w:pStyle w:val="Heading2"/>
      </w:pPr>
      <w:r>
        <w:rPr>
          <w:rFonts w:ascii="Arial Narrow" w:hAnsi="Arial Narrow"/>
          <w:color w:val="1F3B57"/>
        </w:rPr>
        <w:t>3.1 Feature Extraction</w:t>
      </w:r>
    </w:p>
    <w:p>
      <w:r>
        <w:rPr>
          <w:rFonts w:ascii="Arial Narrow" w:hAnsi="Arial Narrow"/>
          <w:b w:val="0"/>
          <w:i w:val="0"/>
        </w:rPr>
        <w:t>Four domain-driven features are extracted to expose financial relationships that raw columns do not capture directly:</w:t>
      </w:r>
    </w:p>
    <w:p>
      <w:pPr>
        <w:pStyle w:val="ListBullet"/>
      </w:pPr>
      <w:r>
        <w:rPr>
          <w:rFonts w:ascii="Arial Narrow" w:hAnsi="Arial Narrow"/>
          <w:sz w:val="24"/>
        </w:rPr>
        <w:t>TotalIncome = ApplicantIncome + CoapplicantIncome</w:t>
      </w:r>
    </w:p>
    <w:p>
      <w:pPr>
        <w:pStyle w:val="ListBullet"/>
      </w:pPr>
      <w:r>
        <w:rPr>
          <w:rFonts w:ascii="Arial Narrow" w:hAnsi="Arial Narrow"/>
          <w:sz w:val="24"/>
        </w:rPr>
        <w:t>LoanAmount_log = log1p(LoanAmount)  - reduces right skew</w:t>
      </w:r>
    </w:p>
    <w:p>
      <w:pPr>
        <w:pStyle w:val="ListBullet"/>
      </w:pPr>
      <w:r>
        <w:rPr>
          <w:rFonts w:ascii="Arial Narrow" w:hAnsi="Arial Narrow"/>
          <w:sz w:val="24"/>
        </w:rPr>
        <w:t>EMI = LoanAmount / Loan_Amount_Term  - a monthly repayment burden proxy</w:t>
      </w:r>
    </w:p>
    <w:p>
      <w:pPr>
        <w:pStyle w:val="ListBullet"/>
      </w:pPr>
      <w:r>
        <w:rPr>
          <w:rFonts w:ascii="Arial Narrow" w:hAnsi="Arial Narrow"/>
          <w:sz w:val="24"/>
        </w:rPr>
        <w:t>Income_to_Loan_Ratio = TotalIncome / LoanAmount  - an affordability ratio</w:t>
      </w:r>
    </w:p>
    <w:p>
      <w:r>
        <w:rPr>
          <w:rFonts w:ascii="Arial Narrow" w:hAnsi="Arial Narrow"/>
          <w:b w:val="0"/>
          <w:i w:val="0"/>
        </w:rPr>
        <w:t>Categorical variables are one-hot encoded (with unseen categories ignored), numeric variables are median-imputed and standardised, and the whole transformation set is encapsulated in a scikit-learn ColumnTransformer. Because feature extraction and imputation live inside the saved pipeline, identical transformations are guaranteed at training and at inference time.</w:t>
      </w:r>
    </w:p>
    <w:p>
      <w:pPr>
        <w:pStyle w:val="Heading2"/>
      </w:pPr>
      <w:r>
        <w:rPr>
          <w:rFonts w:ascii="Arial Narrow" w:hAnsi="Arial Narrow"/>
          <w:color w:val="1F3B57"/>
        </w:rPr>
        <w:t>3.2 Feature Tuning</w:t>
      </w:r>
    </w:p>
    <w:p>
      <w:r>
        <w:rPr>
          <w:rFonts w:ascii="Arial Narrow" w:hAnsi="Arial Narrow"/>
          <w:b w:val="0"/>
          <w:i w:val="0"/>
        </w:rPr>
        <w:t>Feature tuning examined the skewness of income and loan variables and the correlation of each engineered feature with the target. The log transform reduced the LoanAmount skewness from 0.847 to -0.355, producing a more symmetric distribution that benefits distance- and linear-based models. Correlation analysis showed Credit_History as the dominant signal (r = 0.461), while income-derived features carried weaker independent signal; they were retained because they improved the model's discrimination and interpretability.</w:t>
      </w:r>
    </w:p>
    <w:p>
      <w:pPr>
        <w:pStyle w:val="Heading1"/>
      </w:pPr>
      <w:r>
        <w:rPr>
          <w:rFonts w:ascii="Arial Narrow" w:hAnsi="Arial Narrow"/>
          <w:color w:val="1F3B57"/>
        </w:rPr>
        <w:t>4. Model Determination</w:t>
      </w:r>
    </w:p>
    <w:p>
      <w:r>
        <w:rPr>
          <w:rFonts w:ascii="Arial Narrow" w:hAnsi="Arial Narrow"/>
          <w:b w:val="0"/>
          <w:i w:val="0"/>
        </w:rPr>
        <w:t>Because the target is binary (approved / rejected), classification algorithms are appropriate. Nine candidates were chosen to span different inductive biases: a linear probabilistic model (logistic regression), a rule-based model (decision tree), two tree ensembles (random forest and gradient boosting), a distance-based model (k-NN), a probabilistic model (naive Bayes), a margin-based model (SVM), and two advanced meta-ensembles - a soft-voting classifier and a stacking classifier. Each was evaluated with stratified five-fold cross-validation on the training split, using accuracy and ROC-AUC as selection criteria. Cross-validation gives a low-variance estimate of generalisation performance and is robust to the moderate class imbalance present in the data.</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rFonts w:ascii="Arial Narrow" w:hAnsi="Arial Narrow"/>
                <w:b/>
              </w:rPr>
              <w:t>Model</w:t>
            </w:r>
          </w:p>
        </w:tc>
        <w:tc>
          <w:tcPr>
            <w:tcW w:type="dxa" w:w="2412"/>
          </w:tcPr>
          <w:p>
            <w:r>
              <w:rPr>
                <w:rFonts w:ascii="Arial Narrow" w:hAnsi="Arial Narrow"/>
                <w:b/>
              </w:rPr>
              <w:t>Mean CV Accuracy</w:t>
            </w:r>
          </w:p>
        </w:tc>
        <w:tc>
          <w:tcPr>
            <w:tcW w:type="dxa" w:w="2412"/>
          </w:tcPr>
          <w:p>
            <w:r>
              <w:rPr>
                <w:rFonts w:ascii="Arial Narrow" w:hAnsi="Arial Narrow"/>
                <w:b/>
              </w:rPr>
              <w:t>Std. Dev.</w:t>
            </w:r>
          </w:p>
        </w:tc>
        <w:tc>
          <w:tcPr>
            <w:tcW w:type="dxa" w:w="2412"/>
          </w:tcPr>
          <w:p>
            <w:r>
              <w:rPr>
                <w:rFonts w:ascii="Arial Narrow" w:hAnsi="Arial Narrow"/>
                <w:b/>
              </w:rPr>
              <w:t>Mean CV ROC-AUC</w:t>
            </w:r>
          </w:p>
        </w:tc>
      </w:tr>
      <w:tr>
        <w:tc>
          <w:tcPr>
            <w:tcW w:type="dxa" w:w="2412"/>
          </w:tcPr>
          <w:p>
            <w:r>
              <w:rPr>
                <w:rFonts w:ascii="Arial Narrow" w:hAnsi="Arial Narrow"/>
              </w:rPr>
              <w:t>Soft Voting Ensemble</w:t>
            </w:r>
          </w:p>
        </w:tc>
        <w:tc>
          <w:tcPr>
            <w:tcW w:type="dxa" w:w="2412"/>
          </w:tcPr>
          <w:p>
            <w:r>
              <w:rPr>
                <w:rFonts w:ascii="Arial Narrow" w:hAnsi="Arial Narrow"/>
              </w:rPr>
              <w:t>0.8450</w:t>
            </w:r>
          </w:p>
        </w:tc>
        <w:tc>
          <w:tcPr>
            <w:tcW w:type="dxa" w:w="2412"/>
          </w:tcPr>
          <w:p>
            <w:r>
              <w:rPr>
                <w:rFonts w:ascii="Arial Narrow" w:hAnsi="Arial Narrow"/>
              </w:rPr>
              <w:t>0.0170</w:t>
            </w:r>
          </w:p>
        </w:tc>
        <w:tc>
          <w:tcPr>
            <w:tcW w:type="dxa" w:w="2412"/>
          </w:tcPr>
          <w:p>
            <w:r>
              <w:rPr>
                <w:rFonts w:ascii="Arial Narrow" w:hAnsi="Arial Narrow"/>
              </w:rPr>
              <w:t>0.6970</w:t>
            </w:r>
          </w:p>
        </w:tc>
      </w:tr>
      <w:tr>
        <w:tc>
          <w:tcPr>
            <w:tcW w:type="dxa" w:w="2412"/>
          </w:tcPr>
          <w:p>
            <w:r>
              <w:rPr>
                <w:rFonts w:ascii="Arial Narrow" w:hAnsi="Arial Narrow"/>
              </w:rPr>
              <w:t>Stacking Ensemble</w:t>
            </w:r>
          </w:p>
        </w:tc>
        <w:tc>
          <w:tcPr>
            <w:tcW w:type="dxa" w:w="2412"/>
          </w:tcPr>
          <w:p>
            <w:r>
              <w:rPr>
                <w:rFonts w:ascii="Arial Narrow" w:hAnsi="Arial Narrow"/>
              </w:rPr>
              <w:t>0.8438</w:t>
            </w:r>
          </w:p>
        </w:tc>
        <w:tc>
          <w:tcPr>
            <w:tcW w:type="dxa" w:w="2412"/>
          </w:tcPr>
          <w:p>
            <w:r>
              <w:rPr>
                <w:rFonts w:ascii="Arial Narrow" w:hAnsi="Arial Narrow"/>
              </w:rPr>
              <w:t>0.0177</w:t>
            </w:r>
          </w:p>
        </w:tc>
        <w:tc>
          <w:tcPr>
            <w:tcW w:type="dxa" w:w="2412"/>
          </w:tcPr>
          <w:p>
            <w:r>
              <w:rPr>
                <w:rFonts w:ascii="Arial Narrow" w:hAnsi="Arial Narrow"/>
              </w:rPr>
              <w:t>0.7412</w:t>
            </w:r>
          </w:p>
        </w:tc>
      </w:tr>
      <w:tr>
        <w:tc>
          <w:tcPr>
            <w:tcW w:type="dxa" w:w="2412"/>
          </w:tcPr>
          <w:p>
            <w:r>
              <w:rPr>
                <w:rFonts w:ascii="Arial Narrow" w:hAnsi="Arial Narrow"/>
              </w:rPr>
              <w:t>Logistic Regression</w:t>
            </w:r>
          </w:p>
        </w:tc>
        <w:tc>
          <w:tcPr>
            <w:tcW w:type="dxa" w:w="2412"/>
          </w:tcPr>
          <w:p>
            <w:r>
              <w:rPr>
                <w:rFonts w:ascii="Arial Narrow" w:hAnsi="Arial Narrow"/>
              </w:rPr>
              <w:t>0.8438</w:t>
            </w:r>
          </w:p>
        </w:tc>
        <w:tc>
          <w:tcPr>
            <w:tcW w:type="dxa" w:w="2412"/>
          </w:tcPr>
          <w:p>
            <w:r>
              <w:rPr>
                <w:rFonts w:ascii="Arial Narrow" w:hAnsi="Arial Narrow"/>
              </w:rPr>
              <w:t>0.0177</w:t>
            </w:r>
          </w:p>
        </w:tc>
        <w:tc>
          <w:tcPr>
            <w:tcW w:type="dxa" w:w="2412"/>
          </w:tcPr>
          <w:p>
            <w:r>
              <w:rPr>
                <w:rFonts w:ascii="Arial Narrow" w:hAnsi="Arial Narrow"/>
              </w:rPr>
              <w:t>0.7332</w:t>
            </w:r>
          </w:p>
        </w:tc>
      </w:tr>
      <w:tr>
        <w:tc>
          <w:tcPr>
            <w:tcW w:type="dxa" w:w="2412"/>
          </w:tcPr>
          <w:p>
            <w:r>
              <w:rPr>
                <w:rFonts w:ascii="Arial Narrow" w:hAnsi="Arial Narrow"/>
              </w:rPr>
              <w:t>Support Vector Machine</w:t>
            </w:r>
          </w:p>
        </w:tc>
        <w:tc>
          <w:tcPr>
            <w:tcW w:type="dxa" w:w="2412"/>
          </w:tcPr>
          <w:p>
            <w:r>
              <w:rPr>
                <w:rFonts w:ascii="Arial Narrow" w:hAnsi="Arial Narrow"/>
              </w:rPr>
              <w:t>0.8438</w:t>
            </w:r>
          </w:p>
        </w:tc>
        <w:tc>
          <w:tcPr>
            <w:tcW w:type="dxa" w:w="2412"/>
          </w:tcPr>
          <w:p>
            <w:r>
              <w:rPr>
                <w:rFonts w:ascii="Arial Narrow" w:hAnsi="Arial Narrow"/>
              </w:rPr>
              <w:t>0.0177</w:t>
            </w:r>
          </w:p>
        </w:tc>
        <w:tc>
          <w:tcPr>
            <w:tcW w:type="dxa" w:w="2412"/>
          </w:tcPr>
          <w:p>
            <w:r>
              <w:rPr>
                <w:rFonts w:ascii="Arial Narrow" w:hAnsi="Arial Narrow"/>
              </w:rPr>
              <w:t>0.7067</w:t>
            </w:r>
          </w:p>
        </w:tc>
      </w:tr>
      <w:tr>
        <w:tc>
          <w:tcPr>
            <w:tcW w:type="dxa" w:w="2412"/>
          </w:tcPr>
          <w:p>
            <w:r>
              <w:rPr>
                <w:rFonts w:ascii="Arial Narrow" w:hAnsi="Arial Narrow"/>
              </w:rPr>
              <w:t>Gaussian Naive Bayes</w:t>
            </w:r>
          </w:p>
        </w:tc>
        <w:tc>
          <w:tcPr>
            <w:tcW w:type="dxa" w:w="2412"/>
          </w:tcPr>
          <w:p>
            <w:r>
              <w:rPr>
                <w:rFonts w:ascii="Arial Narrow" w:hAnsi="Arial Narrow"/>
              </w:rPr>
              <w:t>0.8325</w:t>
            </w:r>
          </w:p>
        </w:tc>
        <w:tc>
          <w:tcPr>
            <w:tcW w:type="dxa" w:w="2412"/>
          </w:tcPr>
          <w:p>
            <w:r>
              <w:rPr>
                <w:rFonts w:ascii="Arial Narrow" w:hAnsi="Arial Narrow"/>
              </w:rPr>
              <w:t>0.0092</w:t>
            </w:r>
          </w:p>
        </w:tc>
        <w:tc>
          <w:tcPr>
            <w:tcW w:type="dxa" w:w="2412"/>
          </w:tcPr>
          <w:p>
            <w:r>
              <w:rPr>
                <w:rFonts w:ascii="Arial Narrow" w:hAnsi="Arial Narrow"/>
              </w:rPr>
              <w:t>0.7406</w:t>
            </w:r>
          </w:p>
        </w:tc>
      </w:tr>
      <w:tr>
        <w:tc>
          <w:tcPr>
            <w:tcW w:type="dxa" w:w="2412"/>
          </w:tcPr>
          <w:p>
            <w:r>
              <w:rPr>
                <w:rFonts w:ascii="Arial Narrow" w:hAnsi="Arial Narrow"/>
              </w:rPr>
              <w:t>Gradient Boosting</w:t>
            </w:r>
          </w:p>
        </w:tc>
        <w:tc>
          <w:tcPr>
            <w:tcW w:type="dxa" w:w="2412"/>
          </w:tcPr>
          <w:p>
            <w:r>
              <w:rPr>
                <w:rFonts w:ascii="Arial Narrow" w:hAnsi="Arial Narrow"/>
              </w:rPr>
              <w:t>0.8325</w:t>
            </w:r>
          </w:p>
        </w:tc>
        <w:tc>
          <w:tcPr>
            <w:tcW w:type="dxa" w:w="2412"/>
          </w:tcPr>
          <w:p>
            <w:r>
              <w:rPr>
                <w:rFonts w:ascii="Arial Narrow" w:hAnsi="Arial Narrow"/>
              </w:rPr>
              <w:t>0.0133</w:t>
            </w:r>
          </w:p>
        </w:tc>
        <w:tc>
          <w:tcPr>
            <w:tcW w:type="dxa" w:w="2412"/>
          </w:tcPr>
          <w:p>
            <w:r>
              <w:rPr>
                <w:rFonts w:ascii="Arial Narrow" w:hAnsi="Arial Narrow"/>
              </w:rPr>
              <w:t>0.6849</w:t>
            </w:r>
          </w:p>
        </w:tc>
      </w:tr>
      <w:tr>
        <w:tc>
          <w:tcPr>
            <w:tcW w:type="dxa" w:w="2412"/>
          </w:tcPr>
          <w:p>
            <w:r>
              <w:rPr>
                <w:rFonts w:ascii="Arial Narrow" w:hAnsi="Arial Narrow"/>
              </w:rPr>
              <w:t>Random Forest</w:t>
            </w:r>
          </w:p>
        </w:tc>
        <w:tc>
          <w:tcPr>
            <w:tcW w:type="dxa" w:w="2412"/>
          </w:tcPr>
          <w:p>
            <w:r>
              <w:rPr>
                <w:rFonts w:ascii="Arial Narrow" w:hAnsi="Arial Narrow"/>
              </w:rPr>
              <w:t>0.8325</w:t>
            </w:r>
          </w:p>
        </w:tc>
        <w:tc>
          <w:tcPr>
            <w:tcW w:type="dxa" w:w="2412"/>
          </w:tcPr>
          <w:p>
            <w:r>
              <w:rPr>
                <w:rFonts w:ascii="Arial Narrow" w:hAnsi="Arial Narrow"/>
              </w:rPr>
              <w:t>0.0214</w:t>
            </w:r>
          </w:p>
        </w:tc>
        <w:tc>
          <w:tcPr>
            <w:tcW w:type="dxa" w:w="2412"/>
          </w:tcPr>
          <w:p>
            <w:r>
              <w:rPr>
                <w:rFonts w:ascii="Arial Narrow" w:hAnsi="Arial Narrow"/>
              </w:rPr>
              <w:t>0.6829</w:t>
            </w:r>
          </w:p>
        </w:tc>
      </w:tr>
      <w:tr>
        <w:tc>
          <w:tcPr>
            <w:tcW w:type="dxa" w:w="2412"/>
          </w:tcPr>
          <w:p>
            <w:r>
              <w:rPr>
                <w:rFonts w:ascii="Arial Narrow" w:hAnsi="Arial Narrow"/>
              </w:rPr>
              <w:t>K-Nearest Neighbours</w:t>
            </w:r>
          </w:p>
        </w:tc>
        <w:tc>
          <w:tcPr>
            <w:tcW w:type="dxa" w:w="2412"/>
          </w:tcPr>
          <w:p>
            <w:r>
              <w:rPr>
                <w:rFonts w:ascii="Arial Narrow" w:hAnsi="Arial Narrow"/>
              </w:rPr>
              <w:t>0.8300</w:t>
            </w:r>
          </w:p>
        </w:tc>
        <w:tc>
          <w:tcPr>
            <w:tcW w:type="dxa" w:w="2412"/>
          </w:tcPr>
          <w:p>
            <w:r>
              <w:rPr>
                <w:rFonts w:ascii="Arial Narrow" w:hAnsi="Arial Narrow"/>
              </w:rPr>
              <w:t>0.0100</w:t>
            </w:r>
          </w:p>
        </w:tc>
        <w:tc>
          <w:tcPr>
            <w:tcW w:type="dxa" w:w="2412"/>
          </w:tcPr>
          <w:p>
            <w:r>
              <w:rPr>
                <w:rFonts w:ascii="Arial Narrow" w:hAnsi="Arial Narrow"/>
              </w:rPr>
              <w:t>0.6896</w:t>
            </w:r>
          </w:p>
        </w:tc>
      </w:tr>
      <w:tr>
        <w:tc>
          <w:tcPr>
            <w:tcW w:type="dxa" w:w="2412"/>
          </w:tcPr>
          <w:p>
            <w:r>
              <w:rPr>
                <w:rFonts w:ascii="Arial Narrow" w:hAnsi="Arial Narrow"/>
              </w:rPr>
              <w:t>Decision Tree</w:t>
            </w:r>
          </w:p>
        </w:tc>
        <w:tc>
          <w:tcPr>
            <w:tcW w:type="dxa" w:w="2412"/>
          </w:tcPr>
          <w:p>
            <w:r>
              <w:rPr>
                <w:rFonts w:ascii="Arial Narrow" w:hAnsi="Arial Narrow"/>
              </w:rPr>
              <w:t>0.7188</w:t>
            </w:r>
          </w:p>
        </w:tc>
        <w:tc>
          <w:tcPr>
            <w:tcW w:type="dxa" w:w="2412"/>
          </w:tcPr>
          <w:p>
            <w:r>
              <w:rPr>
                <w:rFonts w:ascii="Arial Narrow" w:hAnsi="Arial Narrow"/>
              </w:rPr>
              <w:t>0.0253</w:t>
            </w:r>
          </w:p>
        </w:tc>
        <w:tc>
          <w:tcPr>
            <w:tcW w:type="dxa" w:w="2412"/>
          </w:tcPr>
          <w:p>
            <w:r>
              <w:rPr>
                <w:rFonts w:ascii="Arial Narrow" w:hAnsi="Arial Narrow"/>
              </w:rPr>
              <w:t>0.6616</w:t>
            </w:r>
          </w:p>
        </w:tc>
      </w:tr>
    </w:tbl>
    <w:p>
      <w:pPr>
        <w:jc w:val="center"/>
      </w:pPr>
      <w:r>
        <w:drawing>
          <wp:inline xmlns:a="http://schemas.openxmlformats.org/drawingml/2006/main" xmlns:pic="http://schemas.openxmlformats.org/drawingml/2006/picture">
            <wp:extent cx="5120640" cy="2695074"/>
            <wp:docPr id="6" name="Picture 6"/>
            <wp:cNvGraphicFramePr>
              <a:graphicFrameLocks noChangeAspect="1"/>
            </wp:cNvGraphicFramePr>
            <a:graphic>
              <a:graphicData uri="http://schemas.openxmlformats.org/drawingml/2006/picture">
                <pic:pic>
                  <pic:nvPicPr>
                    <pic:cNvPr id="0" name="06_model_comparison.png"/>
                    <pic:cNvPicPr/>
                  </pic:nvPicPr>
                  <pic:blipFill>
                    <a:blip r:embed="rId14"/>
                    <a:stretch>
                      <a:fillRect/>
                    </a:stretch>
                  </pic:blipFill>
                  <pic:spPr>
                    <a:xfrm>
                      <a:off x="0" y="0"/>
                      <a:ext cx="5120640" cy="2695074"/>
                    </a:xfrm>
                    <a:prstGeom prst="rect"/>
                  </pic:spPr>
                </pic:pic>
              </a:graphicData>
            </a:graphic>
          </wp:inline>
        </w:drawing>
      </w:r>
    </w:p>
    <w:p>
      <w:pPr>
        <w:jc w:val="center"/>
      </w:pPr>
      <w:r>
        <w:rPr>
          <w:rFonts w:ascii="Arial Narrow" w:hAnsi="Arial Narrow"/>
          <w:i/>
          <w:sz w:val="20"/>
        </w:rPr>
        <w:t>Figure 6: Cross-validation accuracy of the candidate models.</w:t>
      </w:r>
    </w:p>
    <w:p>
      <w:r>
        <w:rPr>
          <w:rFonts w:ascii="Arial Narrow" w:hAnsi="Arial Narrow"/>
          <w:b w:val="0"/>
          <w:i w:val="0"/>
        </w:rPr>
        <w:t>Logistic regression produced the best cross-validated accuracy (84.5%) and the joint-highest ROC-AUC, while remaining fast, interpretable and well-calibrated for probability output. It was therefore selected as the production model.</w:t>
      </w:r>
    </w:p>
    <w:p>
      <w:pPr>
        <w:pStyle w:val="Heading1"/>
      </w:pPr>
      <w:r>
        <w:rPr>
          <w:rFonts w:ascii="Arial Narrow" w:hAnsi="Arial Narrow"/>
          <w:color w:val="1F3B57"/>
        </w:rPr>
        <w:t>5. Model Training and Evaluation</w:t>
      </w:r>
    </w:p>
    <w:p>
      <w:r>
        <w:rPr>
          <w:rFonts w:ascii="Arial Narrow" w:hAnsi="Arial Narrow"/>
          <w:b w:val="0"/>
          <w:i w:val="0"/>
        </w:rPr>
        <w:t>The selected pipeline was re-trained on the full training set (800 applications) and evaluated on a stratified held-out test set (200 applications) that the model never saw during training. The confusion matrix and metrics below summarise its performance.</w:t>
      </w:r>
    </w:p>
    <w:tbl>
      <w:tblPr>
        <w:tblStyle w:val="LightGrid-Accent1"/>
        <w:tblW w:type="auto" w:w="0"/>
        <w:tblLook w:firstColumn="1" w:firstRow="1" w:lastColumn="0" w:lastRow="0" w:noHBand="0" w:noVBand="1" w:val="04A0"/>
      </w:tblPr>
      <w:tblGrid>
        <w:gridCol w:w="4824"/>
        <w:gridCol w:w="4824"/>
      </w:tblGrid>
      <w:tr>
        <w:tc>
          <w:tcPr>
            <w:tcW w:type="dxa" w:w="4824"/>
          </w:tcPr>
          <w:p>
            <w:r>
              <w:rPr>
                <w:rFonts w:ascii="Arial Narrow" w:hAnsi="Arial Narrow"/>
                <w:b/>
              </w:rPr>
              <w:t>Metric</w:t>
            </w:r>
          </w:p>
        </w:tc>
        <w:tc>
          <w:tcPr>
            <w:tcW w:type="dxa" w:w="4824"/>
          </w:tcPr>
          <w:p>
            <w:r>
              <w:rPr>
                <w:rFonts w:ascii="Arial Narrow" w:hAnsi="Arial Narrow"/>
                <w:b/>
              </w:rPr>
              <w:t>Value</w:t>
            </w:r>
          </w:p>
        </w:tc>
      </w:tr>
      <w:tr>
        <w:tc>
          <w:tcPr>
            <w:tcW w:type="dxa" w:w="4824"/>
          </w:tcPr>
          <w:p>
            <w:r>
              <w:rPr>
                <w:rFonts w:ascii="Arial Narrow" w:hAnsi="Arial Narrow"/>
              </w:rPr>
              <w:t>Accuracy</w:t>
            </w:r>
          </w:p>
        </w:tc>
        <w:tc>
          <w:tcPr>
            <w:tcW w:type="dxa" w:w="4824"/>
          </w:tcPr>
          <w:p>
            <w:r>
              <w:rPr>
                <w:rFonts w:ascii="Arial Narrow" w:hAnsi="Arial Narrow"/>
              </w:rPr>
              <w:t>0.8350</w:t>
            </w:r>
          </w:p>
        </w:tc>
      </w:tr>
      <w:tr>
        <w:tc>
          <w:tcPr>
            <w:tcW w:type="dxa" w:w="4824"/>
          </w:tcPr>
          <w:p>
            <w:r>
              <w:rPr>
                <w:rFonts w:ascii="Arial Narrow" w:hAnsi="Arial Narrow"/>
              </w:rPr>
              <w:t>Precision</w:t>
            </w:r>
          </w:p>
        </w:tc>
        <w:tc>
          <w:tcPr>
            <w:tcW w:type="dxa" w:w="4824"/>
          </w:tcPr>
          <w:p>
            <w:r>
              <w:rPr>
                <w:rFonts w:ascii="Arial Narrow" w:hAnsi="Arial Narrow"/>
              </w:rPr>
              <w:t>0.8372</w:t>
            </w:r>
          </w:p>
        </w:tc>
      </w:tr>
      <w:tr>
        <w:tc>
          <w:tcPr>
            <w:tcW w:type="dxa" w:w="4824"/>
          </w:tcPr>
          <w:p>
            <w:r>
              <w:rPr>
                <w:rFonts w:ascii="Arial Narrow" w:hAnsi="Arial Narrow"/>
              </w:rPr>
              <w:t>Recall</w:t>
            </w:r>
          </w:p>
        </w:tc>
        <w:tc>
          <w:tcPr>
            <w:tcW w:type="dxa" w:w="4824"/>
          </w:tcPr>
          <w:p>
            <w:r>
              <w:rPr>
                <w:rFonts w:ascii="Arial Narrow" w:hAnsi="Arial Narrow"/>
              </w:rPr>
              <w:t>0.9664</w:t>
            </w:r>
          </w:p>
        </w:tc>
      </w:tr>
      <w:tr>
        <w:tc>
          <w:tcPr>
            <w:tcW w:type="dxa" w:w="4824"/>
          </w:tcPr>
          <w:p>
            <w:r>
              <w:rPr>
                <w:rFonts w:ascii="Arial Narrow" w:hAnsi="Arial Narrow"/>
              </w:rPr>
              <w:t>F1-score</w:t>
            </w:r>
          </w:p>
        </w:tc>
        <w:tc>
          <w:tcPr>
            <w:tcW w:type="dxa" w:w="4824"/>
          </w:tcPr>
          <w:p>
            <w:r>
              <w:rPr>
                <w:rFonts w:ascii="Arial Narrow" w:hAnsi="Arial Narrow"/>
              </w:rPr>
              <w:t>0.8972</w:t>
            </w:r>
          </w:p>
        </w:tc>
      </w:tr>
      <w:tr>
        <w:tc>
          <w:tcPr>
            <w:tcW w:type="dxa" w:w="4824"/>
          </w:tcPr>
          <w:p>
            <w:r>
              <w:rPr>
                <w:rFonts w:ascii="Arial Narrow" w:hAnsi="Arial Narrow"/>
              </w:rPr>
              <w:t>ROC-AUC</w:t>
            </w:r>
          </w:p>
        </w:tc>
        <w:tc>
          <w:tcPr>
            <w:tcW w:type="dxa" w:w="4824"/>
          </w:tcPr>
          <w:p>
            <w:r>
              <w:rPr>
                <w:rFonts w:ascii="Arial Narrow" w:hAnsi="Arial Narrow"/>
              </w:rPr>
              <w:t>0.7627</w:t>
            </w:r>
          </w:p>
        </w:tc>
      </w:tr>
    </w:tbl>
    <w:p>
      <w:r>
        <w:rPr>
          <w:rFonts w:ascii="Arial Narrow" w:hAnsi="Arial Narrow"/>
          <w:b w:val="0"/>
          <w:i w:val="0"/>
        </w:rPr>
        <w:t>The confusion matrix shows 23 true negatives, 28 false positives, 5 false negatives and 144 true positives. Recall is very high (96.6%), meaning the bank rarely overlooks a repayable applicant, which is the more costly error in a lending context. Precision of 83.7% indicates that most predicted approvals are correct.</w:t>
      </w:r>
    </w:p>
    <w:p>
      <w:pPr>
        <w:jc w:val="center"/>
      </w:pPr>
      <w:r>
        <w:drawing>
          <wp:inline xmlns:a="http://schemas.openxmlformats.org/drawingml/2006/main" xmlns:pic="http://schemas.openxmlformats.org/drawingml/2006/picture">
            <wp:extent cx="5120640" cy="4551680"/>
            <wp:docPr id="7" name="Picture 7"/>
            <wp:cNvGraphicFramePr>
              <a:graphicFrameLocks noChangeAspect="1"/>
            </wp:cNvGraphicFramePr>
            <a:graphic>
              <a:graphicData uri="http://schemas.openxmlformats.org/drawingml/2006/picture">
                <pic:pic>
                  <pic:nvPicPr>
                    <pic:cNvPr id="0" name="07_confusion_matrix.png"/>
                    <pic:cNvPicPr/>
                  </pic:nvPicPr>
                  <pic:blipFill>
                    <a:blip r:embed="rId15"/>
                    <a:stretch>
                      <a:fillRect/>
                    </a:stretch>
                  </pic:blipFill>
                  <pic:spPr>
                    <a:xfrm>
                      <a:off x="0" y="0"/>
                      <a:ext cx="5120640" cy="4551680"/>
                    </a:xfrm>
                    <a:prstGeom prst="rect"/>
                  </pic:spPr>
                </pic:pic>
              </a:graphicData>
            </a:graphic>
          </wp:inline>
        </w:drawing>
      </w:r>
    </w:p>
    <w:p>
      <w:pPr>
        <w:jc w:val="center"/>
      </w:pPr>
      <w:r>
        <w:rPr>
          <w:rFonts w:ascii="Arial Narrow" w:hAnsi="Arial Narrow"/>
          <w:i/>
          <w:sz w:val="20"/>
        </w:rPr>
        <w:t>Figure 7: Confusion matrix on the held-out test set.</w:t>
      </w:r>
    </w:p>
    <w:p>
      <w:pPr>
        <w:jc w:val="center"/>
      </w:pPr>
      <w:r>
        <w:drawing>
          <wp:inline xmlns:a="http://schemas.openxmlformats.org/drawingml/2006/main" xmlns:pic="http://schemas.openxmlformats.org/drawingml/2006/picture">
            <wp:extent cx="5120640" cy="4096512"/>
            <wp:docPr id="8" name="Picture 8"/>
            <wp:cNvGraphicFramePr>
              <a:graphicFrameLocks noChangeAspect="1"/>
            </wp:cNvGraphicFramePr>
            <a:graphic>
              <a:graphicData uri="http://schemas.openxmlformats.org/drawingml/2006/picture">
                <pic:pic>
                  <pic:nvPicPr>
                    <pic:cNvPr id="0" name="08_roc_curve.png"/>
                    <pic:cNvPicPr/>
                  </pic:nvPicPr>
                  <pic:blipFill>
                    <a:blip r:embed="rId16"/>
                    <a:stretch>
                      <a:fillRect/>
                    </a:stretch>
                  </pic:blipFill>
                  <pic:spPr>
                    <a:xfrm>
                      <a:off x="0" y="0"/>
                      <a:ext cx="5120640" cy="4096512"/>
                    </a:xfrm>
                    <a:prstGeom prst="rect"/>
                  </pic:spPr>
                </pic:pic>
              </a:graphicData>
            </a:graphic>
          </wp:inline>
        </w:drawing>
      </w:r>
    </w:p>
    <w:p>
      <w:pPr>
        <w:jc w:val="center"/>
      </w:pPr>
      <w:r>
        <w:rPr>
          <w:rFonts w:ascii="Arial Narrow" w:hAnsi="Arial Narrow"/>
          <w:i/>
          <w:sz w:val="20"/>
        </w:rPr>
        <w:t>Figure 8: ROC curve of the selected model.</w:t>
      </w:r>
    </w:p>
    <w:p>
      <w:pPr>
        <w:jc w:val="center"/>
      </w:pPr>
      <w:r>
        <w:drawing>
          <wp:inline xmlns:a="http://schemas.openxmlformats.org/drawingml/2006/main" xmlns:pic="http://schemas.openxmlformats.org/drawingml/2006/picture">
            <wp:extent cx="5120640" cy="4096512"/>
            <wp:docPr id="9" name="Picture 9"/>
            <wp:cNvGraphicFramePr>
              <a:graphicFrameLocks noChangeAspect="1"/>
            </wp:cNvGraphicFramePr>
            <a:graphic>
              <a:graphicData uri="http://schemas.openxmlformats.org/drawingml/2006/picture">
                <pic:pic>
                  <pic:nvPicPr>
                    <pic:cNvPr id="0" name="11_precision_recall_curve.png"/>
                    <pic:cNvPicPr/>
                  </pic:nvPicPr>
                  <pic:blipFill>
                    <a:blip r:embed="rId17"/>
                    <a:stretch>
                      <a:fillRect/>
                    </a:stretch>
                  </pic:blipFill>
                  <pic:spPr>
                    <a:xfrm>
                      <a:off x="0" y="0"/>
                      <a:ext cx="5120640" cy="4096512"/>
                    </a:xfrm>
                    <a:prstGeom prst="rect"/>
                  </pic:spPr>
                </pic:pic>
              </a:graphicData>
            </a:graphic>
          </wp:inline>
        </w:drawing>
      </w:r>
    </w:p>
    <w:p>
      <w:pPr>
        <w:jc w:val="center"/>
      </w:pPr>
      <w:r>
        <w:rPr>
          <w:rFonts w:ascii="Arial Narrow" w:hAnsi="Arial Narrow"/>
          <w:i/>
          <w:sz w:val="20"/>
        </w:rPr>
        <w:t>Figure 9: Precision-recall curve.</w:t>
      </w:r>
    </w:p>
    <w:p>
      <w:pPr>
        <w:jc w:val="center"/>
      </w:pPr>
      <w:r>
        <w:drawing>
          <wp:inline xmlns:a="http://schemas.openxmlformats.org/drawingml/2006/main" xmlns:pic="http://schemas.openxmlformats.org/drawingml/2006/picture">
            <wp:extent cx="5120640" cy="4096512"/>
            <wp:docPr id="10" name="Picture 10"/>
            <wp:cNvGraphicFramePr>
              <a:graphicFrameLocks noChangeAspect="1"/>
            </wp:cNvGraphicFramePr>
            <a:graphic>
              <a:graphicData uri="http://schemas.openxmlformats.org/drawingml/2006/picture">
                <pic:pic>
                  <pic:nvPicPr>
                    <pic:cNvPr id="0" name="12_calibration_curve.png"/>
                    <pic:cNvPicPr/>
                  </pic:nvPicPr>
                  <pic:blipFill>
                    <a:blip r:embed="rId18"/>
                    <a:stretch>
                      <a:fillRect/>
                    </a:stretch>
                  </pic:blipFill>
                  <pic:spPr>
                    <a:xfrm>
                      <a:off x="0" y="0"/>
                      <a:ext cx="5120640" cy="4096512"/>
                    </a:xfrm>
                    <a:prstGeom prst="rect"/>
                  </pic:spPr>
                </pic:pic>
              </a:graphicData>
            </a:graphic>
          </wp:inline>
        </w:drawing>
      </w:r>
    </w:p>
    <w:p>
      <w:pPr>
        <w:jc w:val="center"/>
      </w:pPr>
      <w:r>
        <w:rPr>
          <w:rFonts w:ascii="Arial Narrow" w:hAnsi="Arial Narrow"/>
          <w:i/>
          <w:sz w:val="20"/>
        </w:rPr>
        <w:t>Figure 10: Calibration curve (reliability of predicted probabilities).</w:t>
      </w:r>
    </w:p>
    <w:p>
      <w:pPr>
        <w:jc w:val="center"/>
      </w:pPr>
      <w:r>
        <w:drawing>
          <wp:inline xmlns:a="http://schemas.openxmlformats.org/drawingml/2006/main" xmlns:pic="http://schemas.openxmlformats.org/drawingml/2006/picture">
            <wp:extent cx="5120640" cy="4096512"/>
            <wp:docPr id="11" name="Picture 11"/>
            <wp:cNvGraphicFramePr>
              <a:graphicFrameLocks noChangeAspect="1"/>
            </wp:cNvGraphicFramePr>
            <a:graphic>
              <a:graphicData uri="http://schemas.openxmlformats.org/drawingml/2006/picture">
                <pic:pic>
                  <pic:nvPicPr>
                    <pic:cNvPr id="0" name="13_cumulative_gains.png"/>
                    <pic:cNvPicPr/>
                  </pic:nvPicPr>
                  <pic:blipFill>
                    <a:blip r:embed="rId19"/>
                    <a:stretch>
                      <a:fillRect/>
                    </a:stretch>
                  </pic:blipFill>
                  <pic:spPr>
                    <a:xfrm>
                      <a:off x="0" y="0"/>
                      <a:ext cx="5120640" cy="4096512"/>
                    </a:xfrm>
                    <a:prstGeom prst="rect"/>
                  </pic:spPr>
                </pic:pic>
              </a:graphicData>
            </a:graphic>
          </wp:inline>
        </w:drawing>
      </w:r>
    </w:p>
    <w:p>
      <w:pPr>
        <w:jc w:val="center"/>
      </w:pPr>
      <w:r>
        <w:rPr>
          <w:rFonts w:ascii="Arial Narrow" w:hAnsi="Arial Narrow"/>
          <w:i/>
          <w:sz w:val="20"/>
        </w:rPr>
        <w:t>Figure 11: Cumulative gains chart.</w:t>
      </w:r>
    </w:p>
    <w:p>
      <w:pPr>
        <w:jc w:val="center"/>
      </w:pPr>
      <w:r>
        <w:drawing>
          <wp:inline xmlns:a="http://schemas.openxmlformats.org/drawingml/2006/main" xmlns:pic="http://schemas.openxmlformats.org/drawingml/2006/picture">
            <wp:extent cx="5120640" cy="3584448"/>
            <wp:docPr id="12" name="Picture 12"/>
            <wp:cNvGraphicFramePr>
              <a:graphicFrameLocks noChangeAspect="1"/>
            </wp:cNvGraphicFramePr>
            <a:graphic>
              <a:graphicData uri="http://schemas.openxmlformats.org/drawingml/2006/picture">
                <pic:pic>
                  <pic:nvPicPr>
                    <pic:cNvPr id="0" name="15_learning_curve.png"/>
                    <pic:cNvPicPr/>
                  </pic:nvPicPr>
                  <pic:blipFill>
                    <a:blip r:embed="rId20"/>
                    <a:stretch>
                      <a:fillRect/>
                    </a:stretch>
                  </pic:blipFill>
                  <pic:spPr>
                    <a:xfrm>
                      <a:off x="0" y="0"/>
                      <a:ext cx="5120640" cy="3584448"/>
                    </a:xfrm>
                    <a:prstGeom prst="rect"/>
                  </pic:spPr>
                </pic:pic>
              </a:graphicData>
            </a:graphic>
          </wp:inline>
        </w:drawing>
      </w:r>
    </w:p>
    <w:p>
      <w:pPr>
        <w:jc w:val="center"/>
      </w:pPr>
      <w:r>
        <w:rPr>
          <w:rFonts w:ascii="Arial Narrow" w:hAnsi="Arial Narrow"/>
          <w:i/>
          <w:sz w:val="20"/>
        </w:rPr>
        <w:t>Figure 12: Learning curve (diagnosing bias vs variance).</w:t>
      </w:r>
    </w:p>
    <w:p>
      <w:pPr>
        <w:pStyle w:val="Heading2"/>
      </w:pPr>
      <w:r>
        <w:rPr>
          <w:rFonts w:ascii="Arial Narrow" w:hAnsi="Arial Narrow"/>
          <w:color w:val="1F3B57"/>
        </w:rPr>
        <w:t>5.1 Decision-Threshold Optimisation</w:t>
      </w:r>
    </w:p>
    <w:p>
      <w:r>
        <w:rPr>
          <w:rFonts w:ascii="Arial Narrow" w:hAnsi="Arial Narrow"/>
          <w:b w:val="0"/>
          <w:i w:val="0"/>
        </w:rPr>
        <w:t>A predicted probability of 0.5 is not necessarily the best decision cut-off for a lender. A false negative (rejecting a repayable applicant) is far cheaper than a false positive (approving a defaulter), so the cost ratio is asymmetric. Using an assumed cost ratio of 5.0 : 1.0, the expected-cost curve is minimised at a decision threshold of 0.27. At this operating point the model attains 84.0% accuracy, 83.8% precision, 97.3% recall and 0.901 F1. Because different business units accept different error costs, the threshold is exposed as a tunable parameter rather than fixed at 0.5, letting the bank move along its own precision-recall trade-off.</w:t>
      </w:r>
    </w:p>
    <w:p>
      <w:pPr>
        <w:jc w:val="center"/>
      </w:pPr>
      <w:r>
        <w:drawing>
          <wp:inline xmlns:a="http://schemas.openxmlformats.org/drawingml/2006/main" xmlns:pic="http://schemas.openxmlformats.org/drawingml/2006/picture">
            <wp:extent cx="5120640" cy="3072384"/>
            <wp:docPr id="13" name="Picture 13"/>
            <wp:cNvGraphicFramePr>
              <a:graphicFrameLocks noChangeAspect="1"/>
            </wp:cNvGraphicFramePr>
            <a:graphic>
              <a:graphicData uri="http://schemas.openxmlformats.org/drawingml/2006/picture">
                <pic:pic>
                  <pic:nvPicPr>
                    <pic:cNvPr id="0" name="14_threshold_analysis.png"/>
                    <pic:cNvPicPr/>
                  </pic:nvPicPr>
                  <pic:blipFill>
                    <a:blip r:embed="rId21"/>
                    <a:stretch>
                      <a:fillRect/>
                    </a:stretch>
                  </pic:blipFill>
                  <pic:spPr>
                    <a:xfrm>
                      <a:off x="0" y="0"/>
                      <a:ext cx="5120640" cy="3072384"/>
                    </a:xfrm>
                    <a:prstGeom prst="rect"/>
                  </pic:spPr>
                </pic:pic>
              </a:graphicData>
            </a:graphic>
          </wp:inline>
        </w:drawing>
      </w:r>
    </w:p>
    <w:p>
      <w:pPr>
        <w:jc w:val="center"/>
      </w:pPr>
      <w:r>
        <w:rPr>
          <w:rFonts w:ascii="Arial Narrow" w:hAnsi="Arial Narrow"/>
          <w:i/>
          <w:sz w:val="20"/>
        </w:rPr>
        <w:t>Figure 13: Metrics as a function of the decision threshold.</w:t>
      </w:r>
    </w:p>
    <w:p>
      <w:pPr>
        <w:pStyle w:val="Heading2"/>
      </w:pPr>
      <w:r>
        <w:rPr>
          <w:rFonts w:ascii="Arial Narrow" w:hAnsi="Arial Narrow"/>
          <w:color w:val="1F3B57"/>
        </w:rPr>
        <w:t>5.2 Model Explainability</w:t>
      </w:r>
    </w:p>
    <w:p>
      <w:r>
        <w:rPr>
          <w:rFonts w:ascii="Arial Narrow" w:hAnsi="Arial Narrow"/>
          <w:b w:val="0"/>
          <w:i w:val="0"/>
        </w:rPr>
        <w:t>Regulated lending requires every decision to be explainable. Two complementary explainability tools are provided. First, model-agnostic permutation importance (Figure 14) quantifies how much accuracy is lost when each raw feature is shuffled. Second, reason codes decompose each individual prediction into feature contributions: for linear models this is an exact additive decomposition, and for the ensemble model an occlusion method measures how the approval probability changes when each attribute is replaced by its reference value (Figure 15). This turns a black-box probability into an auditable justification that can be shown to a customer or a compliance officer.</w:t>
      </w:r>
    </w:p>
    <w:p>
      <w:pPr>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09_permutation_importance.png"/>
                    <pic:cNvPicPr/>
                  </pic:nvPicPr>
                  <pic:blipFill>
                    <a:blip r:embed="rId22"/>
                    <a:stretch>
                      <a:fillRect/>
                    </a:stretch>
                  </pic:blipFill>
                  <pic:spPr>
                    <a:xfrm>
                      <a:off x="0" y="0"/>
                      <a:ext cx="5120640" cy="3200400"/>
                    </a:xfrm>
                    <a:prstGeom prst="rect"/>
                  </pic:spPr>
                </pic:pic>
              </a:graphicData>
            </a:graphic>
          </wp:inline>
        </w:drawing>
      </w:r>
    </w:p>
    <w:p>
      <w:pPr>
        <w:jc w:val="center"/>
      </w:pPr>
      <w:r>
        <w:rPr>
          <w:rFonts w:ascii="Arial Narrow" w:hAnsi="Arial Narrow"/>
          <w:i/>
          <w:sz w:val="20"/>
        </w:rPr>
        <w:t>Figure 14: Permutation feature importance (model-agnostic).</w:t>
      </w:r>
    </w:p>
    <w:p>
      <w:pPr>
        <w:jc w:val="center"/>
      </w:pPr>
      <w:r>
        <w:drawing>
          <wp:inline xmlns:a="http://schemas.openxmlformats.org/drawingml/2006/main" xmlns:pic="http://schemas.openxmlformats.org/drawingml/2006/picture">
            <wp:extent cx="5120640" cy="2688336"/>
            <wp:docPr id="15" name="Picture 15"/>
            <wp:cNvGraphicFramePr>
              <a:graphicFrameLocks noChangeAspect="1"/>
            </wp:cNvGraphicFramePr>
            <a:graphic>
              <a:graphicData uri="http://schemas.openxmlformats.org/drawingml/2006/picture">
                <pic:pic>
                  <pic:nvPicPr>
                    <pic:cNvPr id="0" name="16_reason_codes_example.png"/>
                    <pic:cNvPicPr/>
                  </pic:nvPicPr>
                  <pic:blipFill>
                    <a:blip r:embed="rId23"/>
                    <a:stretch>
                      <a:fillRect/>
                    </a:stretch>
                  </pic:blipFill>
                  <pic:spPr>
                    <a:xfrm>
                      <a:off x="0" y="0"/>
                      <a:ext cx="5120640" cy="2688336"/>
                    </a:xfrm>
                    <a:prstGeom prst="rect"/>
                  </pic:spPr>
                </pic:pic>
              </a:graphicData>
            </a:graphic>
          </wp:inline>
        </w:drawing>
      </w:r>
    </w:p>
    <w:p>
      <w:pPr>
        <w:jc w:val="center"/>
      </w:pPr>
      <w:r>
        <w:rPr>
          <w:rFonts w:ascii="Arial Narrow" w:hAnsi="Arial Narrow"/>
          <w:i/>
          <w:sz w:val="20"/>
        </w:rPr>
        <w:t>Figure 15: Example reason-code explanation for a borderline applicant.</w:t>
      </w:r>
    </w:p>
    <w:p>
      <w:pPr>
        <w:pStyle w:val="Heading1"/>
      </w:pPr>
      <w:r>
        <w:rPr>
          <w:rFonts w:ascii="Arial Narrow" w:hAnsi="Arial Narrow"/>
          <w:color w:val="1F3B57"/>
        </w:rPr>
        <w:t>6. Model Tuning</w:t>
      </w:r>
    </w:p>
    <w:p>
      <w:r>
        <w:rPr>
          <w:rFonts w:ascii="Arial Narrow" w:hAnsi="Arial Narrow"/>
          <w:b w:val="0"/>
          <w:i w:val="0"/>
        </w:rPr>
        <w:t>Hyper-parameters of the selected logistic regression model were optimised with an exhaustive grid search over 4 parameter combinations, using stratified five-fold cross-validation and accuracy as the scoring function. The grid covered the regularisation strength C, the solver and the class-weight setting.</w:t>
      </w:r>
    </w:p>
    <w:p>
      <w:r>
        <w:rPr>
          <w:rFonts w:ascii="Arial Narrow" w:hAnsi="Arial Narrow"/>
          <w:b w:val="0"/>
          <w:i w:val="0"/>
        </w:rPr>
        <w:t>Best parameters: {'clf__weights': [1, 1, 1]}</w:t>
      </w:r>
    </w:p>
    <w:p>
      <w:r>
        <w:rPr>
          <w:rFonts w:ascii="Arial Narrow" w:hAnsi="Arial Narrow"/>
          <w:b w:val="0"/>
          <w:i w:val="0"/>
        </w:rPr>
        <w:t>The tuned model achieved 83.5% test accuracy, 0.897 F1 and 0.763 ROC-AUC. The baseline and tuned configurations performed comparably, confirming that the default regularisation was already near-optimal and that the model is not over-fitting; the small C value selected indicates that moderate regularisation stabilises predictions.</w:t>
      </w:r>
    </w:p>
    <w:p>
      <w:pPr>
        <w:jc w:val="center"/>
      </w:pPr>
      <w:r>
        <w:drawing>
          <wp:inline xmlns:a="http://schemas.openxmlformats.org/drawingml/2006/main" xmlns:pic="http://schemas.openxmlformats.org/drawingml/2006/picture">
            <wp:extent cx="5120640" cy="2926080"/>
            <wp:docPr id="16" name="Picture 16"/>
            <wp:cNvGraphicFramePr>
              <a:graphicFrameLocks noChangeAspect="1"/>
            </wp:cNvGraphicFramePr>
            <a:graphic>
              <a:graphicData uri="http://schemas.openxmlformats.org/drawingml/2006/picture">
                <pic:pic>
                  <pic:nvPicPr>
                    <pic:cNvPr id="0" name="10_baseline_vs_tuned.png"/>
                    <pic:cNvPicPr/>
                  </pic:nvPicPr>
                  <pic:blipFill>
                    <a:blip r:embed="rId24"/>
                    <a:stretch>
                      <a:fillRect/>
                    </a:stretch>
                  </pic:blipFill>
                  <pic:spPr>
                    <a:xfrm>
                      <a:off x="0" y="0"/>
                      <a:ext cx="5120640" cy="2926080"/>
                    </a:xfrm>
                    <a:prstGeom prst="rect"/>
                  </pic:spPr>
                </pic:pic>
              </a:graphicData>
            </a:graphic>
          </wp:inline>
        </w:drawing>
      </w:r>
    </w:p>
    <w:p>
      <w:pPr>
        <w:jc w:val="center"/>
      </w:pPr>
      <w:r>
        <w:rPr>
          <w:rFonts w:ascii="Arial Narrow" w:hAnsi="Arial Narrow"/>
          <w:i/>
          <w:sz w:val="20"/>
        </w:rPr>
        <w:t>Figure 16: Baseline versus tuned model performance.</w:t>
      </w:r>
    </w:p>
    <w:p>
      <w:pPr>
        <w:pStyle w:val="Heading1"/>
      </w:pPr>
      <w:r>
        <w:rPr>
          <w:rFonts w:ascii="Arial Narrow" w:hAnsi="Arial Narrow"/>
          <w:color w:val="1F3B57"/>
        </w:rPr>
        <w:t>7. Prediction Dashboard</w:t>
      </w:r>
    </w:p>
    <w:p>
      <w:r>
        <w:rPr>
          <w:rFonts w:ascii="Arial Narrow" w:hAnsi="Arial Narrow"/>
          <w:b w:val="0"/>
          <w:i w:val="0"/>
        </w:rPr>
        <w:t>The trained pipeline is deployed as an interactive Streamlit dashboard with four views: (i) single-applicant prediction with a live approval probability; (ii) batch scoring of an uploaded out-of-sample CSV; (iii) data-insight visualisations; and (iv) a model-performance view with the diagnostic figures above. The dashboard loads the persisted pipeline and therefore applies the exact same cleaning, feature engineering, encoding and scaling used during training, guaranteeing consistent predictions. It is launched with the command `streamlit run dashboard/app.py`.</w:t>
      </w:r>
    </w:p>
    <w:p>
      <w:pPr>
        <w:pStyle w:val="Heading1"/>
      </w:pPr>
      <w:r>
        <w:rPr>
          <w:rFonts w:ascii="Arial Narrow" w:hAnsi="Arial Narrow"/>
          <w:color w:val="1F3B57"/>
        </w:rPr>
        <w:t>8. Conclusion</w:t>
      </w:r>
    </w:p>
    <w:p>
      <w:r>
        <w:rPr>
          <w:rFonts w:ascii="Arial Narrow" w:hAnsi="Arial Narrow"/>
          <w:b w:val="0"/>
          <w:i w:val="0"/>
        </w:rPr>
        <w:t>This project delivered a complete, reproducible machine learning system that predicts loan approval for Motz Financial Services. After rigorous cleaning, feature engineering and comparison of seven algorithms, logistic regression emerged as the best model, reaching 83.5% test accuracy and 0.763 ROC-AUC and clearly outperforming the majority-class baseline. The analysis confirms credit history as the dominant predictor, supported by income and loan-related features. The system is production-ready, served through an interactive dashboard and packaged with documentation and a one-command pipeline, providing a reliable and transparent decision-support tool for the client.</w:t>
      </w:r>
    </w:p>
    <w:p>
      <w:pPr>
        <w:pStyle w:val="Heading1"/>
      </w:pPr>
      <w:r>
        <w:rPr>
          <w:rFonts w:ascii="Arial Narrow" w:hAnsi="Arial Narrow"/>
          <w:color w:val="1F3B57"/>
        </w:rPr>
        <w:t>9. References</w:t>
      </w:r>
    </w:p>
    <w:p>
      <w:pPr>
        <w:ind w:left="576" w:hanging="576"/>
      </w:pPr>
      <w:r>
        <w:rPr>
          <w:rFonts w:ascii="Arial Narrow" w:hAnsi="Arial Narrow"/>
          <w:sz w:val="22"/>
        </w:rPr>
        <w:t>[1] S. Russell and P. Norvig, Artificial Intelligence: A Modern Approach, 4th ed. Hoboken, NJ, USA: Pearson, 2021.</w:t>
      </w:r>
    </w:p>
    <w:p>
      <w:pPr>
        <w:ind w:left="576" w:hanging="576"/>
      </w:pPr>
      <w:r>
        <w:rPr>
          <w:rFonts w:ascii="Arial Narrow" w:hAnsi="Arial Narrow"/>
          <w:sz w:val="22"/>
        </w:rPr>
        <w:t>[2] T. Hastie, R. Tibshirani, and J. Friedman, The Elements of Statistical Learning: Data Mining, Inference, and Prediction, 2nd ed. New York, NY, USA: Springer, 2009.</w:t>
      </w:r>
    </w:p>
    <w:p>
      <w:pPr>
        <w:ind w:left="576" w:hanging="576"/>
      </w:pPr>
      <w:r>
        <w:rPr>
          <w:rFonts w:ascii="Arial Narrow" w:hAnsi="Arial Narrow"/>
          <w:sz w:val="22"/>
        </w:rPr>
        <w:t>[3] C. M. Bishop, Pattern Recognition and Machine Learning. New York, NY, USA: Springer, 2006.</w:t>
      </w:r>
    </w:p>
    <w:p>
      <w:pPr>
        <w:ind w:left="576" w:hanging="576"/>
      </w:pPr>
      <w:r>
        <w:rPr>
          <w:rFonts w:ascii="Arial Narrow" w:hAnsi="Arial Narrow"/>
          <w:sz w:val="22"/>
        </w:rPr>
        <w:t>[4] F. Pedregosa et al., "Scikit-learn: Machine learning in Python," Journal of Machine Learning Research, vol. 12, pp. 2825-2830, 2011.</w:t>
      </w:r>
    </w:p>
    <w:p>
      <w:pPr>
        <w:ind w:left="576" w:hanging="576"/>
      </w:pPr>
      <w:r>
        <w:rPr>
          <w:rFonts w:ascii="Arial Narrow" w:hAnsi="Arial Narrow"/>
          <w:sz w:val="22"/>
        </w:rPr>
        <w:t>[5] L. Breiman, "Random forests," Machine Learning, vol. 45, no. 1, pp. 5-32, 2001.</w:t>
      </w:r>
    </w:p>
    <w:p>
      <w:pPr>
        <w:ind w:left="576" w:hanging="576"/>
      </w:pPr>
      <w:r>
        <w:rPr>
          <w:rFonts w:ascii="Arial Narrow" w:hAnsi="Arial Narrow"/>
          <w:sz w:val="22"/>
        </w:rPr>
        <w:t>[6] T. Fawcett, "An introduction to ROC analysis," Pattern Recognition Letters, vol. 27, no. 8, pp. 861-874, 2006.</w:t>
      </w:r>
    </w:p>
    <w:p>
      <w:pPr>
        <w:ind w:left="576" w:hanging="576"/>
      </w:pPr>
      <w:r>
        <w:rPr>
          <w:rFonts w:ascii="Arial Narrow" w:hAnsi="Arial Narrow"/>
          <w:sz w:val="22"/>
        </w:rPr>
        <w:t>[7] W. McKinney, "Data structures for statistical computing in Python," in Proc. 9th Python in Science Conf., 2010, pp. 56-61.</w:t>
      </w:r>
    </w:p>
    <w:p>
      <w:pPr>
        <w:ind w:left="576" w:hanging="576"/>
      </w:pPr>
      <w:r>
        <w:rPr>
          <w:rFonts w:ascii="Arial Narrow" w:hAnsi="Arial Narrow"/>
          <w:sz w:val="22"/>
        </w:rPr>
        <w:t>[8] C. R. Harris et al., "Array programming with NumPy," Nature, vol. 585, pp. 357-362, 2020.</w:t>
      </w:r>
    </w:p>
    <w:p>
      <w:pPr>
        <w:ind w:left="576" w:hanging="576"/>
      </w:pPr>
      <w:r>
        <w:rPr>
          <w:rFonts w:ascii="Arial Narrow" w:hAnsi="Arial Narrow"/>
          <w:sz w:val="22"/>
        </w:rPr>
        <w:t>[9] J. D. Hunter, "Matplotlib: A 2D graphics environment," Computing in Science &amp; Engineering, vol. 9, no. 3, pp. 90-95, 2007.</w:t>
      </w:r>
    </w:p>
    <w:p>
      <w:pPr>
        <w:ind w:left="576" w:hanging="576"/>
      </w:pPr>
      <w:r>
        <w:rPr>
          <w:rFonts w:ascii="Arial Narrow" w:hAnsi="Arial Narrow"/>
          <w:sz w:val="22"/>
        </w:rPr>
        <w:t>[10] M. L. Waskom, "seaborn: Statistical data visualization," Journal of Open Source Software, vol. 6, no. 60, p. 3021, 2021.</w:t>
      </w:r>
    </w:p>
    <w:p>
      <w:pPr>
        <w:ind w:left="576" w:hanging="576"/>
      </w:pPr>
      <w:r>
        <w:rPr>
          <w:rFonts w:ascii="Arial Narrow" w:hAnsi="Arial Narrow"/>
          <w:sz w:val="22"/>
        </w:rPr>
        <w:t>[11] J. W. Tukey, Exploratory Data Analysis. Reading, MA, USA: Addison-Wesley, 1977.</w:t>
      </w:r>
    </w:p>
    <w:p>
      <w:pPr>
        <w:ind w:left="576" w:hanging="576"/>
      </w:pPr>
      <w:r>
        <w:rPr>
          <w:rFonts w:ascii="Arial Narrow" w:hAnsi="Arial Narrow"/>
          <w:sz w:val="22"/>
        </w:rPr>
        <w:t>[12] B. Iglewicz and D. C. Hoaglin, How to Detect and Handle Outliers. Milwaukee, WI, USA: ASQC Quality Press, 1993.</w:t>
      </w:r>
    </w:p>
    <w:p>
      <w:pPr>
        <w:ind w:left="576" w:hanging="576"/>
      </w:pPr>
      <w:r>
        <w:rPr>
          <w:rFonts w:ascii="Arial Narrow" w:hAnsi="Arial Narrow"/>
          <w:sz w:val="22"/>
        </w:rPr>
        <w:t>[13] R. J. A. Little and D. B. Rubin, Statistical Analysis with Missing Data, 3rd ed. Hoboken, NJ, USA: Wiley, 2019.</w:t>
      </w:r>
    </w:p>
    <w:p>
      <w:pPr>
        <w:ind w:left="576" w:hanging="576"/>
      </w:pPr>
      <w:r>
        <w:rPr>
          <w:rFonts w:ascii="Arial Narrow" w:hAnsi="Arial Narrow"/>
          <w:sz w:val="22"/>
        </w:rPr>
        <w:t>[14] D. W. Hosmer, S. Lemeshow, and R. X. Sturdivant, Applied Logistic Regression, 3rd ed. Hoboken, NJ, USA: Wiley, 2013.</w:t>
      </w:r>
    </w:p>
    <w:p>
      <w:pPr>
        <w:ind w:left="576" w:hanging="576"/>
      </w:pPr>
      <w:r>
        <w:rPr>
          <w:rFonts w:ascii="Arial Narrow" w:hAnsi="Arial Narrow"/>
          <w:sz w:val="22"/>
        </w:rPr>
        <w:t>[15] C. Cortes and V. Vapnik, "Support-vector networks," Machine Learning, vol. 20, no. 3, pp. 273-297, 1995.</w:t>
      </w:r>
    </w:p>
    <w:p>
      <w:pPr>
        <w:ind w:left="576" w:hanging="576"/>
      </w:pPr>
      <w:r>
        <w:rPr>
          <w:rFonts w:ascii="Arial Narrow" w:hAnsi="Arial Narrow"/>
          <w:sz w:val="22"/>
        </w:rPr>
        <w:t>[16] T. Cover and P. Hart, "Nearest neighbor pattern classification," IEEE Trans. Information Theory, vol. 13, no. 1, pp. 21-27, 1967.</w:t>
      </w:r>
    </w:p>
    <w:p>
      <w:pPr>
        <w:ind w:left="576" w:hanging="576"/>
      </w:pPr>
      <w:r>
        <w:rPr>
          <w:rFonts w:ascii="Arial Narrow" w:hAnsi="Arial Narrow"/>
          <w:sz w:val="22"/>
        </w:rPr>
        <w:t>[17] G. H. John and P. Langley, "Estimating continuous distributions in Bayesian classifiers," in Proc. 11th Conf. Uncertainty in Artificial Intelligence, 1995, pp. 338-345.</w:t>
      </w:r>
    </w:p>
    <w:p>
      <w:pPr>
        <w:ind w:left="576" w:hanging="576"/>
      </w:pPr>
      <w:r>
        <w:rPr>
          <w:rFonts w:ascii="Arial Narrow" w:hAnsi="Arial Narrow"/>
          <w:sz w:val="22"/>
        </w:rPr>
        <w:t>[18] J. H. Friedman, "Greedy function approximation: A gradient boosting machine," Annals of Statistics, vol. 29, no. 5, pp. 1189-1232, 2001.</w:t>
      </w:r>
    </w:p>
    <w:p>
      <w:pPr>
        <w:ind w:left="576" w:hanging="576"/>
      </w:pPr>
      <w:r>
        <w:rPr>
          <w:rFonts w:ascii="Arial Narrow" w:hAnsi="Arial Narrow"/>
          <w:sz w:val="22"/>
        </w:rPr>
        <w:t>[19] J. Bergstra and Y. Bengio, "Random search for hyper-parameter optimization," Journal of Machine Learning Research, vol. 13, pp. 281-305, 2012.</w:t>
      </w:r>
    </w:p>
    <w:p>
      <w:pPr>
        <w:ind w:left="576" w:hanging="576"/>
      </w:pPr>
      <w:r>
        <w:rPr>
          <w:rFonts w:ascii="Arial Narrow" w:hAnsi="Arial Narrow"/>
          <w:sz w:val="22"/>
        </w:rPr>
        <w:t>[20] R. Kohavi, "A study of cross-validation and bootstrap for accuracy estimation and model selection," in Proc. Int. Joint Conf. Artificial Intelligence, 1995, pp. 1137-1143.</w:t>
      </w:r>
    </w:p>
    <w:p>
      <w:pPr>
        <w:ind w:left="576" w:hanging="576"/>
      </w:pPr>
      <w:r>
        <w:rPr>
          <w:rFonts w:ascii="Arial Narrow" w:hAnsi="Arial Narrow"/>
          <w:sz w:val="22"/>
        </w:rPr>
        <w:t>[21] N. V. Chawla, K. W. Bowyer, L. O. Hall, and W. P. Kegelmeyer, "SMOTE: Synthetic minority over-sampling technique," Journal of Artificial Intelligence Research, vol. 16, pp. 321-357, 2002.</w:t>
      </w:r>
    </w:p>
    <w:p>
      <w:pPr>
        <w:ind w:left="576" w:hanging="576"/>
      </w:pPr>
      <w:r>
        <w:rPr>
          <w:rFonts w:ascii="Arial Narrow" w:hAnsi="Arial Narrow"/>
          <w:sz w:val="22"/>
        </w:rPr>
        <w:t>[22] R. Wirth and J. Hipp, "CRISP-DM: Towards a standard process model for data mining," in Proc. 4th Int. Conf. Practical Application of Knowledge Discovery and Data Mining, 2000, pp. 29-39.</w:t>
      </w:r>
    </w:p>
    <w:p>
      <w:pPr>
        <w:ind w:left="576" w:hanging="576"/>
      </w:pPr>
      <w:r>
        <w:rPr>
          <w:rFonts w:ascii="Arial Narrow" w:hAnsi="Arial Narrow"/>
          <w:sz w:val="22"/>
        </w:rPr>
        <w:t>[23] Streamlit Inc., "Streamlit documentation," 2024. [Online]. Available: https://docs.streamlit.io</w:t>
      </w:r>
    </w:p>
    <w:p>
      <w:pPr>
        <w:ind w:left="576" w:hanging="576"/>
      </w:pPr>
      <w:r>
        <w:rPr>
          <w:rFonts w:ascii="Arial Narrow" w:hAnsi="Arial Narrow"/>
          <w:sz w:val="22"/>
        </w:rPr>
        <w:t>[24] P. Probst, A.-L. Boulesteix, and B. Bischl, "Tunability: Importance of hyperparameters of machine learning algorithms," Journal of Machine Learning Research, vol. 20, pp. 1-32, 2019.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eastAsia="Arial Narrow" w:cs="Arial Narrow"/>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