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=====CS673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X  - Project Name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Tests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7t9hln2vjz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m5odwyvuk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iy9xpvb9o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mtfbusfb0e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5tmymhipvd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8n34lvocupu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87t9hln2vjz0" w:id="0"/>
      <w:bookmarkEnd w:id="0"/>
      <w:r w:rsidDel="00000000" w:rsidR="00000000" w:rsidRPr="00000000">
        <w:rPr>
          <w:rtl w:val="0"/>
        </w:rPr>
        <w:t xml:space="preserve">Introduction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In this section, give a summary of this tests report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sm5odwyvuk3j" w:id="1"/>
      <w:bookmarkEnd w:id="1"/>
      <w:r w:rsidDel="00000000" w:rsidR="00000000" w:rsidRPr="00000000">
        <w:rPr>
          <w:rtl w:val="0"/>
        </w:rPr>
        <w:t xml:space="preserve">Test Summary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section, you will summarize what was tested and what happened, based on each test type.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System Tests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Acceptance Tests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bookmarkStart w:colFirst="0" w:colLast="0" w:name="_pqso2mbjyzx4" w:id="2"/>
      <w:bookmarkEnd w:id="2"/>
      <w:r w:rsidDel="00000000" w:rsidR="00000000" w:rsidRPr="00000000">
        <w:rPr>
          <w:rtl w:val="0"/>
        </w:rPr>
        <w:t xml:space="preserve">Tests Reports 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iy9xpvb9o9s" w:id="3"/>
      <w:bookmarkEnd w:id="3"/>
      <w:r w:rsidDel="00000000" w:rsidR="00000000" w:rsidRPr="00000000">
        <w:rPr>
          <w:rtl w:val="0"/>
        </w:rPr>
        <w:t xml:space="preserve">In this section, you will give a detailed description of each test case performed and the result. You shall list what are existing tests developed in the previous semester and what are new tests developed currently.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For each test case, you can use the following template (or something based on the following template)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ID, 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 (what do you test 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 (high/medium/low)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Dependencies (to other test case/requirement if any):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Preconditions: (if any)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input data: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Postconditions: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Bug id/link: (this should link to your github issue id)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Additional notes: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(You can use an additional table or document for this section)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tfbusfb0eq3" w:id="4"/>
      <w:bookmarkEnd w:id="4"/>
      <w:r w:rsidDel="00000000" w:rsidR="00000000" w:rsidRPr="00000000">
        <w:rPr>
          <w:rtl w:val="0"/>
        </w:rPr>
        <w:t xml:space="preserve">Testing Metrics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  <w:t xml:space="preserve">In this section, you shall report the any metrics used for the evaluation, e.g. coverage, defects rate, etc. 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bookmarkStart w:colFirst="0" w:colLast="0" w:name="_15tmymhipvdv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bookmarkStart w:colFirst="0" w:colLast="0" w:name="_8n34lvocupub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