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0B329" w14:textId="77777777" w:rsidR="007413E7" w:rsidRDefault="00000000">
      <w:pPr>
        <w:pStyle w:val="Heading1"/>
      </w:pPr>
      <w:r>
        <w:t>Business Understanding Report: Telco Customer Churn &amp; Revenue Protection</w:t>
      </w:r>
    </w:p>
    <w:p w14:paraId="0D40B32A" w14:textId="77777777" w:rsidR="007413E7" w:rsidRPr="0061111E" w:rsidRDefault="00000000" w:rsidP="0061111E">
      <w:p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b/>
          <w:bCs/>
          <w:sz w:val="24"/>
          <w:szCs w:val="24"/>
        </w:rPr>
        <w:t>Prepared for:</w:t>
      </w:r>
      <w:r w:rsidRPr="0061111E">
        <w:rPr>
          <w:rFonts w:ascii="Times New Roman" w:hAnsi="Times New Roman" w:cs="Times New Roman"/>
          <w:sz w:val="24"/>
          <w:szCs w:val="24"/>
        </w:rPr>
        <w:t xml:space="preserve"> Executive Management &amp; Business Intelligence Unit</w:t>
      </w:r>
    </w:p>
    <w:p w14:paraId="0D40B32B" w14:textId="77777777" w:rsidR="007413E7" w:rsidRPr="0061111E" w:rsidRDefault="00000000" w:rsidP="0061111E">
      <w:p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b/>
          <w:bCs/>
          <w:sz w:val="24"/>
          <w:szCs w:val="24"/>
        </w:rPr>
        <w:t>Author:</w:t>
      </w:r>
      <w:r w:rsidRPr="0061111E">
        <w:rPr>
          <w:rFonts w:ascii="Times New Roman" w:hAnsi="Times New Roman" w:cs="Times New Roman"/>
          <w:sz w:val="24"/>
          <w:szCs w:val="24"/>
        </w:rPr>
        <w:t xml:space="preserve"> Kutlwano Mmoloki Gabanthate</w:t>
      </w:r>
    </w:p>
    <w:p w14:paraId="0D40B32C" w14:textId="77777777" w:rsidR="007413E7" w:rsidRPr="0061111E" w:rsidRDefault="00000000" w:rsidP="0061111E">
      <w:p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b/>
          <w:bCs/>
          <w:sz w:val="24"/>
          <w:szCs w:val="24"/>
        </w:rPr>
        <w:t>Focus Area:</w:t>
      </w:r>
      <w:r w:rsidRPr="0061111E">
        <w:rPr>
          <w:rFonts w:ascii="Times New Roman" w:hAnsi="Times New Roman" w:cs="Times New Roman"/>
          <w:sz w:val="24"/>
          <w:szCs w:val="24"/>
        </w:rPr>
        <w:t xml:space="preserve"> Subscription Revenue Optimization &amp; Attrition Diagnostics</w:t>
      </w:r>
    </w:p>
    <w:p w14:paraId="0D40B32D" w14:textId="77777777" w:rsidR="007413E7" w:rsidRPr="0061111E" w:rsidRDefault="00000000" w:rsidP="0061111E">
      <w:pPr>
        <w:pBdr>
          <w:top w:val="nil"/>
          <w:left w:val="nil"/>
          <w:bottom w:val="nil"/>
          <w:right w:val="nil"/>
          <w:between w:val="nil"/>
        </w:pBdr>
        <w:spacing w:after="225" w:line="276" w:lineRule="auto"/>
        <w:jc w:val="both"/>
        <w:rPr>
          <w:rFonts w:ascii="Times New Roman" w:hAnsi="Times New Roman" w:cs="Times New Roman"/>
          <w:sz w:val="24"/>
          <w:szCs w:val="24"/>
        </w:rPr>
      </w:pPr>
      <w:r w:rsidRPr="0061111E">
        <w:rPr>
          <w:rFonts w:ascii="Times New Roman" w:hAnsi="Times New Roman" w:cs="Times New Roman"/>
          <w:b/>
          <w:bCs/>
          <w:sz w:val="24"/>
          <w:szCs w:val="24"/>
        </w:rPr>
        <w:t>Dataset Scope:</w:t>
      </w:r>
      <w:r w:rsidRPr="0061111E">
        <w:rPr>
          <w:rFonts w:ascii="Times New Roman" w:hAnsi="Times New Roman" w:cs="Times New Roman"/>
          <w:sz w:val="24"/>
          <w:szCs w:val="24"/>
        </w:rPr>
        <w:t xml:space="preserve"> 7,043 Telecom Subscriber Records</w:t>
      </w:r>
    </w:p>
    <w:p w14:paraId="0D40B32E" w14:textId="77777777" w:rsidR="007413E7" w:rsidRPr="0061111E" w:rsidRDefault="00000000" w:rsidP="0061111E">
      <w:pPr>
        <w:pStyle w:val="Heading2"/>
        <w:spacing w:before="0" w:line="276" w:lineRule="auto"/>
        <w:jc w:val="both"/>
        <w:rPr>
          <w:rFonts w:ascii="Times New Roman" w:hAnsi="Times New Roman" w:cs="Times New Roman"/>
          <w:sz w:val="24"/>
          <w:szCs w:val="24"/>
        </w:rPr>
      </w:pPr>
      <w:r w:rsidRPr="0061111E">
        <w:rPr>
          <w:rFonts w:ascii="Times New Roman" w:hAnsi="Times New Roman" w:cs="Times New Roman"/>
          <w:sz w:val="24"/>
          <w:szCs w:val="24"/>
        </w:rPr>
        <w:t>1. Executive Summary &amp; Problem Context</w:t>
      </w:r>
    </w:p>
    <w:p w14:paraId="07ABBC6B" w14:textId="77777777" w:rsidR="00F508D4" w:rsidRDefault="00000000" w:rsidP="0061111E">
      <w:p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sz w:val="24"/>
          <w:szCs w:val="24"/>
        </w:rPr>
        <w:t>Customer churn</w:t>
      </w:r>
      <w:r w:rsidR="00652BD4">
        <w:rPr>
          <w:rFonts w:ascii="Times New Roman" w:hAnsi="Times New Roman" w:cs="Times New Roman"/>
          <w:sz w:val="24"/>
          <w:szCs w:val="24"/>
        </w:rPr>
        <w:t xml:space="preserve"> </w:t>
      </w:r>
      <w:r w:rsidRPr="0061111E">
        <w:rPr>
          <w:rFonts w:ascii="Times New Roman" w:hAnsi="Times New Roman" w:cs="Times New Roman"/>
          <w:sz w:val="24"/>
          <w:szCs w:val="24"/>
        </w:rPr>
        <w:t>defined as the rate at which existing subscribers discontinue their services within a specified period</w:t>
      </w:r>
      <w:r w:rsidR="00F508D4">
        <w:rPr>
          <w:rFonts w:ascii="Times New Roman" w:hAnsi="Times New Roman" w:cs="Times New Roman"/>
          <w:sz w:val="24"/>
          <w:szCs w:val="24"/>
        </w:rPr>
        <w:t xml:space="preserve"> </w:t>
      </w:r>
      <w:r w:rsidRPr="0061111E">
        <w:rPr>
          <w:rFonts w:ascii="Times New Roman" w:hAnsi="Times New Roman" w:cs="Times New Roman"/>
          <w:sz w:val="24"/>
          <w:szCs w:val="24"/>
        </w:rPr>
        <w:t xml:space="preserve">represents one of the most critical structural challenges facing the modern telecommunications industry. </w:t>
      </w:r>
    </w:p>
    <w:p w14:paraId="4E3177B1" w14:textId="77777777" w:rsidR="00F508D4" w:rsidRDefault="00F508D4" w:rsidP="0061111E">
      <w:pPr>
        <w:pBdr>
          <w:top w:val="nil"/>
          <w:left w:val="nil"/>
          <w:bottom w:val="nil"/>
          <w:right w:val="nil"/>
          <w:between w:val="nil"/>
        </w:pBdr>
        <w:spacing w:line="276" w:lineRule="auto"/>
        <w:jc w:val="both"/>
        <w:rPr>
          <w:rFonts w:ascii="Times New Roman" w:hAnsi="Times New Roman" w:cs="Times New Roman"/>
          <w:sz w:val="24"/>
          <w:szCs w:val="24"/>
        </w:rPr>
      </w:pPr>
    </w:p>
    <w:p w14:paraId="0D40B32F" w14:textId="73192408" w:rsidR="007413E7" w:rsidRPr="0061111E" w:rsidRDefault="00000000" w:rsidP="0061111E">
      <w:p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sz w:val="24"/>
          <w:szCs w:val="24"/>
        </w:rPr>
        <w:t xml:space="preserve">As telecommunications markets reach maturity and market saturation, revenue growth transitions from rapid new customer acquisition to the </w:t>
      </w:r>
      <w:r w:rsidR="008874A0" w:rsidRPr="0061111E">
        <w:rPr>
          <w:rFonts w:ascii="Times New Roman" w:hAnsi="Times New Roman" w:cs="Times New Roman"/>
          <w:sz w:val="24"/>
          <w:szCs w:val="24"/>
        </w:rPr>
        <w:t>defence</w:t>
      </w:r>
      <w:r w:rsidRPr="0061111E">
        <w:rPr>
          <w:rFonts w:ascii="Times New Roman" w:hAnsi="Times New Roman" w:cs="Times New Roman"/>
          <w:sz w:val="24"/>
          <w:szCs w:val="24"/>
        </w:rPr>
        <w:t xml:space="preserve"> and optimization of existing subscriber bases.</w:t>
      </w:r>
    </w:p>
    <w:p w14:paraId="0D40B330" w14:textId="77777777" w:rsidR="007413E7" w:rsidRDefault="00000000" w:rsidP="0061111E">
      <w:p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sz w:val="24"/>
          <w:szCs w:val="24"/>
        </w:rPr>
        <w:t xml:space="preserve">In subscription-based business models, customer attrition directly erodes Monthly Recurring Revenue (MRR) and compounding Annual Recurring Revenue (ARR). Acquiring a new telecom subscriber is estimated to cost between </w:t>
      </w:r>
      <w:r w:rsidRPr="0061111E">
        <w:rPr>
          <w:rFonts w:ascii="Times New Roman" w:hAnsi="Times New Roman" w:cs="Times New Roman"/>
          <w:b/>
          <w:bCs/>
          <w:sz w:val="24"/>
          <w:szCs w:val="24"/>
        </w:rPr>
        <w:t>5 to 7 times more</w:t>
      </w:r>
      <w:r w:rsidRPr="0061111E">
        <w:rPr>
          <w:rFonts w:ascii="Times New Roman" w:hAnsi="Times New Roman" w:cs="Times New Roman"/>
          <w:sz w:val="24"/>
          <w:szCs w:val="24"/>
        </w:rPr>
        <w:t xml:space="preserve"> than retaining an existing customer due to substantial Customer Acquisition Costs (CAC), including heavy equipment subsidies, aggressive marketing campaigns, sales commissions, and onboarding overhead. Consequently, high churn rates shorten the average Customer Lifetime Value (CLV), delay the CAC payback period, and severely compress operational margins.</w:t>
      </w:r>
    </w:p>
    <w:p w14:paraId="08A77860" w14:textId="77777777" w:rsidR="008874A0" w:rsidRPr="0061111E" w:rsidRDefault="008874A0" w:rsidP="0061111E">
      <w:pPr>
        <w:pBdr>
          <w:top w:val="nil"/>
          <w:left w:val="nil"/>
          <w:bottom w:val="nil"/>
          <w:right w:val="nil"/>
          <w:between w:val="nil"/>
        </w:pBdr>
        <w:spacing w:line="276" w:lineRule="auto"/>
        <w:jc w:val="both"/>
        <w:rPr>
          <w:rFonts w:ascii="Times New Roman" w:hAnsi="Times New Roman" w:cs="Times New Roman"/>
          <w:sz w:val="24"/>
          <w:szCs w:val="24"/>
        </w:rPr>
      </w:pPr>
    </w:p>
    <w:p w14:paraId="0D40B331" w14:textId="55E04620" w:rsidR="007413E7" w:rsidRPr="0061111E" w:rsidRDefault="00000000" w:rsidP="0061111E">
      <w:pPr>
        <w:pBdr>
          <w:top w:val="nil"/>
          <w:left w:val="nil"/>
          <w:bottom w:val="nil"/>
          <w:right w:val="nil"/>
          <w:between w:val="nil"/>
        </w:pBdr>
        <w:spacing w:after="225" w:line="276" w:lineRule="auto"/>
        <w:jc w:val="both"/>
        <w:rPr>
          <w:rFonts w:ascii="Times New Roman" w:hAnsi="Times New Roman" w:cs="Times New Roman"/>
          <w:sz w:val="24"/>
          <w:szCs w:val="24"/>
        </w:rPr>
      </w:pPr>
      <w:r w:rsidRPr="0061111E">
        <w:rPr>
          <w:rFonts w:ascii="Times New Roman" w:hAnsi="Times New Roman" w:cs="Times New Roman"/>
          <w:sz w:val="24"/>
          <w:szCs w:val="24"/>
        </w:rPr>
        <w:t xml:space="preserve">This report establishes the business research foundation for </w:t>
      </w:r>
      <w:r w:rsidR="008874A0" w:rsidRPr="0061111E">
        <w:rPr>
          <w:rFonts w:ascii="Times New Roman" w:hAnsi="Times New Roman" w:cs="Times New Roman"/>
          <w:sz w:val="24"/>
          <w:szCs w:val="24"/>
        </w:rPr>
        <w:t>analysing</w:t>
      </w:r>
      <w:r w:rsidRPr="0061111E">
        <w:rPr>
          <w:rFonts w:ascii="Times New Roman" w:hAnsi="Times New Roman" w:cs="Times New Roman"/>
          <w:sz w:val="24"/>
          <w:szCs w:val="24"/>
        </w:rPr>
        <w:t xml:space="preserve"> a telecommunications dataset containing 7,043 subscriber records. By diagnosing the underlying financial, contractual, and service-related friction points driving customer exits, this project aims to formulate data-backed, targeted retention strategies that safeguard high-margin revenue streams.</w:t>
      </w:r>
    </w:p>
    <w:p w14:paraId="0D40B332" w14:textId="77777777" w:rsidR="007413E7" w:rsidRPr="0061111E" w:rsidRDefault="00000000" w:rsidP="0061111E">
      <w:pPr>
        <w:pStyle w:val="Heading2"/>
        <w:spacing w:before="0" w:line="276" w:lineRule="auto"/>
        <w:jc w:val="both"/>
        <w:rPr>
          <w:rFonts w:ascii="Times New Roman" w:hAnsi="Times New Roman" w:cs="Times New Roman"/>
          <w:sz w:val="24"/>
          <w:szCs w:val="24"/>
        </w:rPr>
      </w:pPr>
      <w:r w:rsidRPr="0061111E">
        <w:rPr>
          <w:rFonts w:ascii="Times New Roman" w:hAnsi="Times New Roman" w:cs="Times New Roman"/>
          <w:sz w:val="24"/>
          <w:szCs w:val="24"/>
        </w:rPr>
        <w:t>2. Telecommunications Industry Landscape &amp; Economic Dynamics</w:t>
      </w:r>
    </w:p>
    <w:p w14:paraId="0D40B333" w14:textId="77777777" w:rsidR="007413E7" w:rsidRPr="0061111E" w:rsidRDefault="00000000" w:rsidP="0061111E">
      <w:pPr>
        <w:pBdr>
          <w:top w:val="nil"/>
          <w:left w:val="nil"/>
          <w:bottom w:val="nil"/>
          <w:right w:val="nil"/>
          <w:between w:val="nil"/>
        </w:pBdr>
        <w:spacing w:after="240" w:line="276" w:lineRule="auto"/>
        <w:jc w:val="both"/>
        <w:rPr>
          <w:rFonts w:ascii="Times New Roman" w:hAnsi="Times New Roman" w:cs="Times New Roman"/>
          <w:sz w:val="24"/>
          <w:szCs w:val="24"/>
        </w:rPr>
      </w:pPr>
      <w:r w:rsidRPr="0061111E">
        <w:rPr>
          <w:rFonts w:ascii="Times New Roman" w:hAnsi="Times New Roman" w:cs="Times New Roman"/>
          <w:sz w:val="24"/>
          <w:szCs w:val="24"/>
        </w:rPr>
        <w:t>The telecommunications environment is characterized by intense price competition, rapid technological iteration, and low consumer switching barriers. Understanding the economic mechanics of subscriber retention requires evaluating key financial frameworks:</w:t>
      </w:r>
    </w:p>
    <w:p w14:paraId="0D40B334" w14:textId="77777777" w:rsidR="007413E7" w:rsidRPr="0061111E" w:rsidRDefault="00000000" w:rsidP="0061111E">
      <w:pPr>
        <w:pStyle w:val="Heading3"/>
        <w:spacing w:before="0" w:line="276" w:lineRule="auto"/>
        <w:jc w:val="both"/>
        <w:rPr>
          <w:rFonts w:ascii="Times New Roman" w:hAnsi="Times New Roman" w:cs="Times New Roman"/>
          <w:sz w:val="24"/>
          <w:szCs w:val="24"/>
        </w:rPr>
      </w:pPr>
      <w:r w:rsidRPr="0061111E">
        <w:rPr>
          <w:rFonts w:ascii="Times New Roman" w:hAnsi="Times New Roman" w:cs="Times New Roman"/>
          <w:sz w:val="24"/>
          <w:szCs w:val="24"/>
        </w:rPr>
        <w:t>2.1 The Customer Acquisition Cost (CAC) vs. Customer Lifetime Value (CLV) Paradox</w:t>
      </w:r>
    </w:p>
    <w:p w14:paraId="0D40B335" w14:textId="77777777" w:rsidR="007413E7" w:rsidRPr="0061111E" w:rsidRDefault="00000000" w:rsidP="0061111E">
      <w:pPr>
        <w:pBdr>
          <w:top w:val="nil"/>
          <w:left w:val="nil"/>
          <w:bottom w:val="nil"/>
          <w:right w:val="nil"/>
          <w:between w:val="nil"/>
        </w:pBdr>
        <w:spacing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 xml:space="preserve">In traditional retail or transactional business models, revenue is recognized immediately at the point of sale. In subscription telecommunications, however, an account operates at a net loss during its initial months because the business must recover the upfront acquisition investment. As </w:t>
      </w:r>
      <w:r w:rsidRPr="0061111E">
        <w:rPr>
          <w:rFonts w:ascii="Times New Roman" w:hAnsi="Times New Roman" w:cs="Times New Roman"/>
          <w:sz w:val="24"/>
          <w:szCs w:val="24"/>
        </w:rPr>
        <w:lastRenderedPageBreak/>
        <w:t>illustrated below, customer profitability depends heavily on tenure length:</w:t>
      </w:r>
    </w:p>
    <w:tbl>
      <w:tblPr>
        <w:tblStyle w:val="a"/>
        <w:tblW w:w="9360" w:type="dxa"/>
        <w:tblInd w:w="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2340"/>
        <w:gridCol w:w="2340"/>
        <w:gridCol w:w="2340"/>
        <w:gridCol w:w="2340"/>
      </w:tblGrid>
      <w:tr w:rsidR="007413E7" w:rsidRPr="0061111E" w14:paraId="0D40B33B" w14:textId="77777777">
        <w:trPr>
          <w:tblHeader/>
        </w:trPr>
        <w:tc>
          <w:tcPr>
            <w:tcW w:w="2340" w:type="dxa"/>
            <w:tcBorders>
              <w:top w:val="single" w:sz="6" w:space="0" w:color="DCDCDC"/>
              <w:left w:val="single" w:sz="6" w:space="0" w:color="DCDCDC"/>
              <w:bottom w:val="single" w:sz="6" w:space="0" w:color="DCDCDC"/>
              <w:right w:val="single" w:sz="6" w:space="0" w:color="DCDCDC"/>
            </w:tcBorders>
            <w:shd w:val="clear" w:color="auto" w:fill="F2F4F8"/>
            <w:tcMar>
              <w:top w:w="150" w:type="dxa"/>
              <w:left w:w="150" w:type="dxa"/>
              <w:bottom w:w="150" w:type="dxa"/>
              <w:right w:w="150" w:type="dxa"/>
            </w:tcMar>
          </w:tcPr>
          <w:p w14:paraId="0D40B336"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Metric / Stage</w:t>
            </w:r>
          </w:p>
        </w:tc>
        <w:tc>
          <w:tcPr>
            <w:tcW w:w="2340" w:type="dxa"/>
            <w:tcBorders>
              <w:top w:val="single" w:sz="6" w:space="0" w:color="DCDCDC"/>
              <w:left w:val="single" w:sz="6" w:space="0" w:color="DCDCDC"/>
              <w:bottom w:val="single" w:sz="6" w:space="0" w:color="DCDCDC"/>
              <w:right w:val="single" w:sz="6" w:space="0" w:color="DCDCDC"/>
            </w:tcBorders>
            <w:shd w:val="clear" w:color="auto" w:fill="F2F4F8"/>
            <w:tcMar>
              <w:top w:w="150" w:type="dxa"/>
              <w:left w:w="150" w:type="dxa"/>
              <w:bottom w:w="150" w:type="dxa"/>
              <w:right w:w="150" w:type="dxa"/>
            </w:tcMar>
          </w:tcPr>
          <w:p w14:paraId="0D40B337"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Early Tenure (0–6 Months)</w:t>
            </w:r>
          </w:p>
        </w:tc>
        <w:tc>
          <w:tcPr>
            <w:tcW w:w="2340" w:type="dxa"/>
            <w:tcBorders>
              <w:top w:val="single" w:sz="6" w:space="0" w:color="DCDCDC"/>
              <w:left w:val="single" w:sz="6" w:space="0" w:color="DCDCDC"/>
              <w:bottom w:val="single" w:sz="6" w:space="0" w:color="DCDCDC"/>
              <w:right w:val="single" w:sz="6" w:space="0" w:color="DCDCDC"/>
            </w:tcBorders>
            <w:shd w:val="clear" w:color="auto" w:fill="F2F4F8"/>
            <w:tcMar>
              <w:top w:w="150" w:type="dxa"/>
              <w:left w:w="150" w:type="dxa"/>
              <w:bottom w:w="150" w:type="dxa"/>
              <w:right w:w="150" w:type="dxa"/>
            </w:tcMar>
          </w:tcPr>
          <w:p w14:paraId="0D40B338"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Mid Tenure (7–24 Months)</w:t>
            </w:r>
          </w:p>
        </w:tc>
        <w:tc>
          <w:tcPr>
            <w:tcW w:w="2340" w:type="dxa"/>
            <w:tcBorders>
              <w:top w:val="single" w:sz="6" w:space="0" w:color="DCDCDC"/>
              <w:left w:val="single" w:sz="6" w:space="0" w:color="DCDCDC"/>
              <w:bottom w:val="single" w:sz="6" w:space="0" w:color="DCDCDC"/>
              <w:right w:val="single" w:sz="6" w:space="0" w:color="DCDCDC"/>
            </w:tcBorders>
            <w:shd w:val="clear" w:color="auto" w:fill="F2F4F8"/>
            <w:tcMar>
              <w:top w:w="150" w:type="dxa"/>
              <w:left w:w="150" w:type="dxa"/>
              <w:bottom w:w="150" w:type="dxa"/>
              <w:right w:w="150" w:type="dxa"/>
            </w:tcMar>
          </w:tcPr>
          <w:p w14:paraId="0D40B339"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Long-Term Tenure (25+ Months)</w:t>
            </w:r>
          </w:p>
          <w:p w14:paraId="0D40B33A" w14:textId="77777777" w:rsidR="007413E7" w:rsidRPr="0061111E" w:rsidRDefault="00000000" w:rsidP="0061111E">
            <w:p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sz w:val="24"/>
                <w:szCs w:val="24"/>
              </w:rPr>
              <w:t xml:space="preserve"> </w:t>
            </w:r>
          </w:p>
        </w:tc>
      </w:tr>
      <w:tr w:rsidR="007413E7" w:rsidRPr="0061111E" w14:paraId="0D40B340" w14:textId="77777777">
        <w:tc>
          <w:tcPr>
            <w:tcW w:w="2340" w:type="dxa"/>
            <w:tcBorders>
              <w:top w:val="single" w:sz="6" w:space="0" w:color="DCDCDC"/>
              <w:left w:val="single" w:sz="6" w:space="0" w:color="DCDCDC"/>
              <w:bottom w:val="single" w:sz="6" w:space="0" w:color="DCDCDC"/>
              <w:right w:val="single" w:sz="6" w:space="0" w:color="DCDCDC"/>
            </w:tcBorders>
            <w:tcMar>
              <w:top w:w="150" w:type="dxa"/>
              <w:left w:w="150" w:type="dxa"/>
              <w:bottom w:w="150" w:type="dxa"/>
              <w:right w:w="150" w:type="dxa"/>
            </w:tcMar>
          </w:tcPr>
          <w:p w14:paraId="0D40B33C"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b/>
                <w:bCs/>
                <w:sz w:val="24"/>
                <w:szCs w:val="24"/>
              </w:rPr>
            </w:pPr>
            <w:r w:rsidRPr="0061111E">
              <w:rPr>
                <w:rFonts w:ascii="Times New Roman" w:hAnsi="Times New Roman" w:cs="Times New Roman"/>
                <w:b/>
                <w:bCs/>
                <w:sz w:val="24"/>
                <w:szCs w:val="24"/>
              </w:rPr>
              <w:t>Financial Status</w:t>
            </w:r>
          </w:p>
        </w:tc>
        <w:tc>
          <w:tcPr>
            <w:tcW w:w="2340" w:type="dxa"/>
            <w:tcBorders>
              <w:top w:val="single" w:sz="6" w:space="0" w:color="DCDCDC"/>
              <w:left w:val="single" w:sz="6" w:space="0" w:color="DCDCDC"/>
              <w:bottom w:val="single" w:sz="6" w:space="0" w:color="DCDCDC"/>
              <w:right w:val="single" w:sz="6" w:space="0" w:color="DCDCDC"/>
            </w:tcBorders>
            <w:tcMar>
              <w:top w:w="150" w:type="dxa"/>
              <w:left w:w="150" w:type="dxa"/>
              <w:bottom w:w="150" w:type="dxa"/>
              <w:right w:w="150" w:type="dxa"/>
            </w:tcMar>
          </w:tcPr>
          <w:p w14:paraId="0D40B33D"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CAC Recovery / Net Negative</w:t>
            </w:r>
          </w:p>
        </w:tc>
        <w:tc>
          <w:tcPr>
            <w:tcW w:w="2340" w:type="dxa"/>
            <w:tcBorders>
              <w:top w:val="single" w:sz="6" w:space="0" w:color="DCDCDC"/>
              <w:left w:val="single" w:sz="6" w:space="0" w:color="DCDCDC"/>
              <w:bottom w:val="single" w:sz="6" w:space="0" w:color="DCDCDC"/>
              <w:right w:val="single" w:sz="6" w:space="0" w:color="DCDCDC"/>
            </w:tcBorders>
            <w:tcMar>
              <w:top w:w="150" w:type="dxa"/>
              <w:left w:w="150" w:type="dxa"/>
              <w:bottom w:w="150" w:type="dxa"/>
              <w:right w:w="150" w:type="dxa"/>
            </w:tcMar>
          </w:tcPr>
          <w:p w14:paraId="0D40B33E"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Profitability Threshold Reached</w:t>
            </w:r>
          </w:p>
        </w:tc>
        <w:tc>
          <w:tcPr>
            <w:tcW w:w="2340" w:type="dxa"/>
            <w:tcBorders>
              <w:top w:val="single" w:sz="6" w:space="0" w:color="DCDCDC"/>
              <w:left w:val="single" w:sz="6" w:space="0" w:color="DCDCDC"/>
              <w:bottom w:val="single" w:sz="6" w:space="0" w:color="DCDCDC"/>
              <w:right w:val="single" w:sz="6" w:space="0" w:color="DCDCDC"/>
            </w:tcBorders>
            <w:tcMar>
              <w:top w:w="150" w:type="dxa"/>
              <w:left w:w="150" w:type="dxa"/>
              <w:bottom w:w="150" w:type="dxa"/>
              <w:right w:w="150" w:type="dxa"/>
            </w:tcMar>
          </w:tcPr>
          <w:p w14:paraId="0D40B33F"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High-Margin Net Profit</w:t>
            </w:r>
          </w:p>
        </w:tc>
      </w:tr>
      <w:tr w:rsidR="007413E7" w:rsidRPr="0061111E" w14:paraId="0D40B345" w14:textId="77777777">
        <w:tc>
          <w:tcPr>
            <w:tcW w:w="2340" w:type="dxa"/>
            <w:tcBorders>
              <w:top w:val="single" w:sz="6" w:space="0" w:color="DCDCDC"/>
              <w:left w:val="single" w:sz="6" w:space="0" w:color="DCDCDC"/>
              <w:bottom w:val="single" w:sz="6" w:space="0" w:color="DCDCDC"/>
              <w:right w:val="single" w:sz="6" w:space="0" w:color="DCDCDC"/>
            </w:tcBorders>
            <w:shd w:val="clear" w:color="auto" w:fill="F9FBFD"/>
            <w:tcMar>
              <w:top w:w="150" w:type="dxa"/>
              <w:left w:w="150" w:type="dxa"/>
              <w:bottom w:w="150" w:type="dxa"/>
              <w:right w:w="150" w:type="dxa"/>
            </w:tcMar>
          </w:tcPr>
          <w:p w14:paraId="0D40B341"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b/>
                <w:bCs/>
                <w:sz w:val="24"/>
                <w:szCs w:val="24"/>
              </w:rPr>
            </w:pPr>
            <w:r w:rsidRPr="0061111E">
              <w:rPr>
                <w:rFonts w:ascii="Times New Roman" w:hAnsi="Times New Roman" w:cs="Times New Roman"/>
                <w:b/>
                <w:bCs/>
                <w:sz w:val="24"/>
                <w:szCs w:val="24"/>
              </w:rPr>
              <w:t>Churn Impact</w:t>
            </w:r>
          </w:p>
        </w:tc>
        <w:tc>
          <w:tcPr>
            <w:tcW w:w="2340" w:type="dxa"/>
            <w:tcBorders>
              <w:top w:val="single" w:sz="6" w:space="0" w:color="DCDCDC"/>
              <w:left w:val="single" w:sz="6" w:space="0" w:color="DCDCDC"/>
              <w:bottom w:val="single" w:sz="6" w:space="0" w:color="DCDCDC"/>
              <w:right w:val="single" w:sz="6" w:space="0" w:color="DCDCDC"/>
            </w:tcBorders>
            <w:shd w:val="clear" w:color="auto" w:fill="F9FBFD"/>
            <w:tcMar>
              <w:top w:w="150" w:type="dxa"/>
              <w:left w:w="150" w:type="dxa"/>
              <w:bottom w:w="150" w:type="dxa"/>
              <w:right w:w="150" w:type="dxa"/>
            </w:tcMar>
          </w:tcPr>
          <w:p w14:paraId="0D40B342"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Total Loss on CAC; Unrecovered Overhead</w:t>
            </w:r>
          </w:p>
        </w:tc>
        <w:tc>
          <w:tcPr>
            <w:tcW w:w="2340" w:type="dxa"/>
            <w:tcBorders>
              <w:top w:val="single" w:sz="6" w:space="0" w:color="DCDCDC"/>
              <w:left w:val="single" w:sz="6" w:space="0" w:color="DCDCDC"/>
              <w:bottom w:val="single" w:sz="6" w:space="0" w:color="DCDCDC"/>
              <w:right w:val="single" w:sz="6" w:space="0" w:color="DCDCDC"/>
            </w:tcBorders>
            <w:shd w:val="clear" w:color="auto" w:fill="F9FBFD"/>
            <w:tcMar>
              <w:top w:w="150" w:type="dxa"/>
              <w:left w:w="150" w:type="dxa"/>
              <w:bottom w:w="150" w:type="dxa"/>
              <w:right w:w="150" w:type="dxa"/>
            </w:tcMar>
          </w:tcPr>
          <w:p w14:paraId="0D40B343"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Break-Even Loss; Moderate Margin Erosion</w:t>
            </w:r>
          </w:p>
        </w:tc>
        <w:tc>
          <w:tcPr>
            <w:tcW w:w="2340" w:type="dxa"/>
            <w:tcBorders>
              <w:top w:val="single" w:sz="6" w:space="0" w:color="DCDCDC"/>
              <w:left w:val="single" w:sz="6" w:space="0" w:color="DCDCDC"/>
              <w:bottom w:val="single" w:sz="6" w:space="0" w:color="DCDCDC"/>
              <w:right w:val="single" w:sz="6" w:space="0" w:color="DCDCDC"/>
            </w:tcBorders>
            <w:shd w:val="clear" w:color="auto" w:fill="F9FBFD"/>
            <w:tcMar>
              <w:top w:w="150" w:type="dxa"/>
              <w:left w:w="150" w:type="dxa"/>
              <w:bottom w:w="150" w:type="dxa"/>
              <w:right w:w="150" w:type="dxa"/>
            </w:tcMar>
          </w:tcPr>
          <w:p w14:paraId="0D40B344"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Severe Long-Term Revenue &amp; CLV Depletion</w:t>
            </w:r>
          </w:p>
        </w:tc>
      </w:tr>
      <w:tr w:rsidR="007413E7" w:rsidRPr="0061111E" w14:paraId="0D40B34A" w14:textId="77777777">
        <w:tc>
          <w:tcPr>
            <w:tcW w:w="2340" w:type="dxa"/>
            <w:tcBorders>
              <w:top w:val="single" w:sz="6" w:space="0" w:color="DCDCDC"/>
              <w:left w:val="single" w:sz="6" w:space="0" w:color="DCDCDC"/>
              <w:bottom w:val="single" w:sz="6" w:space="0" w:color="DCDCDC"/>
              <w:right w:val="single" w:sz="6" w:space="0" w:color="DCDCDC"/>
            </w:tcBorders>
            <w:tcMar>
              <w:top w:w="150" w:type="dxa"/>
              <w:left w:w="150" w:type="dxa"/>
              <w:bottom w:w="150" w:type="dxa"/>
              <w:right w:w="150" w:type="dxa"/>
            </w:tcMar>
          </w:tcPr>
          <w:p w14:paraId="0D40B346"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b/>
                <w:bCs/>
                <w:sz w:val="24"/>
                <w:szCs w:val="24"/>
              </w:rPr>
            </w:pPr>
            <w:r w:rsidRPr="0061111E">
              <w:rPr>
                <w:rFonts w:ascii="Times New Roman" w:hAnsi="Times New Roman" w:cs="Times New Roman"/>
                <w:b/>
                <w:bCs/>
                <w:sz w:val="24"/>
                <w:szCs w:val="24"/>
              </w:rPr>
              <w:t>Strategic Focus</w:t>
            </w:r>
          </w:p>
        </w:tc>
        <w:tc>
          <w:tcPr>
            <w:tcW w:w="2340" w:type="dxa"/>
            <w:tcBorders>
              <w:top w:val="single" w:sz="6" w:space="0" w:color="DCDCDC"/>
              <w:left w:val="single" w:sz="6" w:space="0" w:color="DCDCDC"/>
              <w:bottom w:val="single" w:sz="6" w:space="0" w:color="DCDCDC"/>
              <w:right w:val="single" w:sz="6" w:space="0" w:color="DCDCDC"/>
            </w:tcBorders>
            <w:tcMar>
              <w:top w:w="150" w:type="dxa"/>
              <w:left w:w="150" w:type="dxa"/>
              <w:bottom w:w="150" w:type="dxa"/>
              <w:right w:w="150" w:type="dxa"/>
            </w:tcMar>
          </w:tcPr>
          <w:p w14:paraId="0D40B347"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Onboarding Support &amp; Service Activation</w:t>
            </w:r>
          </w:p>
        </w:tc>
        <w:tc>
          <w:tcPr>
            <w:tcW w:w="2340" w:type="dxa"/>
            <w:tcBorders>
              <w:top w:val="single" w:sz="6" w:space="0" w:color="DCDCDC"/>
              <w:left w:val="single" w:sz="6" w:space="0" w:color="DCDCDC"/>
              <w:bottom w:val="single" w:sz="6" w:space="0" w:color="DCDCDC"/>
              <w:right w:val="single" w:sz="6" w:space="0" w:color="DCDCDC"/>
            </w:tcBorders>
            <w:tcMar>
              <w:top w:w="150" w:type="dxa"/>
              <w:left w:w="150" w:type="dxa"/>
              <w:bottom w:w="150" w:type="dxa"/>
              <w:right w:w="150" w:type="dxa"/>
            </w:tcMar>
          </w:tcPr>
          <w:p w14:paraId="0D40B348"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Contract Migration &amp; Value Bundling</w:t>
            </w:r>
          </w:p>
        </w:tc>
        <w:tc>
          <w:tcPr>
            <w:tcW w:w="2340" w:type="dxa"/>
            <w:tcBorders>
              <w:top w:val="single" w:sz="6" w:space="0" w:color="DCDCDC"/>
              <w:left w:val="single" w:sz="6" w:space="0" w:color="DCDCDC"/>
              <w:bottom w:val="single" w:sz="6" w:space="0" w:color="DCDCDC"/>
              <w:right w:val="single" w:sz="6" w:space="0" w:color="DCDCDC"/>
            </w:tcBorders>
            <w:tcMar>
              <w:top w:w="150" w:type="dxa"/>
              <w:left w:w="150" w:type="dxa"/>
              <w:bottom w:w="150" w:type="dxa"/>
              <w:right w:w="150" w:type="dxa"/>
            </w:tcMar>
          </w:tcPr>
          <w:p w14:paraId="0D40B349"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Loyalty Rewards &amp; VIP Customer Care</w:t>
            </w:r>
          </w:p>
        </w:tc>
      </w:tr>
    </w:tbl>
    <w:p w14:paraId="0D40B34B" w14:textId="77777777" w:rsidR="007413E7" w:rsidRPr="0061111E" w:rsidRDefault="00000000" w:rsidP="0061111E">
      <w:pPr>
        <w:pStyle w:val="Heading2"/>
        <w:spacing w:line="276" w:lineRule="auto"/>
        <w:jc w:val="both"/>
        <w:rPr>
          <w:rFonts w:ascii="Times New Roman" w:hAnsi="Times New Roman" w:cs="Times New Roman"/>
          <w:sz w:val="24"/>
          <w:szCs w:val="24"/>
        </w:rPr>
      </w:pPr>
      <w:r w:rsidRPr="0061111E">
        <w:rPr>
          <w:rFonts w:ascii="Times New Roman" w:hAnsi="Times New Roman" w:cs="Times New Roman"/>
          <w:sz w:val="24"/>
          <w:szCs w:val="24"/>
        </w:rPr>
        <w:t>3. Key Drivers of Telecom Churn</w:t>
      </w:r>
    </w:p>
    <w:p w14:paraId="0D40B34C" w14:textId="77777777" w:rsidR="007413E7" w:rsidRPr="0061111E" w:rsidRDefault="00000000" w:rsidP="0061111E">
      <w:p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sz w:val="24"/>
          <w:szCs w:val="24"/>
        </w:rPr>
        <w:t>Industry research highlights four major categories of operational friction that accelerate customer defection:</w:t>
      </w:r>
    </w:p>
    <w:p w14:paraId="0D40B34D" w14:textId="0F0E013F" w:rsidR="007413E7" w:rsidRPr="0061111E" w:rsidRDefault="00000000" w:rsidP="0061111E">
      <w:pPr>
        <w:numPr>
          <w:ilvl w:val="0"/>
          <w:numId w:val="1"/>
        </w:num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b/>
          <w:bCs/>
          <w:sz w:val="24"/>
          <w:szCs w:val="24"/>
        </w:rPr>
        <w:t>Pricing &amp; Billing Threshold Friction:</w:t>
      </w:r>
      <w:r w:rsidRPr="0061111E">
        <w:rPr>
          <w:rFonts w:ascii="Times New Roman" w:hAnsi="Times New Roman" w:cs="Times New Roman"/>
          <w:sz w:val="24"/>
          <w:szCs w:val="24"/>
        </w:rPr>
        <w:t xml:space="preserve"> When monthly charges exceed a customer's perceived value threshold</w:t>
      </w:r>
      <w:r w:rsidR="00F432A9">
        <w:rPr>
          <w:rFonts w:ascii="Times New Roman" w:hAnsi="Times New Roman" w:cs="Times New Roman"/>
          <w:sz w:val="24"/>
          <w:szCs w:val="24"/>
        </w:rPr>
        <w:t xml:space="preserve"> </w:t>
      </w:r>
      <w:r w:rsidRPr="0061111E">
        <w:rPr>
          <w:rFonts w:ascii="Times New Roman" w:hAnsi="Times New Roman" w:cs="Times New Roman"/>
          <w:sz w:val="24"/>
          <w:szCs w:val="24"/>
        </w:rPr>
        <w:t>particularly above premium pricing tiers ($70+/month)</w:t>
      </w:r>
      <w:r w:rsidR="00F432A9">
        <w:rPr>
          <w:rFonts w:ascii="Times New Roman" w:hAnsi="Times New Roman" w:cs="Times New Roman"/>
          <w:sz w:val="24"/>
          <w:szCs w:val="24"/>
        </w:rPr>
        <w:t xml:space="preserve"> </w:t>
      </w:r>
      <w:r w:rsidRPr="0061111E">
        <w:rPr>
          <w:rFonts w:ascii="Times New Roman" w:hAnsi="Times New Roman" w:cs="Times New Roman"/>
          <w:sz w:val="24"/>
          <w:szCs w:val="24"/>
        </w:rPr>
        <w:t>price sensitivity increases dramatically, prompting competitive shopping.</w:t>
      </w:r>
    </w:p>
    <w:p w14:paraId="0D40B34E" w14:textId="77777777" w:rsidR="007413E7" w:rsidRPr="0061111E" w:rsidRDefault="00000000" w:rsidP="0061111E">
      <w:pPr>
        <w:numPr>
          <w:ilvl w:val="0"/>
          <w:numId w:val="1"/>
        </w:num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b/>
          <w:bCs/>
          <w:sz w:val="24"/>
          <w:szCs w:val="24"/>
        </w:rPr>
        <w:t>Contractual Structure Vulnerability:</w:t>
      </w:r>
      <w:r w:rsidRPr="0061111E">
        <w:rPr>
          <w:rFonts w:ascii="Times New Roman" w:hAnsi="Times New Roman" w:cs="Times New Roman"/>
          <w:sz w:val="24"/>
          <w:szCs w:val="24"/>
        </w:rPr>
        <w:t xml:space="preserve"> Month-to-month contracts impose no switching barriers or financial penalties, creating an easy exit mechanism for dissatisfied or price-sensitive users.</w:t>
      </w:r>
    </w:p>
    <w:p w14:paraId="0D40B34F" w14:textId="77777777" w:rsidR="007413E7" w:rsidRPr="0061111E" w:rsidRDefault="00000000" w:rsidP="0061111E">
      <w:pPr>
        <w:numPr>
          <w:ilvl w:val="0"/>
          <w:numId w:val="1"/>
        </w:num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b/>
          <w:bCs/>
          <w:sz w:val="24"/>
          <w:szCs w:val="24"/>
        </w:rPr>
        <w:t>Service Quality &amp; Product Mix Disconnects:</w:t>
      </w:r>
      <w:r w:rsidRPr="0061111E">
        <w:rPr>
          <w:rFonts w:ascii="Times New Roman" w:hAnsi="Times New Roman" w:cs="Times New Roman"/>
          <w:sz w:val="24"/>
          <w:szCs w:val="24"/>
        </w:rPr>
        <w:t xml:space="preserve"> High-bandwidth services (such as Fiber Optic internet) carry higher monthly costs. If service delivery or technical support fails to meet elevated consumer expectations, churn risk spikes.</w:t>
      </w:r>
    </w:p>
    <w:p w14:paraId="0D40B350" w14:textId="77777777" w:rsidR="007413E7" w:rsidRPr="0061111E" w:rsidRDefault="00000000" w:rsidP="0061111E">
      <w:pPr>
        <w:numPr>
          <w:ilvl w:val="0"/>
          <w:numId w:val="1"/>
        </w:num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b/>
          <w:bCs/>
          <w:sz w:val="24"/>
          <w:szCs w:val="24"/>
        </w:rPr>
        <w:t>Payment Process Friction:</w:t>
      </w:r>
      <w:r w:rsidRPr="0061111E">
        <w:rPr>
          <w:rFonts w:ascii="Times New Roman" w:hAnsi="Times New Roman" w:cs="Times New Roman"/>
          <w:sz w:val="24"/>
          <w:szCs w:val="24"/>
        </w:rPr>
        <w:t xml:space="preserve"> Manual payment methods, such as physical or electronic checks, force subscribers to make a conscious renewal decision every billing cycle, whereas automated recurring payments eliminate billing friction.</w:t>
      </w:r>
    </w:p>
    <w:p w14:paraId="0D40B351" w14:textId="77777777" w:rsidR="007413E7" w:rsidRPr="0061111E" w:rsidRDefault="00000000" w:rsidP="0061111E">
      <w:pPr>
        <w:pStyle w:val="Heading2"/>
        <w:spacing w:line="276" w:lineRule="auto"/>
        <w:jc w:val="both"/>
        <w:rPr>
          <w:rFonts w:ascii="Times New Roman" w:hAnsi="Times New Roman" w:cs="Times New Roman"/>
          <w:sz w:val="24"/>
          <w:szCs w:val="24"/>
        </w:rPr>
      </w:pPr>
      <w:r w:rsidRPr="0061111E">
        <w:rPr>
          <w:rFonts w:ascii="Times New Roman" w:hAnsi="Times New Roman" w:cs="Times New Roman"/>
          <w:sz w:val="24"/>
          <w:szCs w:val="24"/>
        </w:rPr>
        <w:t>4. Quantitative KPI Framework &amp; Baseline Dataset Scope</w:t>
      </w:r>
    </w:p>
    <w:p w14:paraId="0D40B352" w14:textId="77777777" w:rsidR="007413E7" w:rsidRPr="0061111E" w:rsidRDefault="00000000" w:rsidP="0061111E">
      <w:pPr>
        <w:pBdr>
          <w:top w:val="nil"/>
          <w:left w:val="nil"/>
          <w:bottom w:val="nil"/>
          <w:right w:val="nil"/>
          <w:between w:val="nil"/>
        </w:pBdr>
        <w:spacing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 xml:space="preserve">To systematically measure customer churn and track the efficacy of business intelligence interventions, the project utilizes the following key performance indicators across the </w:t>
      </w:r>
      <w:proofErr w:type="gramStart"/>
      <w:r w:rsidRPr="0061111E">
        <w:rPr>
          <w:rFonts w:ascii="Times New Roman" w:hAnsi="Times New Roman" w:cs="Times New Roman"/>
          <w:sz w:val="24"/>
          <w:szCs w:val="24"/>
        </w:rPr>
        <w:t xml:space="preserve">7,043 </w:t>
      </w:r>
      <w:r w:rsidRPr="0061111E">
        <w:rPr>
          <w:rFonts w:ascii="Times New Roman" w:hAnsi="Times New Roman" w:cs="Times New Roman"/>
          <w:sz w:val="24"/>
          <w:szCs w:val="24"/>
        </w:rPr>
        <w:lastRenderedPageBreak/>
        <w:t>subscriber</w:t>
      </w:r>
      <w:proofErr w:type="gramEnd"/>
      <w:r w:rsidRPr="0061111E">
        <w:rPr>
          <w:rFonts w:ascii="Times New Roman" w:hAnsi="Times New Roman" w:cs="Times New Roman"/>
          <w:sz w:val="24"/>
          <w:szCs w:val="24"/>
        </w:rPr>
        <w:t xml:space="preserve"> dataset:</w:t>
      </w:r>
    </w:p>
    <w:tbl>
      <w:tblPr>
        <w:tblStyle w:val="a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20"/>
        <w:gridCol w:w="3120"/>
        <w:gridCol w:w="3120"/>
      </w:tblGrid>
      <w:tr w:rsidR="007413E7" w:rsidRPr="0061111E" w14:paraId="0D40B357" w14:textId="77777777" w:rsidTr="00220543">
        <w:trPr>
          <w:tblHeader/>
        </w:trPr>
        <w:tc>
          <w:tcPr>
            <w:tcW w:w="3120" w:type="dxa"/>
            <w:shd w:val="clear" w:color="auto" w:fill="F2F4F8"/>
            <w:tcMar>
              <w:top w:w="150" w:type="dxa"/>
              <w:left w:w="150" w:type="dxa"/>
              <w:bottom w:w="150" w:type="dxa"/>
              <w:right w:w="150" w:type="dxa"/>
            </w:tcMar>
          </w:tcPr>
          <w:p w14:paraId="0D40B353"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Key Performance Indicator</w:t>
            </w:r>
          </w:p>
        </w:tc>
        <w:tc>
          <w:tcPr>
            <w:tcW w:w="3120" w:type="dxa"/>
            <w:shd w:val="clear" w:color="auto" w:fill="F2F4F8"/>
            <w:tcMar>
              <w:top w:w="150" w:type="dxa"/>
              <w:left w:w="150" w:type="dxa"/>
              <w:bottom w:w="150" w:type="dxa"/>
              <w:right w:w="150" w:type="dxa"/>
            </w:tcMar>
          </w:tcPr>
          <w:p w14:paraId="0D40B354"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Formula / Definition</w:t>
            </w:r>
          </w:p>
        </w:tc>
        <w:tc>
          <w:tcPr>
            <w:tcW w:w="3120" w:type="dxa"/>
            <w:shd w:val="clear" w:color="auto" w:fill="F2F4F8"/>
            <w:tcMar>
              <w:top w:w="150" w:type="dxa"/>
              <w:left w:w="150" w:type="dxa"/>
              <w:bottom w:w="150" w:type="dxa"/>
              <w:right w:w="150" w:type="dxa"/>
            </w:tcMar>
          </w:tcPr>
          <w:p w14:paraId="0D40B355"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Baseline Target / Benchmark</w:t>
            </w:r>
          </w:p>
          <w:p w14:paraId="0D40B356" w14:textId="77777777" w:rsidR="007413E7" w:rsidRPr="0061111E" w:rsidRDefault="00000000" w:rsidP="0061111E">
            <w:p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sz w:val="24"/>
                <w:szCs w:val="24"/>
              </w:rPr>
              <w:t xml:space="preserve"> </w:t>
            </w:r>
          </w:p>
        </w:tc>
      </w:tr>
      <w:tr w:rsidR="007413E7" w:rsidRPr="0061111E" w14:paraId="0D40B35B" w14:textId="77777777" w:rsidTr="00220543">
        <w:tc>
          <w:tcPr>
            <w:tcW w:w="3120" w:type="dxa"/>
            <w:tcMar>
              <w:top w:w="150" w:type="dxa"/>
              <w:left w:w="150" w:type="dxa"/>
              <w:bottom w:w="150" w:type="dxa"/>
              <w:right w:w="150" w:type="dxa"/>
            </w:tcMar>
          </w:tcPr>
          <w:p w14:paraId="0D40B358"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b/>
                <w:bCs/>
                <w:sz w:val="24"/>
                <w:szCs w:val="24"/>
              </w:rPr>
            </w:pPr>
            <w:r w:rsidRPr="0061111E">
              <w:rPr>
                <w:rFonts w:ascii="Times New Roman" w:hAnsi="Times New Roman" w:cs="Times New Roman"/>
                <w:b/>
                <w:bCs/>
                <w:sz w:val="24"/>
                <w:szCs w:val="24"/>
              </w:rPr>
              <w:t>Baseline Churn Rate</w:t>
            </w:r>
          </w:p>
        </w:tc>
        <w:tc>
          <w:tcPr>
            <w:tcW w:w="3120" w:type="dxa"/>
            <w:tcMar>
              <w:top w:w="150" w:type="dxa"/>
              <w:left w:w="150" w:type="dxa"/>
              <w:bottom w:w="150" w:type="dxa"/>
              <w:right w:w="150" w:type="dxa"/>
            </w:tcMar>
          </w:tcPr>
          <w:p w14:paraId="0D40B359"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(Total Churned Accounts / Total Subscriber Records) × 100</w:t>
            </w:r>
          </w:p>
        </w:tc>
        <w:tc>
          <w:tcPr>
            <w:tcW w:w="3120" w:type="dxa"/>
            <w:tcMar>
              <w:top w:w="150" w:type="dxa"/>
              <w:left w:w="150" w:type="dxa"/>
              <w:bottom w:w="150" w:type="dxa"/>
              <w:right w:w="150" w:type="dxa"/>
            </w:tcMar>
          </w:tcPr>
          <w:p w14:paraId="0D40B35A"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26.54% (1,869 / 7,043 Accounts)</w:t>
            </w:r>
          </w:p>
        </w:tc>
      </w:tr>
      <w:tr w:rsidR="007413E7" w:rsidRPr="0061111E" w14:paraId="0D40B35F" w14:textId="77777777" w:rsidTr="00220543">
        <w:tc>
          <w:tcPr>
            <w:tcW w:w="3120" w:type="dxa"/>
            <w:shd w:val="clear" w:color="auto" w:fill="F9FBFD"/>
            <w:tcMar>
              <w:top w:w="150" w:type="dxa"/>
              <w:left w:w="150" w:type="dxa"/>
              <w:bottom w:w="150" w:type="dxa"/>
              <w:right w:w="150" w:type="dxa"/>
            </w:tcMar>
          </w:tcPr>
          <w:p w14:paraId="0D40B35C"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b/>
                <w:bCs/>
                <w:sz w:val="24"/>
                <w:szCs w:val="24"/>
              </w:rPr>
            </w:pPr>
            <w:r w:rsidRPr="0061111E">
              <w:rPr>
                <w:rFonts w:ascii="Times New Roman" w:hAnsi="Times New Roman" w:cs="Times New Roman"/>
                <w:b/>
                <w:bCs/>
                <w:sz w:val="24"/>
                <w:szCs w:val="24"/>
              </w:rPr>
              <w:t>Active Retention Share</w:t>
            </w:r>
          </w:p>
        </w:tc>
        <w:tc>
          <w:tcPr>
            <w:tcW w:w="3120" w:type="dxa"/>
            <w:shd w:val="clear" w:color="auto" w:fill="F9FBFD"/>
            <w:tcMar>
              <w:top w:w="150" w:type="dxa"/>
              <w:left w:w="150" w:type="dxa"/>
              <w:bottom w:w="150" w:type="dxa"/>
              <w:right w:w="150" w:type="dxa"/>
            </w:tcMar>
          </w:tcPr>
          <w:p w14:paraId="0D40B35D"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(Active Accounts / Total Subscriber Records) × 100</w:t>
            </w:r>
          </w:p>
        </w:tc>
        <w:tc>
          <w:tcPr>
            <w:tcW w:w="3120" w:type="dxa"/>
            <w:shd w:val="clear" w:color="auto" w:fill="F9FBFD"/>
            <w:tcMar>
              <w:top w:w="150" w:type="dxa"/>
              <w:left w:w="150" w:type="dxa"/>
              <w:bottom w:w="150" w:type="dxa"/>
              <w:right w:w="150" w:type="dxa"/>
            </w:tcMar>
          </w:tcPr>
          <w:p w14:paraId="0D40B35E"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73.46% (5,174 / 7,043 Accounts)</w:t>
            </w:r>
          </w:p>
        </w:tc>
      </w:tr>
      <w:tr w:rsidR="007413E7" w:rsidRPr="0061111E" w14:paraId="0D40B363" w14:textId="77777777" w:rsidTr="00220543">
        <w:tc>
          <w:tcPr>
            <w:tcW w:w="3120" w:type="dxa"/>
            <w:tcMar>
              <w:top w:w="150" w:type="dxa"/>
              <w:left w:w="150" w:type="dxa"/>
              <w:bottom w:w="150" w:type="dxa"/>
              <w:right w:w="150" w:type="dxa"/>
            </w:tcMar>
          </w:tcPr>
          <w:p w14:paraId="0D40B360"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b/>
                <w:bCs/>
                <w:sz w:val="24"/>
                <w:szCs w:val="24"/>
              </w:rPr>
            </w:pPr>
            <w:r w:rsidRPr="0061111E">
              <w:rPr>
                <w:rFonts w:ascii="Times New Roman" w:hAnsi="Times New Roman" w:cs="Times New Roman"/>
                <w:b/>
                <w:bCs/>
                <w:sz w:val="24"/>
                <w:szCs w:val="24"/>
              </w:rPr>
              <w:t>Contract Risk Index</w:t>
            </w:r>
          </w:p>
        </w:tc>
        <w:tc>
          <w:tcPr>
            <w:tcW w:w="3120" w:type="dxa"/>
            <w:tcMar>
              <w:top w:w="150" w:type="dxa"/>
              <w:left w:w="150" w:type="dxa"/>
              <w:bottom w:w="150" w:type="dxa"/>
              <w:right w:w="150" w:type="dxa"/>
            </w:tcMar>
          </w:tcPr>
          <w:p w14:paraId="0D40B361"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Churn Rate per Contract Category (Month-to-Month vs. Term)</w:t>
            </w:r>
          </w:p>
        </w:tc>
        <w:tc>
          <w:tcPr>
            <w:tcW w:w="3120" w:type="dxa"/>
            <w:tcMar>
              <w:top w:w="150" w:type="dxa"/>
              <w:left w:w="150" w:type="dxa"/>
              <w:bottom w:w="150" w:type="dxa"/>
              <w:right w:w="150" w:type="dxa"/>
            </w:tcMar>
          </w:tcPr>
          <w:p w14:paraId="0D40B362"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42.71% (Month-to-Month) vs. 2.83% (2-Year)</w:t>
            </w:r>
          </w:p>
        </w:tc>
      </w:tr>
      <w:tr w:rsidR="007413E7" w:rsidRPr="0061111E" w14:paraId="0D40B367" w14:textId="77777777" w:rsidTr="00220543">
        <w:tc>
          <w:tcPr>
            <w:tcW w:w="3120" w:type="dxa"/>
            <w:shd w:val="clear" w:color="auto" w:fill="F9FBFD"/>
            <w:tcMar>
              <w:top w:w="150" w:type="dxa"/>
              <w:left w:w="150" w:type="dxa"/>
              <w:bottom w:w="150" w:type="dxa"/>
              <w:right w:w="150" w:type="dxa"/>
            </w:tcMar>
          </w:tcPr>
          <w:p w14:paraId="0D40B364"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b/>
                <w:bCs/>
                <w:sz w:val="24"/>
                <w:szCs w:val="24"/>
              </w:rPr>
            </w:pPr>
            <w:r w:rsidRPr="0061111E">
              <w:rPr>
                <w:rFonts w:ascii="Times New Roman" w:hAnsi="Times New Roman" w:cs="Times New Roman"/>
                <w:b/>
                <w:bCs/>
                <w:sz w:val="24"/>
                <w:szCs w:val="24"/>
              </w:rPr>
              <w:t>Pricing Tier Vulnerability</w:t>
            </w:r>
          </w:p>
        </w:tc>
        <w:tc>
          <w:tcPr>
            <w:tcW w:w="3120" w:type="dxa"/>
            <w:shd w:val="clear" w:color="auto" w:fill="F9FBFD"/>
            <w:tcMar>
              <w:top w:w="150" w:type="dxa"/>
              <w:left w:w="150" w:type="dxa"/>
              <w:bottom w:w="150" w:type="dxa"/>
              <w:right w:w="150" w:type="dxa"/>
            </w:tcMar>
          </w:tcPr>
          <w:p w14:paraId="0D40B365"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Churn Rate across $10 Billing Bins ($18.25 - $118.75 Range)</w:t>
            </w:r>
          </w:p>
        </w:tc>
        <w:tc>
          <w:tcPr>
            <w:tcW w:w="3120" w:type="dxa"/>
            <w:shd w:val="clear" w:color="auto" w:fill="F9FBFD"/>
            <w:tcMar>
              <w:top w:w="150" w:type="dxa"/>
              <w:left w:w="150" w:type="dxa"/>
              <w:bottom w:w="150" w:type="dxa"/>
              <w:right w:w="150" w:type="dxa"/>
            </w:tcMar>
          </w:tcPr>
          <w:p w14:paraId="0D40B366" w14:textId="77777777" w:rsidR="007413E7" w:rsidRPr="0061111E" w:rsidRDefault="00000000" w:rsidP="0061111E">
            <w:pPr>
              <w:pBdr>
                <w:top w:val="nil"/>
                <w:left w:val="nil"/>
                <w:bottom w:val="nil"/>
                <w:right w:val="nil"/>
                <w:between w:val="nil"/>
              </w:pBdr>
              <w:spacing w:before="150" w:after="150" w:line="276" w:lineRule="auto"/>
              <w:jc w:val="both"/>
              <w:rPr>
                <w:rFonts w:ascii="Times New Roman" w:hAnsi="Times New Roman" w:cs="Times New Roman"/>
                <w:sz w:val="24"/>
                <w:szCs w:val="24"/>
              </w:rPr>
            </w:pPr>
            <w:r w:rsidRPr="0061111E">
              <w:rPr>
                <w:rFonts w:ascii="Times New Roman" w:hAnsi="Times New Roman" w:cs="Times New Roman"/>
                <w:sz w:val="24"/>
                <w:szCs w:val="24"/>
              </w:rPr>
              <w:t>Concentrated Attrition Spike &gt; $70/month</w:t>
            </w:r>
          </w:p>
        </w:tc>
      </w:tr>
    </w:tbl>
    <w:p w14:paraId="0D40B368" w14:textId="77777777" w:rsidR="007413E7" w:rsidRPr="0061111E" w:rsidRDefault="00000000" w:rsidP="0061111E">
      <w:pPr>
        <w:pStyle w:val="Heading2"/>
        <w:spacing w:line="276" w:lineRule="auto"/>
        <w:jc w:val="both"/>
        <w:rPr>
          <w:rFonts w:ascii="Times New Roman" w:hAnsi="Times New Roman" w:cs="Times New Roman"/>
          <w:sz w:val="24"/>
          <w:szCs w:val="24"/>
        </w:rPr>
      </w:pPr>
      <w:r w:rsidRPr="0061111E">
        <w:rPr>
          <w:rFonts w:ascii="Times New Roman" w:hAnsi="Times New Roman" w:cs="Times New Roman"/>
          <w:sz w:val="24"/>
          <w:szCs w:val="24"/>
        </w:rPr>
        <w:t>5. Research Questions &amp; Analytical Scope</w:t>
      </w:r>
    </w:p>
    <w:p w14:paraId="0D40B369" w14:textId="77777777" w:rsidR="007413E7" w:rsidRPr="0061111E" w:rsidRDefault="00000000" w:rsidP="0061111E">
      <w:p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sz w:val="24"/>
          <w:szCs w:val="24"/>
        </w:rPr>
        <w:t>This business intelligence investigation seeks to answer seven core operational questions to guide senior management decision-making:</w:t>
      </w:r>
    </w:p>
    <w:p w14:paraId="61EB1E2A" w14:textId="77777777" w:rsidR="007B2912" w:rsidRPr="00CB32AA" w:rsidRDefault="007B2912" w:rsidP="007B2912">
      <w:pPr>
        <w:pStyle w:val="Heading2"/>
        <w:spacing w:line="276" w:lineRule="auto"/>
        <w:jc w:val="both"/>
        <w:rPr>
          <w:rFonts w:ascii="Times New Roman" w:hAnsi="Times New Roman" w:cs="Times New Roman"/>
          <w:b w:val="0"/>
          <w:bCs w:val="0"/>
          <w:sz w:val="24"/>
          <w:szCs w:val="24"/>
          <w:u w:val="single"/>
        </w:rPr>
      </w:pPr>
      <w:r w:rsidRPr="00CB32AA">
        <w:rPr>
          <w:rFonts w:ascii="Times New Roman" w:hAnsi="Times New Roman" w:cs="Times New Roman"/>
          <w:b w:val="0"/>
          <w:bCs w:val="0"/>
          <w:sz w:val="24"/>
          <w:szCs w:val="24"/>
          <w:u w:val="single"/>
        </w:rPr>
        <w:t>Customer Base Overview</w:t>
      </w:r>
    </w:p>
    <w:p w14:paraId="13F11118"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Total Volume: 7,043 subscriber records (5,174 active, 1,869 churned).</w:t>
      </w:r>
    </w:p>
    <w:p w14:paraId="22298569"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Baseline Churn: 26.54% overall subscriber attrition rate.</w:t>
      </w:r>
    </w:p>
    <w:p w14:paraId="2DEFCFC2"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Pricing Segments: Dual-peak distribution split between budget users ($20–$30/month) and premium users ($70–$110/month).</w:t>
      </w:r>
    </w:p>
    <w:p w14:paraId="64020B4F"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Demographics: Evenly split across genders with negligible variance (0.76%), proving demographic neutrality.</w:t>
      </w:r>
    </w:p>
    <w:p w14:paraId="3D78BAA1" w14:textId="77777777" w:rsidR="007B2912" w:rsidRPr="00CB32AA" w:rsidRDefault="007B2912" w:rsidP="007B2912">
      <w:pPr>
        <w:pStyle w:val="Heading2"/>
        <w:spacing w:line="276" w:lineRule="auto"/>
        <w:jc w:val="both"/>
        <w:rPr>
          <w:rFonts w:ascii="Times New Roman" w:hAnsi="Times New Roman" w:cs="Times New Roman"/>
          <w:b w:val="0"/>
          <w:bCs w:val="0"/>
          <w:sz w:val="24"/>
          <w:szCs w:val="24"/>
          <w:u w:val="single"/>
        </w:rPr>
      </w:pPr>
      <w:r w:rsidRPr="00CB32AA">
        <w:rPr>
          <w:rFonts w:ascii="Times New Roman" w:hAnsi="Times New Roman" w:cs="Times New Roman"/>
          <w:b w:val="0"/>
          <w:bCs w:val="0"/>
          <w:sz w:val="24"/>
          <w:szCs w:val="24"/>
          <w:u w:val="single"/>
        </w:rPr>
        <w:t>High-Churn Segments</w:t>
      </w:r>
    </w:p>
    <w:p w14:paraId="5B9C7FAA"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lastRenderedPageBreak/>
        <w:t>Month-to-Month Contract Holders: 42.71% churn rate.</w:t>
      </w:r>
    </w:p>
    <w:p w14:paraId="1DDA7A0C"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High Billing Accounts ($70+): Attrition spikes heavily in the $70–$100/month range.</w:t>
      </w:r>
    </w:p>
    <w:p w14:paraId="6188D74E"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New Accounts (0–6 Months Tenure): Early-stage subscribers experience the highest frequency of cancellation.</w:t>
      </w:r>
    </w:p>
    <w:p w14:paraId="59B8A6F9"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Electronic Check Users: Highest churn volume among all payment methods.</w:t>
      </w:r>
    </w:p>
    <w:p w14:paraId="1BEA7DEB" w14:textId="77777777" w:rsidR="007B2912" w:rsidRPr="00FE1464" w:rsidRDefault="007B2912" w:rsidP="007B2912">
      <w:pPr>
        <w:pStyle w:val="Heading2"/>
        <w:spacing w:line="276" w:lineRule="auto"/>
        <w:jc w:val="both"/>
        <w:rPr>
          <w:rFonts w:ascii="Times New Roman" w:hAnsi="Times New Roman" w:cs="Times New Roman"/>
          <w:b w:val="0"/>
          <w:bCs w:val="0"/>
          <w:sz w:val="24"/>
          <w:szCs w:val="24"/>
          <w:u w:val="single"/>
        </w:rPr>
      </w:pPr>
      <w:r w:rsidRPr="00FE1464">
        <w:rPr>
          <w:rFonts w:ascii="Times New Roman" w:hAnsi="Times New Roman" w:cs="Times New Roman"/>
          <w:b w:val="0"/>
          <w:bCs w:val="0"/>
          <w:sz w:val="24"/>
          <w:szCs w:val="24"/>
          <w:u w:val="single"/>
        </w:rPr>
        <w:t>Contract Type &amp; Retention</w:t>
      </w:r>
    </w:p>
    <w:p w14:paraId="0DED6396" w14:textId="166579AA"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 xml:space="preserve">Month-to-Month: 42.71% churn rate </w:t>
      </w:r>
      <w:r w:rsidR="00CB32AA">
        <w:rPr>
          <w:rFonts w:ascii="Times New Roman" w:hAnsi="Times New Roman" w:cs="Times New Roman"/>
          <w:b w:val="0"/>
          <w:bCs w:val="0"/>
          <w:sz w:val="24"/>
          <w:szCs w:val="24"/>
        </w:rPr>
        <w:t>(primary</w:t>
      </w:r>
      <w:r w:rsidRPr="007B2912">
        <w:rPr>
          <w:rFonts w:ascii="Times New Roman" w:hAnsi="Times New Roman" w:cs="Times New Roman"/>
          <w:b w:val="0"/>
          <w:bCs w:val="0"/>
          <w:sz w:val="24"/>
          <w:szCs w:val="24"/>
        </w:rPr>
        <w:t xml:space="preserve"> risk entry point).</w:t>
      </w:r>
    </w:p>
    <w:p w14:paraId="67122258"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One-Year Contract: 11.27% churn rate.</w:t>
      </w:r>
    </w:p>
    <w:p w14:paraId="3DBC744B" w14:textId="689215C1"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 xml:space="preserve">Two-Year Contract: 2.83% churn rate </w:t>
      </w:r>
      <w:r w:rsidR="00CB32AA">
        <w:rPr>
          <w:rFonts w:ascii="Times New Roman" w:hAnsi="Times New Roman" w:cs="Times New Roman"/>
          <w:b w:val="0"/>
          <w:bCs w:val="0"/>
          <w:sz w:val="24"/>
          <w:szCs w:val="24"/>
        </w:rPr>
        <w:t>(highest</w:t>
      </w:r>
      <w:r w:rsidRPr="007B2912">
        <w:rPr>
          <w:rFonts w:ascii="Times New Roman" w:hAnsi="Times New Roman" w:cs="Times New Roman"/>
          <w:b w:val="0"/>
          <w:bCs w:val="0"/>
          <w:sz w:val="24"/>
          <w:szCs w:val="24"/>
        </w:rPr>
        <w:t xml:space="preserve"> retention stability).</w:t>
      </w:r>
    </w:p>
    <w:p w14:paraId="01C6316C"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Verdict: Contract architecture is the single strongest predictor of customer retention.</w:t>
      </w:r>
    </w:p>
    <w:p w14:paraId="2B62BD59" w14:textId="77777777" w:rsidR="007B2912" w:rsidRPr="00FE1464" w:rsidRDefault="007B2912" w:rsidP="007B2912">
      <w:pPr>
        <w:pStyle w:val="Heading2"/>
        <w:spacing w:line="276" w:lineRule="auto"/>
        <w:jc w:val="both"/>
        <w:rPr>
          <w:rFonts w:ascii="Times New Roman" w:hAnsi="Times New Roman" w:cs="Times New Roman"/>
          <w:b w:val="0"/>
          <w:bCs w:val="0"/>
          <w:sz w:val="24"/>
          <w:szCs w:val="24"/>
          <w:u w:val="single"/>
        </w:rPr>
      </w:pPr>
      <w:r w:rsidRPr="00FE1464">
        <w:rPr>
          <w:rFonts w:ascii="Times New Roman" w:hAnsi="Times New Roman" w:cs="Times New Roman"/>
          <w:b w:val="0"/>
          <w:bCs w:val="0"/>
          <w:sz w:val="24"/>
          <w:szCs w:val="24"/>
          <w:u w:val="single"/>
        </w:rPr>
        <w:t>Tenure &amp; Loyalty</w:t>
      </w:r>
    </w:p>
    <w:p w14:paraId="0606D342"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New Joiners (Month 1): Sharpest drop-off point in the customer lifecycle.</w:t>
      </w:r>
    </w:p>
    <w:p w14:paraId="4EE33FE0"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Long-Term Loyalists (Month 72): Attrition approaches near-zero as tenure increases.</w:t>
      </w:r>
    </w:p>
    <w:p w14:paraId="7F16575A" w14:textId="77777777" w:rsidR="007B2912" w:rsidRPr="00FE1464" w:rsidRDefault="007B2912" w:rsidP="007B2912">
      <w:pPr>
        <w:pStyle w:val="Heading2"/>
        <w:spacing w:line="276" w:lineRule="auto"/>
        <w:jc w:val="both"/>
        <w:rPr>
          <w:rFonts w:ascii="Times New Roman" w:hAnsi="Times New Roman" w:cs="Times New Roman"/>
          <w:b w:val="0"/>
          <w:bCs w:val="0"/>
          <w:sz w:val="24"/>
          <w:szCs w:val="24"/>
          <w:u w:val="single"/>
        </w:rPr>
      </w:pPr>
      <w:r w:rsidRPr="007B2912">
        <w:rPr>
          <w:rFonts w:ascii="Times New Roman" w:hAnsi="Times New Roman" w:cs="Times New Roman"/>
          <w:b w:val="0"/>
          <w:bCs w:val="0"/>
          <w:sz w:val="24"/>
          <w:szCs w:val="24"/>
        </w:rPr>
        <w:t>Verdict: Tenure directly increases loyalty; surviving the first 90 days significantly elevates lifetime value.</w:t>
      </w:r>
    </w:p>
    <w:p w14:paraId="172215E1" w14:textId="77777777" w:rsidR="007B2912" w:rsidRPr="00FE1464" w:rsidRDefault="007B2912" w:rsidP="007B2912">
      <w:pPr>
        <w:pStyle w:val="Heading2"/>
        <w:spacing w:line="276" w:lineRule="auto"/>
        <w:jc w:val="both"/>
        <w:rPr>
          <w:rFonts w:ascii="Times New Roman" w:hAnsi="Times New Roman" w:cs="Times New Roman"/>
          <w:b w:val="0"/>
          <w:bCs w:val="0"/>
          <w:sz w:val="24"/>
          <w:szCs w:val="24"/>
          <w:u w:val="single"/>
        </w:rPr>
      </w:pPr>
      <w:r w:rsidRPr="00FE1464">
        <w:rPr>
          <w:rFonts w:ascii="Times New Roman" w:hAnsi="Times New Roman" w:cs="Times New Roman"/>
          <w:b w:val="0"/>
          <w:bCs w:val="0"/>
          <w:sz w:val="24"/>
          <w:szCs w:val="24"/>
          <w:u w:val="single"/>
        </w:rPr>
        <w:t>Services Influencing Churn</w:t>
      </w:r>
    </w:p>
    <w:p w14:paraId="11AE07B9"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Fiber Optic Internet: Exhibits significantly higher churn rates compared to DSL, driven by higher price points ($70+) and service expectations.</w:t>
      </w:r>
    </w:p>
    <w:p w14:paraId="5C6AF369"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Lack of Add-On Services: Customers without Tech Support, Online Security, or Device Protection churn at higher rates than bundled users.</w:t>
      </w:r>
    </w:p>
    <w:p w14:paraId="0E08ED9F"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u w:val="single"/>
        </w:rPr>
      </w:pPr>
      <w:r w:rsidRPr="007B2912">
        <w:rPr>
          <w:rFonts w:ascii="Times New Roman" w:hAnsi="Times New Roman" w:cs="Times New Roman"/>
          <w:b w:val="0"/>
          <w:bCs w:val="0"/>
          <w:sz w:val="24"/>
          <w:szCs w:val="24"/>
          <w:u w:val="single"/>
        </w:rPr>
        <w:t>Payment Method Attrition</w:t>
      </w:r>
    </w:p>
    <w:p w14:paraId="0790A483"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Electronic Check: Highest churn rate (over 45% within this channel).</w:t>
      </w:r>
    </w:p>
    <w:p w14:paraId="5303EE76"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Automated Payments (Bank Transfer / Credit Card): Significantly higher retention rates due to reduced monthly manual billing friction.</w:t>
      </w:r>
    </w:p>
    <w:p w14:paraId="58DFF989"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u w:val="single"/>
        </w:rPr>
      </w:pPr>
      <w:r w:rsidRPr="007B2912">
        <w:rPr>
          <w:rFonts w:ascii="Times New Roman" w:hAnsi="Times New Roman" w:cs="Times New Roman"/>
          <w:b w:val="0"/>
          <w:bCs w:val="0"/>
          <w:sz w:val="24"/>
          <w:szCs w:val="24"/>
          <w:u w:val="single"/>
        </w:rPr>
        <w:t>Management Action Plan</w:t>
      </w:r>
    </w:p>
    <w:p w14:paraId="2374E05A"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 xml:space="preserve">Incentivize Contract Upgrades: Offer a 5% monthly discount to transition month-to-month </w:t>
      </w:r>
      <w:r w:rsidRPr="007B2912">
        <w:rPr>
          <w:rFonts w:ascii="Times New Roman" w:hAnsi="Times New Roman" w:cs="Times New Roman"/>
          <w:b w:val="0"/>
          <w:bCs w:val="0"/>
          <w:sz w:val="24"/>
          <w:szCs w:val="24"/>
        </w:rPr>
        <w:lastRenderedPageBreak/>
        <w:t>subscribers into 1- or 2-year commitments.</w:t>
      </w:r>
    </w:p>
    <w:p w14:paraId="55CF9F88"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 xml:space="preserve">Mitigate $70+ Billing Friction: Bundle value-added services (e.g., free Online Security or Tech Support) into premium </w:t>
      </w:r>
      <w:proofErr w:type="spellStart"/>
      <w:r w:rsidRPr="007B2912">
        <w:rPr>
          <w:rFonts w:ascii="Times New Roman" w:hAnsi="Times New Roman" w:cs="Times New Roman"/>
          <w:b w:val="0"/>
          <w:bCs w:val="0"/>
          <w:sz w:val="24"/>
          <w:szCs w:val="24"/>
        </w:rPr>
        <w:t>fiber</w:t>
      </w:r>
      <w:proofErr w:type="spellEnd"/>
      <w:r w:rsidRPr="007B2912">
        <w:rPr>
          <w:rFonts w:ascii="Times New Roman" w:hAnsi="Times New Roman" w:cs="Times New Roman"/>
          <w:b w:val="0"/>
          <w:bCs w:val="0"/>
          <w:sz w:val="24"/>
          <w:szCs w:val="24"/>
        </w:rPr>
        <w:t xml:space="preserve"> optic tiers to justify cost.</w:t>
      </w:r>
    </w:p>
    <w:p w14:paraId="1927FF26"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Build a 90-Day Early Tenure Care Program: Deploy automated onboarding check-ins during the first 3 months to reduce early-stage defection.</w:t>
      </w:r>
    </w:p>
    <w:p w14:paraId="2E740702"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Promote Auto-Pay Migration: Provide a one-time $10 bill credit for users switching from manual Electronic Checks to automated direct debit.</w:t>
      </w:r>
    </w:p>
    <w:p w14:paraId="343DA607" w14:textId="77777777" w:rsidR="007B2912" w:rsidRPr="007B2912" w:rsidRDefault="007B2912" w:rsidP="007B2912">
      <w:pPr>
        <w:pStyle w:val="Heading2"/>
        <w:spacing w:line="276" w:lineRule="auto"/>
        <w:jc w:val="both"/>
        <w:rPr>
          <w:rFonts w:ascii="Times New Roman" w:hAnsi="Times New Roman" w:cs="Times New Roman"/>
          <w:b w:val="0"/>
          <w:bCs w:val="0"/>
          <w:sz w:val="24"/>
          <w:szCs w:val="24"/>
        </w:rPr>
      </w:pPr>
      <w:r w:rsidRPr="007B2912">
        <w:rPr>
          <w:rFonts w:ascii="Times New Roman" w:hAnsi="Times New Roman" w:cs="Times New Roman"/>
          <w:b w:val="0"/>
          <w:bCs w:val="0"/>
          <w:sz w:val="24"/>
          <w:szCs w:val="24"/>
        </w:rPr>
        <w:t>Deploy Power BI Predictive Tracking: Build an automated early-warning dashboard to flag high-risk, uncommitted accounts for proactive retention outreach.</w:t>
      </w:r>
    </w:p>
    <w:p w14:paraId="0D40B371" w14:textId="77777777" w:rsidR="007413E7" w:rsidRPr="0061111E" w:rsidRDefault="00000000" w:rsidP="0061111E">
      <w:pPr>
        <w:pStyle w:val="Heading2"/>
        <w:spacing w:line="276" w:lineRule="auto"/>
        <w:jc w:val="both"/>
        <w:rPr>
          <w:rFonts w:ascii="Times New Roman" w:hAnsi="Times New Roman" w:cs="Times New Roman"/>
          <w:sz w:val="24"/>
          <w:szCs w:val="24"/>
        </w:rPr>
      </w:pPr>
      <w:r w:rsidRPr="0061111E">
        <w:rPr>
          <w:rFonts w:ascii="Times New Roman" w:hAnsi="Times New Roman" w:cs="Times New Roman"/>
          <w:sz w:val="24"/>
          <w:szCs w:val="24"/>
        </w:rPr>
        <w:t>6. Strategic Objectives &amp; Expected Outcomes</w:t>
      </w:r>
    </w:p>
    <w:p w14:paraId="0D40B372" w14:textId="4D3D3136" w:rsidR="007413E7" w:rsidRPr="0061111E" w:rsidRDefault="00000000" w:rsidP="0061111E">
      <w:p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sz w:val="24"/>
          <w:szCs w:val="24"/>
        </w:rPr>
        <w:t>By executing detailed data hygiene, exploratory data analysis and interactive Power BI dashboard construction, this project will deliver:</w:t>
      </w:r>
    </w:p>
    <w:p w14:paraId="0D40B373" w14:textId="77777777" w:rsidR="007413E7" w:rsidRPr="0061111E" w:rsidRDefault="00000000" w:rsidP="0061111E">
      <w:pPr>
        <w:numPr>
          <w:ilvl w:val="0"/>
          <w:numId w:val="3"/>
        </w:num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b/>
          <w:bCs/>
          <w:sz w:val="24"/>
          <w:szCs w:val="24"/>
        </w:rPr>
        <w:t>Data Quality Assurance:</w:t>
      </w:r>
      <w:r w:rsidRPr="0061111E">
        <w:rPr>
          <w:rFonts w:ascii="Times New Roman" w:hAnsi="Times New Roman" w:cs="Times New Roman"/>
          <w:sz w:val="24"/>
          <w:szCs w:val="24"/>
        </w:rPr>
        <w:t xml:space="preserve"> A clean, transformed dataset with standardized zero-tenure billing records and engineered tenure bins.</w:t>
      </w:r>
    </w:p>
    <w:p w14:paraId="0D40B374" w14:textId="77777777" w:rsidR="007413E7" w:rsidRPr="0061111E" w:rsidRDefault="00000000" w:rsidP="0061111E">
      <w:pPr>
        <w:numPr>
          <w:ilvl w:val="0"/>
          <w:numId w:val="3"/>
        </w:num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b/>
          <w:bCs/>
          <w:sz w:val="24"/>
          <w:szCs w:val="24"/>
        </w:rPr>
        <w:t>Empirical Risk Identification:</w:t>
      </w:r>
      <w:r w:rsidRPr="0061111E">
        <w:rPr>
          <w:rFonts w:ascii="Times New Roman" w:hAnsi="Times New Roman" w:cs="Times New Roman"/>
          <w:sz w:val="24"/>
          <w:szCs w:val="24"/>
        </w:rPr>
        <w:t xml:space="preserve"> Clear statistical proof isolating contract architecture and pricing tiers as primary drivers over demographic factors.</w:t>
      </w:r>
    </w:p>
    <w:p w14:paraId="0D40B375" w14:textId="77777777" w:rsidR="007413E7" w:rsidRDefault="00000000" w:rsidP="0061111E">
      <w:pPr>
        <w:numPr>
          <w:ilvl w:val="0"/>
          <w:numId w:val="3"/>
        </w:numPr>
        <w:pBdr>
          <w:top w:val="nil"/>
          <w:left w:val="nil"/>
          <w:bottom w:val="nil"/>
          <w:right w:val="nil"/>
          <w:between w:val="nil"/>
        </w:pBdr>
        <w:spacing w:line="276" w:lineRule="auto"/>
        <w:jc w:val="both"/>
        <w:rPr>
          <w:rFonts w:ascii="Times New Roman" w:hAnsi="Times New Roman" w:cs="Times New Roman"/>
          <w:sz w:val="24"/>
          <w:szCs w:val="24"/>
        </w:rPr>
      </w:pPr>
      <w:r w:rsidRPr="0061111E">
        <w:rPr>
          <w:rFonts w:ascii="Times New Roman" w:hAnsi="Times New Roman" w:cs="Times New Roman"/>
          <w:b/>
          <w:bCs/>
          <w:sz w:val="24"/>
          <w:szCs w:val="24"/>
        </w:rPr>
        <w:t>Actionable Retention Roadmap:</w:t>
      </w:r>
      <w:r w:rsidRPr="0061111E">
        <w:rPr>
          <w:rFonts w:ascii="Times New Roman" w:hAnsi="Times New Roman" w:cs="Times New Roman"/>
          <w:sz w:val="24"/>
          <w:szCs w:val="24"/>
        </w:rPr>
        <w:t xml:space="preserve"> Targeted recommendations including contract migration incentives, bundled premium packages, auto-pay migration incentives, and early tenure onboarding workflows.</w:t>
      </w:r>
    </w:p>
    <w:p w14:paraId="6F3CFD68" w14:textId="50AC009C" w:rsidR="00DB59CC" w:rsidRPr="00AD0018" w:rsidRDefault="00670ABC" w:rsidP="00AD0018">
      <w:pPr>
        <w:pBdr>
          <w:top w:val="nil"/>
          <w:left w:val="nil"/>
          <w:bottom w:val="nil"/>
          <w:right w:val="nil"/>
          <w:between w:val="nil"/>
        </w:pBdr>
        <w:spacing w:line="276" w:lineRule="auto"/>
        <w:ind w:left="600"/>
        <w:jc w:val="both"/>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37C21E05" wp14:editId="0B552C35">
            <wp:extent cx="5943600" cy="3347720"/>
            <wp:effectExtent l="0" t="0" r="0" b="5080"/>
            <wp:docPr id="191068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7144" name="Picture 1910687144"/>
                    <pic:cNvPicPr/>
                  </pic:nvPicPr>
                  <pic:blipFill>
                    <a:blip r:embed="rId5">
                      <a:extLst>
                        <a:ext uri="{28A0092B-C50C-407E-A947-70E740481C1C}">
                          <a14:useLocalDpi xmlns:a14="http://schemas.microsoft.com/office/drawing/2010/main" val="0"/>
                        </a:ext>
                      </a:extLst>
                    </a:blip>
                    <a:stretch>
                      <a:fillRect/>
                    </a:stretch>
                  </pic:blipFill>
                  <pic:spPr>
                    <a:xfrm>
                      <a:off x="0" y="0"/>
                      <a:ext cx="5943600" cy="3347720"/>
                    </a:xfrm>
                    <a:prstGeom prst="rect">
                      <a:avLst/>
                    </a:prstGeom>
                  </pic:spPr>
                </pic:pic>
              </a:graphicData>
            </a:graphic>
          </wp:inline>
        </w:drawing>
      </w:r>
      <w:r w:rsidR="00132AC7" w:rsidRPr="00132AC7">
        <w:rPr>
          <w:rFonts w:ascii="Times New Roman" w:hAnsi="Times New Roman" w:cs="Times New Roman"/>
          <w:b/>
          <w:bCs/>
          <w:sz w:val="24"/>
          <w:szCs w:val="24"/>
        </w:rPr>
        <w:t xml:space="preserve"> </w:t>
      </w:r>
    </w:p>
    <w:sectPr w:rsidR="00DB59CC" w:rsidRPr="00AD001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79634B9-1C1C-4E78-86B9-799B9F44E721}"/>
  </w:font>
  <w:font w:name="Calibri">
    <w:panose1 w:val="020F0502020204030204"/>
    <w:charset w:val="00"/>
    <w:family w:val="swiss"/>
    <w:pitch w:val="variable"/>
    <w:sig w:usb0="E4002EFF" w:usb1="C200247B" w:usb2="00000009" w:usb3="00000000" w:csb0="000001FF" w:csb1="00000000"/>
    <w:embedRegular r:id="rId2" w:fontKey="{36462AEB-00DA-4DA8-9F46-EAB7EC862CB1}"/>
  </w:font>
  <w:font w:name="Cambria">
    <w:panose1 w:val="02040503050406030204"/>
    <w:charset w:val="00"/>
    <w:family w:val="roman"/>
    <w:pitch w:val="variable"/>
    <w:sig w:usb0="E00006FF" w:usb1="420024FF" w:usb2="02000000" w:usb3="00000000" w:csb0="0000019F" w:csb1="00000000"/>
    <w:embedRegular r:id="rId3" w:fontKey="{B641AAD2-5F43-4A58-8136-AF885689EC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45B"/>
    <w:multiLevelType w:val="multilevel"/>
    <w:tmpl w:val="22BE21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FC14AF"/>
    <w:multiLevelType w:val="multilevel"/>
    <w:tmpl w:val="686672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F0B4F95"/>
    <w:multiLevelType w:val="multilevel"/>
    <w:tmpl w:val="852EC13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92148641">
    <w:abstractNumId w:val="0"/>
  </w:num>
  <w:num w:numId="2" w16cid:durableId="1720744536">
    <w:abstractNumId w:val="2"/>
  </w:num>
  <w:num w:numId="3" w16cid:durableId="597522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3E7"/>
    <w:rsid w:val="000E3527"/>
    <w:rsid w:val="00132AC7"/>
    <w:rsid w:val="00220543"/>
    <w:rsid w:val="00276AB6"/>
    <w:rsid w:val="002C7AF4"/>
    <w:rsid w:val="00460BFF"/>
    <w:rsid w:val="00476B07"/>
    <w:rsid w:val="005802E6"/>
    <w:rsid w:val="0061111E"/>
    <w:rsid w:val="00652BD4"/>
    <w:rsid w:val="00670ABC"/>
    <w:rsid w:val="007413E7"/>
    <w:rsid w:val="007B2912"/>
    <w:rsid w:val="008874A0"/>
    <w:rsid w:val="00980F4F"/>
    <w:rsid w:val="00AA5445"/>
    <w:rsid w:val="00AD0018"/>
    <w:rsid w:val="00B23213"/>
    <w:rsid w:val="00B416B5"/>
    <w:rsid w:val="00CB32AA"/>
    <w:rsid w:val="00DB59CC"/>
    <w:rsid w:val="00ED467A"/>
    <w:rsid w:val="00F432A9"/>
    <w:rsid w:val="00F508D4"/>
    <w:rsid w:val="00FE1464"/>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0B329"/>
  <w15:docId w15:val="{5A5E4002-581F-4F4B-B50B-371C93A6A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W" w:eastAsia="en-B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AA5445"/>
    <w:pPr>
      <w:ind w:left="720"/>
      <w:contextualSpacing/>
    </w:pPr>
  </w:style>
  <w:style w:type="character" w:styleId="Hyperlink">
    <w:name w:val="Hyperlink"/>
    <w:basedOn w:val="DefaultParagraphFont"/>
    <w:uiPriority w:val="99"/>
    <w:unhideWhenUsed/>
    <w:rsid w:val="005802E6"/>
    <w:rPr>
      <w:color w:val="0000FF" w:themeColor="hyperlink"/>
      <w:u w:val="single"/>
    </w:rPr>
  </w:style>
  <w:style w:type="character" w:styleId="UnresolvedMention">
    <w:name w:val="Unresolved Mention"/>
    <w:basedOn w:val="DefaultParagraphFont"/>
    <w:uiPriority w:val="99"/>
    <w:semiHidden/>
    <w:unhideWhenUsed/>
    <w:rsid w:val="005802E6"/>
    <w:rPr>
      <w:color w:val="605E5C"/>
      <w:shd w:val="clear" w:color="auto" w:fill="E1DFDD"/>
    </w:rPr>
  </w:style>
  <w:style w:type="character" w:styleId="FollowedHyperlink">
    <w:name w:val="FollowedHyperlink"/>
    <w:basedOn w:val="DefaultParagraphFont"/>
    <w:uiPriority w:val="99"/>
    <w:semiHidden/>
    <w:unhideWhenUsed/>
    <w:rsid w:val="00ED46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mp"/><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5</Pages>
  <Words>1218</Words>
  <Characters>6945</Characters>
  <Application>Microsoft Office Word</Application>
  <DocSecurity>0</DocSecurity>
  <Lines>57</Lines>
  <Paragraphs>16</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Kutlwano Mmoloki Gabanthate</cp:lastModifiedBy>
  <cp:revision>23</cp:revision>
  <dcterms:created xsi:type="dcterms:W3CDTF">2026-08-05T18:52:00Z</dcterms:created>
  <dcterms:modified xsi:type="dcterms:W3CDTF">2026-08-07T21:42:00Z</dcterms:modified>
</cp:coreProperties>
</file>