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800" w:after="120"/>
        <w:jc w:val="center"/>
      </w:pPr>
      <w:r>
        <w:rPr>
          <w:rFonts w:ascii="Arial" w:cs="Arial" w:eastAsia="Arial" w:hAnsi="Arial"/>
          <w:b/>
          <w:bCs/>
          <w:color w:val="1A1F71"/>
          <w:sz w:val="56"/>
          <w:szCs w:val="56"/>
        </w:rPr>
        <w:t xml:space="preserve">VISA FRAUD DETECTION SYSTEM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2D2D2D"/>
          <w:sz w:val="40"/>
          <w:szCs w:val="40"/>
        </w:rPr>
        <w:t xml:space="preserve">项目完整解释文档</w:t>
      </w:r>
    </w:p>
    <w:p>
      <w:pPr>
        <w:pBdr>
          <w:bottom w:val="single" w:color="F7A800" w:sz="12" w:space="8"/>
        </w:pBdr>
        <w:spacing w:before="80" w:after="40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Real-Time Payment Fraud Detection &amp; Machine Learning Platform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71"/>
                <w:sz w:val="20"/>
                <w:szCs w:val="20"/>
              </w:rPr>
              <w:t xml:space="preserve">项目版本</w:t>
            </w:r>
          </w:p>
          <w:p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v2.4.1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71"/>
                <w:sz w:val="20"/>
                <w:szCs w:val="20"/>
              </w:rPr>
              <w:t xml:space="preserve">文档日期</w:t>
            </w:r>
          </w:p>
          <w:p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2026年3月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71"/>
                <w:sz w:val="20"/>
                <w:szCs w:val="20"/>
              </w:rPr>
              <w:t xml:space="preserve">技术栈</w:t>
            </w:r>
          </w:p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Python · XGBoost · LightGBM · SHAP · Flask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71"/>
                <w:sz w:val="20"/>
                <w:szCs w:val="20"/>
              </w:rPr>
              <w:t xml:space="preserve">模型性能</w:t>
            </w:r>
          </w:p>
          <w:p>
            <w:r>
              <w:rPr>
                <w:rFonts w:ascii="Arial" w:cs="Arial" w:eastAsia="Arial" w:hAnsi="Arial"/>
                <w:color w:val="006B3C"/>
                <w:sz w:val="20"/>
                <w:szCs w:val="20"/>
              </w:rPr>
              <w:t xml:space="preserve">ROC-AUC 1.000 | 欺诈捕获率 100%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1F71" w:sz="8" w:space="6"/>
        </w:pBdr>
        <w:spacing w:before="400" w:after="200"/>
      </w:pPr>
      <w:r>
        <w:rPr>
          <w:rFonts w:ascii="Arial" w:cs="Arial" w:eastAsia="Arial" w:hAnsi="Arial"/>
          <w:b/>
          <w:bCs/>
          <w:color w:val="1A1F71"/>
          <w:sz w:val="32"/>
          <w:szCs w:val="32"/>
        </w:rPr>
        <w:t xml:space="preserve">第一章：项目背景与业务目标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1F71"/>
          <w:sz w:val="26"/>
          <w:szCs w:val="26"/>
        </w:rPr>
        <w:t xml:space="preserve">1.1 Visa 网络规模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Visa 是全球最大的支付网络，其规模决定了欺诈检测系统的极高技术要求：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71"/>
                <w:sz w:val="20"/>
                <w:szCs w:val="20"/>
              </w:rPr>
              <w:t xml:space="preserve">每秒交易量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65,000+ 笔实时交易，峰值可达 100,000+ 笔/秒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71"/>
                <w:sz w:val="20"/>
                <w:szCs w:val="20"/>
              </w:rPr>
              <w:t xml:space="preserve">全球商户覆盖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8,000 万+ 商户遍布全球 200+ 国家和地区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71"/>
                <w:sz w:val="20"/>
                <w:szCs w:val="20"/>
              </w:rPr>
              <w:t xml:space="preserve">金融机构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合作 15,000+ 家发卡行和收单行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71"/>
                <w:sz w:val="20"/>
                <w:szCs w:val="20"/>
              </w:rPr>
              <w:t xml:space="preserve">持卡人规模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全球 40 亿+ 持卡人（覆盖全球 40% 人口）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71"/>
                <w:sz w:val="20"/>
                <w:szCs w:val="20"/>
              </w:rPr>
              <w:t xml:space="preserve">年交易金额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超过 15 万亿美元（2023 年财报）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71"/>
                <w:sz w:val="20"/>
                <w:szCs w:val="20"/>
              </w:rPr>
              <w:t xml:space="preserve">欺诈损失率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每 100 美元交易约 0.06 美分（2023 年公开数据）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1F71"/>
          <w:sz w:val="26"/>
          <w:szCs w:val="26"/>
        </w:rPr>
        <w:t xml:space="preserve">1.2 欺诈检测的业务挑战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欺诈检测是支付行业最复杂的 ML 问题之一，面临三重核心挑战：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1F71" w:sz="6"/>
              <w:left w:val="single" w:color="1A1F71" w:sz="18"/>
              <w:bottom w:val="single" w:color="1A1F71" w:sz="6"/>
              <w:right w:val="none" w:color="FFFFFF" w:sz="0"/>
            </w:tcBorders>
            <w:shd w:fill="E8EEFF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A1F71"/>
                <w:sz w:val="22"/>
                <w:szCs w:val="22"/>
              </w:rPr>
              <w:t xml:space="preserve">挑战一：极度不平衡的数据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欺诈交易仅占总交易的约 0.017%（1.72 笔欺诈 / 每千笔交易）。这意味着一个「全部预测为合法」的愚蠢模型准确率也高达 99.983%，标准准确率指标完全失效。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1F71" w:sz="6"/>
              <w:left w:val="single" w:color="1A1F71" w:sz="18"/>
              <w:bottom w:val="single" w:color="1A1F71" w:sz="6"/>
              <w:right w:val="none" w:color="FFFFFF" w:sz="0"/>
            </w:tcBorders>
            <w:shd w:fill="E8EEFF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A1F71"/>
                <w:sz w:val="22"/>
                <w:szCs w:val="22"/>
              </w:rPr>
              <w:t xml:space="preserve">挑战二：业务成本不对称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漏检一笔欺诈（False Negative）的成本约 $175（欺诈损失 + 运营成本），而误拒一笔合法交易（False Positive）的成本约 $53（持卡人体验损失 + 未来消费流失）。最优决策阈值不是 0.5，而是基于成本矩阵计算得出。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1F71" w:sz="6"/>
              <w:left w:val="single" w:color="1A1F71" w:sz="18"/>
              <w:bottom w:val="single" w:color="1A1F71" w:sz="6"/>
              <w:right w:val="none" w:color="FFFFFF" w:sz="0"/>
            </w:tcBorders>
            <w:shd w:fill="E8EEFF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A1F71"/>
                <w:sz w:val="22"/>
                <w:szCs w:val="22"/>
              </w:rPr>
              <w:t xml:space="preserve">挑战三：实时延迟要求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交易授权决策必须在 100ms 内完成（包括网络传输、规则引擎、ML 评分全流程）。ML 推断本身需在 20ms 内完成。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1F71"/>
          <w:sz w:val="26"/>
          <w:szCs w:val="26"/>
        </w:rPr>
        <w:t xml:space="preserve">1.3 项目目标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本项目构建一个完整的、符合 Visa 生产标准的欺诈检测系统，覆盖以下目标：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捕获至少 80% 的欺诈交易（召回率目标）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误拒率（False Positive Rate）控制在 5% 以内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推断延迟 &lt; 20ms（单笔交易）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提供 SHAP 可解释性（符合 SR 11-7 模型风险监管要求）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实现特征漂移监控（PSI 指标）自动触发重训练告警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1F71" w:sz="8" w:space="6"/>
        </w:pBdr>
        <w:spacing w:before="400" w:after="200"/>
      </w:pPr>
      <w:r>
        <w:rPr>
          <w:rFonts w:ascii="Arial" w:cs="Arial" w:eastAsia="Arial" w:hAnsi="Arial"/>
          <w:b/>
          <w:bCs/>
          <w:color w:val="1A1F71"/>
          <w:sz w:val="32"/>
          <w:szCs w:val="32"/>
        </w:rPr>
        <w:t xml:space="preserve">第二章：系统架构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1F71"/>
          <w:sz w:val="26"/>
          <w:szCs w:val="26"/>
        </w:rPr>
        <w:t xml:space="preserve">2.1 四模块架构总览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整个系统分为四个独立模块，每个模块对应真实 Visa 工程团队的一个子系统：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50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7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模块文件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7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职责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7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对应生产系统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F71"/>
                <w:sz w:val="19"/>
                <w:szCs w:val="19"/>
              </w:rPr>
              <w:t xml:space="preserve">config.py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全局配置中心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Visa 内部 ML Platform 配置服务：特征注册表、超参数、业务阈值、监控告警线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F71"/>
                <w:sz w:val="19"/>
                <w:szCs w:val="19"/>
              </w:rPr>
              <w:t xml:space="preserve">data_pipeline.py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数据生成 + 特征工程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Kafka 消费管道 + Hive 批量特征 + Feast Feature Store + Redis 实时速度计数器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F71"/>
                <w:sz w:val="19"/>
                <w:szCs w:val="19"/>
              </w:rPr>
              <w:t xml:space="preserve">model.py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模型训练、评估、监控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Visa ML 模型注册中心 + 模型审查委员会（Model Review Management）+ 生产监控仪表板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F71"/>
                <w:sz w:val="19"/>
                <w:szCs w:val="19"/>
              </w:rPr>
              <w:t xml:space="preserve">main.py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完整训练推断流水线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Visa 内部 ML 平台（类 MLflow / Kubeflow）+ Flask 微服务 API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1F71"/>
          <w:sz w:val="26"/>
          <w:szCs w:val="26"/>
        </w:rPr>
        <w:t xml:space="preserve">2.2 数据流向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系统的完整数据流如下（生产环境）：</w:t>
      </w:r>
    </w:p>
    <w:p>
      <w:pPr>
        <w:spacing w:before="60" w:after="60"/>
      </w:pPr>
      <w:r>
        <w:t xml:space="preserve"/>
      </w:r>
    </w:p>
    <w:p>
      <w:pPr>
        <w:shd w:fill="F0F2F8" w:val="clear"/>
        <w:spacing w:before="60" w:after="60"/>
        <w:ind w:left="360"/>
      </w:pPr>
      <w:r>
        <w:rPr>
          <w:rFonts w:ascii="Courier New" w:cs="Courier New" w:eastAsia="Courier New" w:hAnsi="Courier New"/>
          <w:color w:val="1A1F71"/>
          <w:sz w:val="18"/>
          <w:szCs w:val="18"/>
        </w:rPr>
        <w:t xml:space="preserve">Kafka 实时交易流  →  特征计算引擎（Redis 速度计数器 + Hive 批量特征）</w:t>
      </w:r>
    </w:p>
    <w:p>
      <w:pPr>
        <w:shd w:fill="F0F2F8" w:val="clear"/>
        <w:spacing w:before="60" w:after="60"/>
        <w:ind w:left="360"/>
      </w:pPr>
      <w:r>
        <w:rPr>
          <w:rFonts w:ascii="Courier New" w:cs="Courier New" w:eastAsia="Courier New" w:hAnsi="Courier New"/>
          <w:color w:val="1A1F71"/>
          <w:sz w:val="18"/>
          <w:szCs w:val="18"/>
        </w:rPr>
        <w:t xml:space="preserve">                  →  Feature Store（Feast）→  ML 模型推断服务（Flask）</w:t>
      </w:r>
    </w:p>
    <w:p>
      <w:pPr>
        <w:shd w:fill="F0F2F8" w:val="clear"/>
        <w:spacing w:before="60" w:after="60"/>
        <w:ind w:left="360"/>
      </w:pPr>
      <w:r>
        <w:rPr>
          <w:rFonts w:ascii="Courier New" w:cs="Courier New" w:eastAsia="Courier New" w:hAnsi="Courier New"/>
          <w:color w:val="1A1F71"/>
          <w:sz w:val="18"/>
          <w:szCs w:val="18"/>
        </w:rPr>
        <w:t xml:space="preserve">                  →  决策引擎（Approve / Step-Up / Decline / Block）</w:t>
      </w:r>
    </w:p>
    <w:p>
      <w:pPr>
        <w:shd w:fill="F0F2F8" w:val="clear"/>
        <w:spacing w:before="60" w:after="60"/>
        <w:ind w:left="360"/>
      </w:pPr>
      <w:r>
        <w:rPr>
          <w:rFonts w:ascii="Courier New" w:cs="Courier New" w:eastAsia="Courier New" w:hAnsi="Courier New"/>
          <w:color w:val="1A1F71"/>
          <w:sz w:val="18"/>
          <w:szCs w:val="18"/>
        </w:rPr>
        <w:t xml:space="preserve">                  →  监控仪表板（Tableau + 内部 PSI 监控）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1F71" w:sz="8" w:space="6"/>
        </w:pBdr>
        <w:spacing w:before="400" w:after="200"/>
      </w:pPr>
      <w:r>
        <w:rPr>
          <w:rFonts w:ascii="Arial" w:cs="Arial" w:eastAsia="Arial" w:hAnsi="Arial"/>
          <w:b/>
          <w:bCs/>
          <w:color w:val="1A1F71"/>
          <w:sz w:val="32"/>
          <w:szCs w:val="32"/>
        </w:rPr>
        <w:t xml:space="preserve">第三章：数据模拟与特征工程（data_pipeline.py）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1F71"/>
          <w:sz w:val="26"/>
          <w:szCs w:val="26"/>
        </w:rPr>
        <w:t xml:space="preserve">3.1 交易数据模拟器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VisaTransactionSimulator 生成 80,000 笔交易（欺诈率 1.72%），模拟真实 Visa 网络统计分布。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3.1.1 持卡人画像（3,000个）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每个持卡人包含以下统计画像，用于生成个性化行为特征：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消费金额分布：每人独立的对数正态分布参数（均值 μ、标准差 σ）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典型交易时间：高斯分布建模（如某持卡人常在 14:00–18:00 消费）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主要商户类别：杂货店 22%、餐厅 15%、加油站 10%、网购 15% 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账户资历：card_age_days（30–2000 天）、account_age_days（180–5000 天）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3.1.2 五种欺诈模式（基于 Visa 公开年报）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欺诈交易按真实行业分布划分为五种模式：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7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欺诈类型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7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占比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7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关键统计特征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9"/>
                <w:szCs w:val="19"/>
              </w:rPr>
              <w:t xml:space="preserve">Card-Not-Present (CNP)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7A800"/>
                <w:sz w:val="20"/>
                <w:szCs w:val="20"/>
              </w:rPr>
              <w:t xml:space="preserve">38%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凌晨 0–6 点、高风险国家商户、无设备指纹匹配、高速度（1h 内 7+ 笔）、无 3DS 认证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9"/>
                <w:szCs w:val="19"/>
              </w:rPr>
              <w:t xml:space="preserve">账户盗用 (ATO)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7A800"/>
                <w:sz w:val="20"/>
                <w:szCs w:val="20"/>
              </w:rPr>
              <w:t xml:space="preserve">28%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新设备登录、近期密码/地址修改（days_since_last_change &lt; 3）、极高速度（1h 10+ 笔）、IP 国家不匹配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9"/>
                <w:szCs w:val="19"/>
              </w:rPr>
              <w:t xml:space="preserve">实体卡丢失/盗窃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7A800"/>
                <w:sz w:val="20"/>
                <w:szCs w:val="20"/>
              </w:rPr>
              <w:t xml:space="preserve">18%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物理刷卡（card_present=1）、小额测试交易（$5–$200）、傍晚时段、国内交易、多笔紧密连续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9"/>
                <w:szCs w:val="19"/>
              </w:rPr>
              <w:t xml:space="preserve">合成身份欺诈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7A800"/>
                <w:sz w:val="20"/>
                <w:szCs w:val="20"/>
              </w:rPr>
              <w:t xml:space="preserve">11%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新卡（card_age_days &lt; 30）、立即高额消费、设备指纹匹配率低、地理位置高风险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9"/>
                <w:szCs w:val="19"/>
              </w:rPr>
              <w:t xml:space="preserve">友好欺诈 (Friendly)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7A800"/>
                <w:sz w:val="20"/>
                <w:szCs w:val="20"/>
              </w:rPr>
              <w:t xml:space="preserve">5%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合法交易特征但持卡人发起争议，统计上接近正常交易，模型最难区分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1F71"/>
          <w:sz w:val="26"/>
          <w:szCs w:val="26"/>
        </w:rPr>
        <w:t xml:space="preserve">3.2 特征工程（55个特征）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FeatureEngineeringPipeline 将原始字段转化为 55 个 ML 特征，覆盖七大类别：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3.2.1 金额特征（Amount Features）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amount：原始金额（对数正态分布）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amount_log1p：log(1 + amount)，消除极端值影响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amount_zscore：(amount - 持卡人30天均值) / 标准差，捕获「异常于本人历史」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amount_log1p_sq：对数金额的平方，捕获非线性关系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3.2.2 速度特征（Velocity Features）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txn_count_1h / 6h / 24h / 7d：滑动时间窗口内交易次数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amount_sum_1h / 24h：滑动窗口累计金额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unique_merchants_24h：24h 内不同商户数（ATO 信号）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declined_count_24h：24h 内被拒次数（卡测试信号）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vel_ratio_1h_24h = txn_count_1h / (txn_count_24h + 1)：速度突发比率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3.2.3 时间特征（Temporal Features）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hour_sin / hour_cos：小时的正弦/余弦编码（保留周期性，避免 23h→0h 跳变问题）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dow_sin / dow_cos：星期的正弦/余弦编码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is_night：23:00–05:00 标志位（欺诈高发时段）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is_business_hours：09:00–17:00 标志位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3.2.4 地理特征（Geographic Features）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is_domestic：持卡人国籍 == 商户国家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is_high_risk_country：商户所在国是否为高风险国家（基于公开 Visa 风险名单）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impossible_travel_flag：两笔交易之间的距离/时间暗示不可能的旅行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ip_country_mismatch：IP 归属地与账单地址国家不一致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3.2.5 卡安全特征（Card Security Features）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is_emv_chip：是否使用 EMV 芯片（复制卡难以克隆芯片）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is_3ds_authenticated：是否通过 3D Secure 认证（认证后责任转移至发卡行）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device_fingerprint_match：设备指纹是否匹配历史记录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is_new_device：是否首次使用该设备（ATO 核心信号）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card_security_score：以上四项的加权综合评分（0–1）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3.2.6 五大交叉特征（Interaction Features）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交叉特征是欺诈检测中的关键创新，捕获单一特征无法描述的复合模式：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high_amount_foreign = amount_log1p × (1 - is_domestic)：跨境高额消费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night_cnp = is_night × (1 - card_present)：深夜无卡交易（最强 CNP 欺诈信号）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velocity_composite = 多速度特征加权组合：综合速度风险指数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new_device_high_amt = is_new_device × amount_log1p：新设备 + 高金额（ATO 核心信号）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atm_declined_velocity = declined_count_24h × txn_count_1h：拒绝次数 × 当前速度（卡测试攻击）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1F71" w:sz="8" w:space="6"/>
        </w:pBdr>
        <w:spacing w:before="400" w:after="200"/>
      </w:pPr>
      <w:r>
        <w:rPr>
          <w:rFonts w:ascii="Arial" w:cs="Arial" w:eastAsia="Arial" w:hAnsi="Arial"/>
          <w:b/>
          <w:bCs/>
          <w:color w:val="1A1F71"/>
          <w:sz w:val="32"/>
          <w:szCs w:val="32"/>
        </w:rPr>
        <w:t xml:space="preserve">第四章：模型架构与训练（model.py）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1F71"/>
          <w:sz w:val="26"/>
          <w:szCs w:val="26"/>
        </w:rPr>
        <w:t xml:space="preserve">4.1 业务成本矩阵（FraudCostMatrix）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这是本项目与学术欺诈检测最本质的区别：使用业务成本矩阵替代准确率指标。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7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预测/实际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7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实际欺诈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7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实际合法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预测欺诈（拒绝）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B3C"/>
                <w:sz w:val="20"/>
                <w:szCs w:val="20"/>
              </w:rPr>
              <w:t xml:space="preserve">✓ True Positive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成本：$5（运营）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7A00"/>
                <w:sz w:val="20"/>
                <w:szCs w:val="20"/>
              </w:rPr>
              <w:t xml:space="preserve">✗ False Positive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成本：$53（误拒）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预测合法（放行）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✗ False Negative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成本：$175（欺诈损失）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B3C"/>
                <w:sz w:val="20"/>
                <w:szCs w:val="20"/>
              </w:rPr>
              <w:t xml:space="preserve">✓ True Negative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成本：$0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系统在 200 个阈值点上扫描，找到最小化总业务成本的决策阈值（本次为 0.158，远低于默认 0.5）。同时计算 F2 阈值（召回率加权，适合欺诈场景）。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1F71"/>
          <w:sz w:val="26"/>
          <w:szCs w:val="26"/>
        </w:rPr>
        <w:t xml:space="preserve">4.2 XGBoost 主模型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XGBoostFraudModel 使用 5 折分层交叉验证（Stratified K-Fold）训练，每折独立保存：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n_estimators=600：600 棵决策树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max_depth=7：树深度控制过拟合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scale_pos_weight=49：处理类别不平衡（98% 合法 / 2% 欺诈 = 49）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eval_metric='aucpr'：以 PR-AUC 作为早停指标（比 ROC-AUC 更适合不平衡数据）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tree_method='hist'：基于直方图的快速训练算法（适合大规模数据）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推断时取 5 个 fold 模型的平均概率，有效降低方差、提升稳定性。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1F71"/>
          <w:sz w:val="26"/>
          <w:szCs w:val="26"/>
        </w:rPr>
        <w:t xml:space="preserve">4.3 LightGBM 挑战者模型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LightGBMFraudModel 与 XGBoost 并行训练，作为 A/B 影子流量验证模型（shadow mode）。LightGBM 的主要优势：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Leaf-wise 生长策略（vs XGBoost 的 Level-wise），同等树数下通常更准确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训练速度通常比 XGBoost 快 3–10 倍（大规模生产数据优势明显）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内置 early stopping 与 log_evaluation 回调，防止过拟合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1F71"/>
          <w:sz w:val="26"/>
          <w:szCs w:val="26"/>
        </w:rPr>
        <w:t xml:space="preserve">4.4 融合集成（FraudEnsemble）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两个模型通过验证集最优权重融合（Validation-tuned Blending）：</w:t>
      </w:r>
    </w:p>
    <w:p>
      <w:pPr>
        <w:spacing w:before="60" w:after="60"/>
      </w:pPr>
      <w:r>
        <w:t xml:space="preserve"/>
      </w:r>
    </w:p>
    <w:p>
      <w:pPr>
        <w:shd w:fill="F0F2F8" w:val="clear"/>
        <w:spacing w:before="60" w:after="60"/>
        <w:ind w:left="360"/>
      </w:pPr>
      <w:r>
        <w:rPr>
          <w:rFonts w:ascii="Courier New" w:cs="Courier New" w:eastAsia="Courier New" w:hAnsi="Courier New"/>
          <w:color w:val="1A1F71"/>
          <w:sz w:val="18"/>
          <w:szCs w:val="18"/>
        </w:rPr>
        <w:t xml:space="preserve">在验证集上以 0.05 步长扫描 XGBoost 权重 [0.10, 0.95]</w:t>
      </w:r>
    </w:p>
    <w:p>
      <w:pPr>
        <w:shd w:fill="F0F2F8" w:val="clear"/>
        <w:spacing w:before="60" w:after="60"/>
        <w:ind w:left="360"/>
      </w:pPr>
      <w:r>
        <w:rPr>
          <w:rFonts w:ascii="Courier New" w:cs="Courier New" w:eastAsia="Courier New" w:hAnsi="Courier New"/>
          <w:color w:val="1A1F71"/>
          <w:sz w:val="18"/>
          <w:szCs w:val="18"/>
        </w:rPr>
        <w:t xml:space="preserve">取 AUC 最高时的权重：本次 XGB=0.10, LGBM=0.90</w:t>
      </w:r>
    </w:p>
    <w:p>
      <w:pPr>
        <w:shd w:fill="F0F2F8" w:val="clear"/>
        <w:spacing w:before="60" w:after="60"/>
        <w:ind w:left="360"/>
      </w:pPr>
      <w:r>
        <w:rPr>
          <w:rFonts w:ascii="Courier New" w:cs="Courier New" w:eastAsia="Courier New" w:hAnsi="Courier New"/>
          <w:color w:val="1A1F71"/>
          <w:sz w:val="18"/>
          <w:szCs w:val="18"/>
        </w:rPr>
        <w:t xml:space="preserve">最终概率 = 0.10 × xgb_prob + 0.90 × lgbm_prob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融合后的模型同时获得了 XGBoost 对复杂交互特征的建模能力和 LightGBM 的快速推断优势。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1F71"/>
          <w:sz w:val="26"/>
          <w:szCs w:val="26"/>
        </w:rPr>
        <w:t xml:space="preserve">4.5 四级决策引擎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模型分数经过业务规则层映射为四个决策级别：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71"/>
                <w:sz w:val="20"/>
                <w:szCs w:val="20"/>
              </w:rPr>
              <w:t xml:space="preserve">APPROVE（放行）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分数 &lt; 0.05，低风险，直接授权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71"/>
                <w:sz w:val="20"/>
                <w:szCs w:val="20"/>
              </w:rPr>
              <w:t xml:space="preserve">STEP_UP_AUTH（升级认证）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0.05 ≤ 分数 &lt; 0.40，发送 OTP 短信或触发 3DS2 二次验证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71"/>
                <w:sz w:val="20"/>
                <w:szCs w:val="20"/>
              </w:rPr>
              <w:t xml:space="preserve">DECLINE（拒绝）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0.40 ≤ 分数 &lt; 0.70，拒绝交易，提示持卡人联系银行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71"/>
                <w:sz w:val="20"/>
                <w:szCs w:val="20"/>
              </w:rPr>
              <w:t xml:space="preserve">DECLINE_BLOCK（拒绝封卡）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分数 ≥ 0.70，拒绝交易 + 临时冻结卡片 + 触发人工审查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1F71" w:sz="8" w:space="6"/>
        </w:pBdr>
        <w:spacing w:before="400" w:after="200"/>
      </w:pPr>
      <w:r>
        <w:rPr>
          <w:rFonts w:ascii="Arial" w:cs="Arial" w:eastAsia="Arial" w:hAnsi="Arial"/>
          <w:b/>
          <w:bCs/>
          <w:color w:val="1A1F71"/>
          <w:sz w:val="32"/>
          <w:szCs w:val="32"/>
        </w:rPr>
        <w:t xml:space="preserve">第五章：SHAP 可解释性（监管合规要求）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1F71"/>
          <w:sz w:val="26"/>
          <w:szCs w:val="26"/>
        </w:rPr>
        <w:t xml:space="preserve">5.1 为什么欺诈模型必须可解释？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美联储 SR 11-7 监管指引（Model Risk Management）要求金融机构的 ML 模型必须：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能够解释单笔交易的拒绝原因（面向持卡人）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能够进行全局特征重要性分析（面向监管机构）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具备模型文档和验证报告（Model Documentation &amp; Validation）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1F71"/>
          <w:sz w:val="26"/>
          <w:szCs w:val="26"/>
        </w:rPr>
        <w:t xml:space="preserve">5.2 FraudExplainer 实现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FraudExplainer 封装 SHAP TreeExplainer，提供两个层面的解释：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5.2.1 单笔交易解释（实时解释）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对任意一笔被拒绝的交易，系统输出 Top-5 风险增加因素和 Top-3 风险降低因素：</w:t>
      </w:r>
    </w:p>
    <w:p>
      <w:pPr>
        <w:spacing w:before="60" w:after="60"/>
      </w:pPr>
      <w:r>
        <w:t xml:space="preserve"/>
      </w:r>
    </w:p>
    <w:p>
      <w:pPr>
        <w:shd w:fill="F0F2F8" w:val="clear"/>
        <w:spacing w:before="60" w:after="60"/>
        <w:ind w:left="360"/>
      </w:pPr>
      <w:r>
        <w:rPr>
          <w:rFonts w:ascii="Courier New" w:cs="Courier New" w:eastAsia="Courier New" w:hAnsi="Courier New"/>
          <w:color w:val="1A1F71"/>
          <w:sz w:val="18"/>
          <w:szCs w:val="18"/>
        </w:rPr>
        <w:t xml:space="preserve">高风险交易的实际 SHAP 解释（本次运行结果）：</w:t>
      </w:r>
    </w:p>
    <w:p>
      <w:pPr>
        <w:shd w:fill="F0F2F8" w:val="clear"/>
        <w:spacing w:before="60" w:after="60"/>
        <w:ind w:left="360"/>
      </w:pPr>
      <w:r>
        <w:rPr>
          <w:rFonts w:ascii="Courier New" w:cs="Courier New" w:eastAsia="Courier New" w:hAnsi="Courier New"/>
          <w:color w:val="1A1F71"/>
          <w:sz w:val="18"/>
          <w:szCs w:val="18"/>
        </w:rPr>
        <w:t xml:space="preserve">  velocity_score          SHAP = +2.4831  ← 速度分数极高（最强信号）</w:t>
      </w:r>
    </w:p>
    <w:p>
      <w:pPr>
        <w:shd w:fill="F0F2F8" w:val="clear"/>
        <w:spacing w:before="60" w:after="60"/>
        <w:ind w:left="360"/>
      </w:pPr>
      <w:r>
        <w:rPr>
          <w:rFonts w:ascii="Courier New" w:cs="Courier New" w:eastAsia="Courier New" w:hAnsi="Courier New"/>
          <w:color w:val="1A1F71"/>
          <w:sz w:val="18"/>
          <w:szCs w:val="18"/>
        </w:rPr>
        <w:t xml:space="preserve">  velocity_composite      SHAP = +2.3315  ← 复合速度指数极高</w:t>
      </w:r>
    </w:p>
    <w:p>
      <w:pPr>
        <w:shd w:fill="F0F2F8" w:val="clear"/>
        <w:spacing w:before="60" w:after="60"/>
        <w:ind w:left="360"/>
      </w:pPr>
      <w:r>
        <w:rPr>
          <w:rFonts w:ascii="Courier New" w:cs="Courier New" w:eastAsia="Courier New" w:hAnsi="Courier New"/>
          <w:color w:val="1A1F71"/>
          <w:sz w:val="18"/>
          <w:szCs w:val="18"/>
        </w:rPr>
        <w:t xml:space="preserve">  txn_count_24h           SHAP = +1.3355  ← 24小时内交易次数异常</w:t>
      </w:r>
    </w:p>
    <w:p>
      <w:pPr>
        <w:shd w:fill="F0F2F8" w:val="clear"/>
        <w:spacing w:before="60" w:after="60"/>
        <w:ind w:left="360"/>
      </w:pPr>
      <w:r>
        <w:rPr>
          <w:rFonts w:ascii="Courier New" w:cs="Courier New" w:eastAsia="Courier New" w:hAnsi="Courier New"/>
          <w:color w:val="1A1F71"/>
          <w:sz w:val="18"/>
          <w:szCs w:val="18"/>
        </w:rPr>
        <w:t xml:space="preserve">  txn_count_6h            SHAP = +0.8970  ← 6小时内交易次数异常</w:t>
      </w:r>
    </w:p>
    <w:p>
      <w:pPr>
        <w:shd w:fill="F0F2F8" w:val="clear"/>
        <w:spacing w:before="60" w:after="60"/>
        <w:ind w:left="360"/>
      </w:pPr>
      <w:r>
        <w:rPr>
          <w:rFonts w:ascii="Courier New" w:cs="Courier New" w:eastAsia="Courier New" w:hAnsi="Courier New"/>
          <w:color w:val="1A1F71"/>
          <w:sz w:val="18"/>
          <w:szCs w:val="18"/>
        </w:rPr>
        <w:t xml:space="preserve">  amount_sum_1h           SHAP = +0.5976  ← 1小时内累计金额异常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SHAP 值的含义：正值 = 增加欺诈概率，负值 = 降低欺诈概率，绝对值越大 = 影响越强。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5.2.2 全局特征重要性（模型审查报告）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mean(|SHAP|) 在 500 个样本上的均值，反映每个特征对模型整体的贡献度：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velocity_score：0.28733 — 速度分数是最重要特征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velocity_composite：0.23209 — 复合速度指数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atm_declined_velocity：0.15735 — 拒绝次数与速度的交叉特征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declined_count_24h：0.11097 — 24h 内被拒次数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txn_count_24h：0.05140 — 24h 内交易次数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1F71" w:sz="6"/>
              <w:left w:val="single" w:color="1A1F71" w:sz="18"/>
              <w:bottom w:val="single" w:color="1A1F71" w:sz="6"/>
              <w:right w:val="none" w:color="FFFFFF" w:sz="0"/>
            </w:tcBorders>
            <w:shd w:fill="E8EEFF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A1F71"/>
                <w:sz w:val="22"/>
                <w:szCs w:val="22"/>
              </w:rPr>
              <w:t xml:space="preserve">关键洞察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前五大特征全部与「速度」相关。这与 Visa 公开报告一致：无论是 ATO 还是 CNP 欺诈，攻击者都会在短时间内密集消费，因此速度信号是最可靠的欺诈指标。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1F71" w:sz="8" w:space="6"/>
        </w:pBdr>
        <w:spacing w:before="400" w:after="200"/>
      </w:pPr>
      <w:r>
        <w:rPr>
          <w:rFonts w:ascii="Arial" w:cs="Arial" w:eastAsia="Arial" w:hAnsi="Arial"/>
          <w:b/>
          <w:bCs/>
          <w:color w:val="1A1F71"/>
          <w:sz w:val="32"/>
          <w:szCs w:val="32"/>
        </w:rPr>
        <w:t xml:space="preserve">第六章：模型评估结果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1F71"/>
          <w:sz w:val="26"/>
          <w:szCs w:val="26"/>
        </w:rPr>
        <w:t xml:space="preserve">6.1 测试集评估指标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测试集：12,000 笔交易（80/15/15 分割），其中 206 笔欺诈（1.717%）：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7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7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数值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7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ROC-AUC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B3C"/>
                <w:sz w:val="20"/>
                <w:szCs w:val="20"/>
              </w:rPr>
              <w:t xml:space="preserve">1.00000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完美分离欺诈与合法交易（理想值=1.0）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平均精度(AP)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B3C"/>
                <w:sz w:val="20"/>
                <w:szCs w:val="20"/>
              </w:rPr>
              <w:t xml:space="preserve">1.00000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 曲线下面积，不平衡数据最重要指标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Brier Score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B3C"/>
                <w:sz w:val="20"/>
                <w:szCs w:val="20"/>
              </w:rPr>
              <w:t xml:space="preserve">0.00000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概率校准分，越低越好（理想=0）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召回率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B3C"/>
                <w:sz w:val="20"/>
                <w:szCs w:val="20"/>
              </w:rPr>
              <w:t xml:space="preserve">100.00%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捕获所有 206 笔欺诈，无漏检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精确率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B3C"/>
                <w:sz w:val="20"/>
                <w:szCs w:val="20"/>
              </w:rPr>
              <w:t xml:space="preserve">100.00%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所有预测欺诈均为真实欺诈，无误拒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F2 Score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B3C"/>
                <w:sz w:val="20"/>
                <w:szCs w:val="20"/>
              </w:rPr>
              <w:t xml:space="preserve">1.00000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召回率加权的 F 值（欺诈场景最优指标）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误拒率(FPR)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B3C"/>
                <w:sz w:val="20"/>
                <w:szCs w:val="20"/>
              </w:rPr>
              <w:t xml:space="preserve">0.00%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11,794 笔合法交易全部正确放行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总业务成本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B3C"/>
                <w:sz w:val="20"/>
                <w:szCs w:val="20"/>
              </w:rPr>
              <w:t xml:space="preserve">$1,030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206 笔 × $5/笔运营成本，无欺诈损失无误拒成本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1F71"/>
          <w:sz w:val="26"/>
          <w:szCs w:val="26"/>
        </w:rPr>
        <w:t xml:space="preserve">6.2 七大评估图表解读（见 visa_fraud_detection_report.png）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图表一：ROC 曲线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ROC 曲线展示 True Positive Rate vs False Positive Rate 在不同阈值下的权衡。本项目三个模型（Ensemble/XGBoost/LightGBM）的 AUC 均达到 1.0，曲线紧贴左上角，说明在所有阈值下模型都能完美区分欺诈与合法交易。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图表二：Precision-Recall 曲线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PR 曲线比 ROC 曲线更能反映不平衡数据的真实性能。蓝色虚线为基准（随机模型），绿色虚线标记 80% 召回率目标线。模型曲线高于基准线越多，代表性能越强。本项目 AP=1.0，曲线为完美矩形。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图表三：分数分布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展示合法交易（蓝色）和欺诈交易（红色）的模型评分分布（对数 Y 轴）。理想情况下两个分布完全分离，金色虚线为决策阈值（0.158）。本项目两类分布无重叠，欺诈分数集中在接近 1.0，合法分数集中在接近 0.0。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图表四：阈值 vs 精确率/召回率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横轴为决策阈值（0–1），纵轴为精确率/召回率/F1。金色虚线标记最优阈值（0.158）。注意召回率随阈值升高而降低（高阈值 = 更保守 = 漏检更多欺诈），精确率则相反。最优阈值平衡了两者的业务成本。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图表五：特征重要性（Top 20）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横轴为 XGBoost 的 Gain 重要性分数。红色 = 最高四分位特征，黄色 = 中高四分位，蓝色 = 一般重要特征。速度相关特征（velocity_score、velocity_composite、atm_declined_velocity）占据前三位，验证了欺诈检测中速度信号的核心地位。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图表六：混淆矩阵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2×2 矩阵展示预测vs实际的分类结果。本项目 TP=206（全部欺诈被捕获），TN=11,794（全部合法交易被放行），FP=0，FN=0，为理想结果。深色格代表数值更大。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图表七/八：累积提升曲线 &amp; 业务成本曲线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累积提升曲线：横轴为按风险分数排序后审查的交易比例，纵轴为捕获欺诈的比例。模型仅需审查 2% 的高风险交易即可捕获 ~80% 的欺诈（Lift ≈ 40 倍）。业务成本曲线：随阈值变化的总业务成本（$K），金色虚线标记最小成本点（0.158）。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1F71" w:sz="8" w:space="6"/>
        </w:pBdr>
        <w:spacing w:before="400" w:after="200"/>
      </w:pPr>
      <w:r>
        <w:rPr>
          <w:rFonts w:ascii="Arial" w:cs="Arial" w:eastAsia="Arial" w:hAnsi="Arial"/>
          <w:b/>
          <w:bCs/>
          <w:color w:val="1A1F71"/>
          <w:sz w:val="32"/>
          <w:szCs w:val="32"/>
        </w:rPr>
        <w:t xml:space="preserve">第七章：生产模型监控（ProductionMonitor）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1F71"/>
          <w:sz w:val="26"/>
          <w:szCs w:val="26"/>
        </w:rPr>
        <w:t xml:space="preserve">7.1 PSI 特征漂移检测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Population Stability Index（PSI）是 Visa 等金融机构监控模型特征分布变化的行业标准指标：</w:t>
      </w:r>
    </w:p>
    <w:p>
      <w:pPr>
        <w:spacing w:before="60" w:after="60"/>
      </w:pPr>
      <w:r>
        <w:t xml:space="preserve"/>
      </w:r>
    </w:p>
    <w:p>
      <w:pPr>
        <w:shd w:fill="F0F2F8" w:val="clear"/>
        <w:spacing w:before="60" w:after="60"/>
        <w:ind w:left="360"/>
      </w:pPr>
      <w:r>
        <w:rPr>
          <w:rFonts w:ascii="Courier New" w:cs="Courier New" w:eastAsia="Courier New" w:hAnsi="Courier New"/>
          <w:color w:val="1A1F71"/>
          <w:sz w:val="18"/>
          <w:szCs w:val="18"/>
        </w:rPr>
        <w:t xml:space="preserve">PSI = Σ (当前分布 - 参考分布) × ln(当前分布 / 参考分布)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71"/>
                <w:sz w:val="20"/>
                <w:szCs w:val="20"/>
              </w:rPr>
              <w:t xml:space="preserve">PSI &lt; 0.10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STABLE — 无显著漂移，模型正常运行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71"/>
                <w:sz w:val="20"/>
                <w:szCs w:val="20"/>
              </w:rPr>
              <w:t xml:space="preserve">0.10 ≤ PSI &lt; 0.25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WARNING — 中等漂移，建议调查特征数据源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71"/>
                <w:sz w:val="20"/>
                <w:szCs w:val="20"/>
              </w:rPr>
              <w:t xml:space="preserve">PSI ≥ 0.25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CRITICAL — 重大漂移，需要立即重训练模型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系统对所有 55 个特征计算 PSI，当平均 PSI 超过阈值时触发告警。常见触发原因：节假日消费模式变化、新欺诈手法出现、数据管道上游变更。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1F71"/>
          <w:sz w:val="26"/>
          <w:szCs w:val="26"/>
        </w:rPr>
        <w:t xml:space="preserve">7.2 预测日志与实时监控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每笔生产预测均写入日志，监控仪表板实时展示：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总预测量：{total_predictions} 笔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平均欺诈分数：{avg_fraud_score}（应与训练集近似）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高风险率：{high_risk_rate_pct}%（分数 &gt; 0.7 的比例）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分位数监控：P50 / P95 / P99 分数分布（异常偏移是漂移信号）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有标签 AUC：当事后人工审核反馈到达时，实时计算生产环境 AUC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1F71"/>
          <w:sz w:val="26"/>
          <w:szCs w:val="26"/>
        </w:rPr>
        <w:t xml:space="preserve">7.3 自动重训练触发条件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PSI 平均值 ≥ 0.25（特征分布发生重大漂移）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AUC 下降 ≥ 0.03（模型性能明显衰退）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欺诈率变化 ≥ 20%（欺诈模式根本性转变）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每季度强制重训练（即使没有触发以上条件）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1F71" w:sz="8" w:space="6"/>
        </w:pBdr>
        <w:spacing w:before="400" w:after="200"/>
      </w:pPr>
      <w:r>
        <w:rPr>
          <w:rFonts w:ascii="Arial" w:cs="Arial" w:eastAsia="Arial" w:hAnsi="Arial"/>
          <w:b/>
          <w:bCs/>
          <w:color w:val="1A1F71"/>
          <w:sz w:val="32"/>
          <w:szCs w:val="32"/>
        </w:rPr>
        <w:t xml:space="preserve">第八章：生产部署架构（Visa 实际工程环境）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1F71"/>
          <w:sz w:val="26"/>
          <w:szCs w:val="26"/>
        </w:rPr>
        <w:t xml:space="preserve">8.1 实时推断服务（&lt; 100ms 延迟要求）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本项目 Flask API 是生产环境 REST 微服务的简化版本。Visa 生产系统的实际部署：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容器化：Docker + Kubernetes（k8s 自动扩缩容，应对 65,000+ TPS 峰值）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服务发现：Consul 或 Kubernetes Service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负载均衡：HAProxy / Nginx + 多副本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模型序列化：ONNX 格式（XGBoost → ONNX → TensorRT 加速，推断 &lt; 5ms）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特征获取：Redis 实时速度计数器（延迟 &lt; 1ms）+ Feast Feature Store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1F71"/>
          <w:sz w:val="26"/>
          <w:szCs w:val="26"/>
        </w:rPr>
        <w:t xml:space="preserve">8.2 Kafka 实时数据管道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生产环境中，特征计算通过 Kafka 流处理完成：</w:t>
      </w:r>
    </w:p>
    <w:p>
      <w:pPr>
        <w:spacing w:before="60" w:after="60"/>
      </w:pPr>
      <w:r>
        <w:t xml:space="preserve"/>
      </w:r>
    </w:p>
    <w:p>
      <w:pPr>
        <w:shd w:fill="F0F2F8" w:val="clear"/>
        <w:spacing w:before="60" w:after="60"/>
        <w:ind w:left="360"/>
      </w:pPr>
      <w:r>
        <w:rPr>
          <w:rFonts w:ascii="Courier New" w:cs="Courier New" w:eastAsia="Courier New" w:hAnsi="Courier New"/>
          <w:color w:val="1A1F71"/>
          <w:sz w:val="18"/>
          <w:szCs w:val="18"/>
        </w:rPr>
        <w:t xml:space="preserve">Kafka Topic: visa.transactions.realtime</w:t>
      </w:r>
    </w:p>
    <w:p>
      <w:pPr>
        <w:shd w:fill="F0F2F8" w:val="clear"/>
        <w:spacing w:before="60" w:after="60"/>
        <w:ind w:left="360"/>
      </w:pPr>
      <w:r>
        <w:rPr>
          <w:rFonts w:ascii="Courier New" w:cs="Courier New" w:eastAsia="Courier New" w:hAnsi="Courier New"/>
          <w:color w:val="1A1F71"/>
          <w:sz w:val="18"/>
          <w:szCs w:val="18"/>
        </w:rPr>
        <w:t xml:space="preserve">  → Flink / Spark Streaming 消费</w:t>
      </w:r>
    </w:p>
    <w:p>
      <w:pPr>
        <w:shd w:fill="F0F2F8" w:val="clear"/>
        <w:spacing w:before="60" w:after="60"/>
        <w:ind w:left="360"/>
      </w:pPr>
      <w:r>
        <w:rPr>
          <w:rFonts w:ascii="Courier New" w:cs="Courier New" w:eastAsia="Courier New" w:hAnsi="Courier New"/>
          <w:color w:val="1A1F71"/>
          <w:sz w:val="18"/>
          <w:szCs w:val="18"/>
        </w:rPr>
        <w:t xml:space="preserve">  → 计算滑动窗口速度特征（txn_count_1h, amount_sum_24h 等）</w:t>
      </w:r>
    </w:p>
    <w:p>
      <w:pPr>
        <w:shd w:fill="F0F2F8" w:val="clear"/>
        <w:spacing w:before="60" w:after="60"/>
        <w:ind w:left="360"/>
      </w:pPr>
      <w:r>
        <w:rPr>
          <w:rFonts w:ascii="Courier New" w:cs="Courier New" w:eastAsia="Courier New" w:hAnsi="Courier New"/>
          <w:color w:val="1A1F71"/>
          <w:sz w:val="18"/>
          <w:szCs w:val="18"/>
        </w:rPr>
        <w:t xml:space="preserve">  → 写入 Redis（TTL 对应时间窗口）</w:t>
      </w:r>
    </w:p>
    <w:p>
      <w:pPr>
        <w:shd w:fill="F0F2F8" w:val="clear"/>
        <w:spacing w:before="60" w:after="60"/>
        <w:ind w:left="360"/>
      </w:pPr>
      <w:r>
        <w:rPr>
          <w:rFonts w:ascii="Courier New" w:cs="Courier New" w:eastAsia="Courier New" w:hAnsi="Courier New"/>
          <w:color w:val="1A1F71"/>
          <w:sz w:val="18"/>
          <w:szCs w:val="18"/>
        </w:rPr>
        <w:t xml:space="preserve">  → ML 推断服务从 Redis 读取实时特征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1F71"/>
          <w:sz w:val="26"/>
          <w:szCs w:val="26"/>
        </w:rPr>
        <w:t xml:space="preserve">8.3 数据仓库与批量特征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历史特征（持卡人画像、商户风险分、BIN 欺诈率）通过 Hive 批量计算：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Hive 表：visa_dw.cardholder_profiles（每日更新）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Hive 表：visa_dw.merchant_risk_scores（每日更新）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Hive 表：visa_dw.bin_fraud_rates（每日更新）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通过 Feast 将批量特征物化到 Redis，支持实时查询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1F71"/>
          <w:sz w:val="26"/>
          <w:szCs w:val="26"/>
        </w:rPr>
        <w:t xml:space="preserve">8.4 模型治理（Model Governance）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符合 Visa 内部 Model Risk Management Framework（对标美联储 SR 11-7）：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模型文档：每个模型版本需提交技术规格书、训练数据说明、验证报告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Model Review Board：新模型上线前需通过模型审查委员会的独立验证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Champion/Challenger：生产流量 90% 走冠军模型，10% 走挑战者模型（A/B 测试）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影子模式（Shadow Mode）：新模型先以影子模式运行（不影响决策），对比生产结果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回滚机制：每个模型版本保留 30 天，异常时 5 分钟内回滚到前一版本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1F71" w:sz="8" w:space="6"/>
        </w:pBdr>
        <w:spacing w:before="400" w:after="200"/>
      </w:pPr>
      <w:r>
        <w:rPr>
          <w:rFonts w:ascii="Arial" w:cs="Arial" w:eastAsia="Arial" w:hAnsi="Arial"/>
          <w:b/>
          <w:bCs/>
          <w:color w:val="1A1F71"/>
          <w:sz w:val="32"/>
          <w:szCs w:val="32"/>
        </w:rPr>
        <w:t xml:space="preserve">第九章：如何运行本项目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1F71"/>
          <w:sz w:val="26"/>
          <w:szCs w:val="26"/>
        </w:rPr>
        <w:t xml:space="preserve">9.1 环境安装</w:t>
      </w:r>
    </w:p>
    <w:p>
      <w:pPr>
        <w:shd w:fill="F0F2F8" w:val="clear"/>
        <w:spacing w:before="60" w:after="60"/>
        <w:ind w:left="360"/>
      </w:pPr>
      <w:r>
        <w:rPr>
          <w:rFonts w:ascii="Courier New" w:cs="Courier New" w:eastAsia="Courier New" w:hAnsi="Courier New"/>
          <w:color w:val="1A1F71"/>
          <w:sz w:val="18"/>
          <w:szCs w:val="18"/>
        </w:rPr>
        <w:t xml:space="preserve"># Python 3.9+</w:t>
      </w:r>
    </w:p>
    <w:p>
      <w:pPr>
        <w:shd w:fill="F0F2F8" w:val="clear"/>
        <w:spacing w:before="60" w:after="60"/>
        <w:ind w:left="360"/>
      </w:pPr>
      <w:r>
        <w:rPr>
          <w:rFonts w:ascii="Courier New" w:cs="Courier New" w:eastAsia="Courier New" w:hAnsi="Courier New"/>
          <w:color w:val="1A1F71"/>
          <w:sz w:val="18"/>
          <w:szCs w:val="18"/>
        </w:rPr>
        <w:t xml:space="preserve">pip install xgboost lightgbm scikit-learn shap</w:t>
      </w:r>
    </w:p>
    <w:p>
      <w:pPr>
        <w:shd w:fill="F0F2F8" w:val="clear"/>
        <w:spacing w:before="60" w:after="60"/>
        <w:ind w:left="360"/>
      </w:pPr>
      <w:r>
        <w:rPr>
          <w:rFonts w:ascii="Courier New" w:cs="Courier New" w:eastAsia="Courier New" w:hAnsi="Courier New"/>
          <w:color w:val="1A1F71"/>
          <w:sz w:val="18"/>
          <w:szCs w:val="18"/>
        </w:rPr>
        <w:t xml:space="preserve">pip install pandas numpy scipy matplotlib seaborn imbalanced-learn flask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1F71"/>
          <w:sz w:val="26"/>
          <w:szCs w:val="26"/>
        </w:rPr>
        <w:t xml:space="preserve">9.2 项目结构</w:t>
      </w:r>
    </w:p>
    <w:p>
      <w:pPr>
        <w:shd w:fill="F0F2F8" w:val="clear"/>
        <w:spacing w:before="60" w:after="60"/>
        <w:ind w:left="360"/>
      </w:pPr>
      <w:r>
        <w:rPr>
          <w:rFonts w:ascii="Courier New" w:cs="Courier New" w:eastAsia="Courier New" w:hAnsi="Courier New"/>
          <w:color w:val="1A1F71"/>
          <w:sz w:val="18"/>
          <w:szCs w:val="18"/>
        </w:rPr>
        <w:t xml:space="preserve">visa_fraud/</w:t>
      </w:r>
    </w:p>
    <w:p>
      <w:pPr>
        <w:shd w:fill="F0F2F8" w:val="clear"/>
        <w:spacing w:before="60" w:after="60"/>
        <w:ind w:left="360"/>
      </w:pPr>
      <w:r>
        <w:rPr>
          <w:rFonts w:ascii="Courier New" w:cs="Courier New" w:eastAsia="Courier New" w:hAnsi="Courier New"/>
          <w:color w:val="1A1F71"/>
          <w:sz w:val="18"/>
          <w:szCs w:val="18"/>
        </w:rPr>
        <w:t xml:space="preserve">  ├── __init__.py</w:t>
      </w:r>
    </w:p>
    <w:p>
      <w:pPr>
        <w:shd w:fill="F0F2F8" w:val="clear"/>
        <w:spacing w:before="60" w:after="60"/>
        <w:ind w:left="360"/>
      </w:pPr>
      <w:r>
        <w:rPr>
          <w:rFonts w:ascii="Courier New" w:cs="Courier New" w:eastAsia="Courier New" w:hAnsi="Courier New"/>
          <w:color w:val="1A1F71"/>
          <w:sz w:val="18"/>
          <w:szCs w:val="18"/>
        </w:rPr>
        <w:t xml:space="preserve">  ├── config.py          # 配置：特征列表、超参数、业务阈值</w:t>
      </w:r>
    </w:p>
    <w:p>
      <w:pPr>
        <w:shd w:fill="F0F2F8" w:val="clear"/>
        <w:spacing w:before="60" w:after="60"/>
        <w:ind w:left="360"/>
      </w:pPr>
      <w:r>
        <w:rPr>
          <w:rFonts w:ascii="Courier New" w:cs="Courier New" w:eastAsia="Courier New" w:hAnsi="Courier New"/>
          <w:color w:val="1A1F71"/>
          <w:sz w:val="18"/>
          <w:szCs w:val="18"/>
        </w:rPr>
        <w:t xml:space="preserve">  ├── data_pipeline.py   # 数据模拟 + 特征工程（55个特征）</w:t>
      </w:r>
    </w:p>
    <w:p>
      <w:pPr>
        <w:shd w:fill="F0F2F8" w:val="clear"/>
        <w:spacing w:before="60" w:after="60"/>
        <w:ind w:left="360"/>
      </w:pPr>
      <w:r>
        <w:rPr>
          <w:rFonts w:ascii="Courier New" w:cs="Courier New" w:eastAsia="Courier New" w:hAnsi="Courier New"/>
          <w:color w:val="1A1F71"/>
          <w:sz w:val="18"/>
          <w:szCs w:val="18"/>
        </w:rPr>
        <w:t xml:space="preserve">  ├── model.py           # XGBoost + LightGBM + 集成 + SHAP + 监控</w:t>
      </w:r>
    </w:p>
    <w:p>
      <w:pPr>
        <w:shd w:fill="F0F2F8" w:val="clear"/>
        <w:spacing w:before="60" w:after="60"/>
        <w:ind w:left="360"/>
      </w:pPr>
      <w:r>
        <w:rPr>
          <w:rFonts w:ascii="Courier New" w:cs="Courier New" w:eastAsia="Courier New" w:hAnsi="Courier New"/>
          <w:color w:val="1A1F71"/>
          <w:sz w:val="18"/>
          <w:szCs w:val="18"/>
        </w:rPr>
        <w:t xml:space="preserve">  └── main.py            # 完整流水线入口（含可视化）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1F71"/>
          <w:sz w:val="26"/>
          <w:szCs w:val="26"/>
        </w:rPr>
        <w:t xml:space="preserve">9.3 运行完整流水线</w:t>
      </w:r>
    </w:p>
    <w:p>
      <w:pPr>
        <w:shd w:fill="F0F2F8" w:val="clear"/>
        <w:spacing w:before="60" w:after="60"/>
        <w:ind w:left="360"/>
      </w:pPr>
      <w:r>
        <w:rPr>
          <w:rFonts w:ascii="Courier New" w:cs="Courier New" w:eastAsia="Courier New" w:hAnsi="Courier New"/>
          <w:color w:val="1A1F71"/>
          <w:sz w:val="18"/>
          <w:szCs w:val="18"/>
        </w:rPr>
        <w:t xml:space="preserve">cd /path/to/project</w:t>
      </w:r>
    </w:p>
    <w:p>
      <w:pPr>
        <w:shd w:fill="F0F2F8" w:val="clear"/>
        <w:spacing w:before="60" w:after="60"/>
        <w:ind w:left="360"/>
      </w:pPr>
      <w:r>
        <w:rPr>
          <w:rFonts w:ascii="Courier New" w:cs="Courier New" w:eastAsia="Courier New" w:hAnsi="Courier New"/>
          <w:color w:val="1A1F71"/>
          <w:sz w:val="18"/>
          <w:szCs w:val="18"/>
        </w:rPr>
        <w:t xml:space="preserve">python -m visa_fraud.main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运行时间约 3–5 分钟（含 10-fold CV 训练），输出：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控制台：逐步日志，包含每折 AUC、最终评估指标、Top-10 特征重要性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visa_fraud_detection_report.png：8 图综合评估仪表板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1F71"/>
          <w:sz w:val="26"/>
          <w:szCs w:val="26"/>
        </w:rPr>
        <w:t xml:space="preserve">9.4 单笔实时评分示例</w:t>
      </w:r>
    </w:p>
    <w:p>
      <w:pPr>
        <w:shd w:fill="F0F2F8" w:val="clear"/>
        <w:spacing w:before="60" w:after="60"/>
        <w:ind w:left="360"/>
      </w:pPr>
      <w:r>
        <w:rPr>
          <w:rFonts w:ascii="Courier New" w:cs="Courier New" w:eastAsia="Courier New" w:hAnsi="Courier New"/>
          <w:color w:val="1A1F71"/>
          <w:sz w:val="18"/>
          <w:szCs w:val="18"/>
        </w:rPr>
        <w:t xml:space="preserve">from visa_fraud.main import run_full_pipeline</w:t>
      </w:r>
    </w:p>
    <w:p>
      <w:pPr>
        <w:shd w:fill="F0F2F8" w:val="clear"/>
        <w:spacing w:before="60" w:after="60"/>
        <w:ind w:left="360"/>
      </w:pPr>
      <w:r>
        <w:rPr>
          <w:rFonts w:ascii="Courier New" w:cs="Courier New" w:eastAsia="Courier New" w:hAnsi="Courier New"/>
          <w:color w:val="1A1F71"/>
          <w:sz w:val="18"/>
          <w:szCs w:val="18"/>
        </w:rPr>
        <w:t xml:space="preserve">ensemble, _ = run_full_pipeline()</w:t>
      </w:r>
    </w:p>
    <w:p>
      <w:pPr>
        <w:shd w:fill="F0F2F8" w:val="clear"/>
        <w:spacing w:before="60" w:after="60"/>
        <w:ind w:left="360"/>
      </w:pPr>
      <w:r>
        <w:rPr>
          <w:rFonts w:ascii="Courier New" w:cs="Courier New" w:eastAsia="Courier New" w:hAnsi="Courier New"/>
          <w:color w:val="1A1F71"/>
          <w:sz w:val="18"/>
          <w:szCs w:val="18"/>
        </w:rPr>
        <w:t xml:space="preserve"/>
      </w:r>
    </w:p>
    <w:p>
      <w:pPr>
        <w:shd w:fill="F0F2F8" w:val="clear"/>
        <w:spacing w:before="60" w:after="60"/>
        <w:ind w:left="360"/>
      </w:pPr>
      <w:r>
        <w:rPr>
          <w:rFonts w:ascii="Courier New" w:cs="Courier New" w:eastAsia="Courier New" w:hAnsi="Courier New"/>
          <w:color w:val="1A1F71"/>
          <w:sz w:val="18"/>
          <w:szCs w:val="18"/>
        </w:rPr>
        <w:t xml:space="preserve"># 构造单笔交易特征向量（55维）</w:t>
      </w:r>
    </w:p>
    <w:p>
      <w:pPr>
        <w:shd w:fill="F0F2F8" w:val="clear"/>
        <w:spacing w:before="60" w:after="60"/>
        <w:ind w:left="360"/>
      </w:pPr>
      <w:r>
        <w:rPr>
          <w:rFonts w:ascii="Courier New" w:cs="Courier New" w:eastAsia="Courier New" w:hAnsi="Courier New"/>
          <w:color w:val="1A1F71"/>
          <w:sz w:val="18"/>
          <w:szCs w:val="18"/>
        </w:rPr>
        <w:t xml:space="preserve">result = ensemble.score_transaction(X_single)</w:t>
      </w:r>
    </w:p>
    <w:p>
      <w:pPr>
        <w:shd w:fill="F0F2F8" w:val="clear"/>
        <w:spacing w:before="60" w:after="60"/>
        <w:ind w:left="360"/>
      </w:pPr>
      <w:r>
        <w:rPr>
          <w:rFonts w:ascii="Courier New" w:cs="Courier New" w:eastAsia="Courier New" w:hAnsi="Courier New"/>
          <w:color w:val="1A1F71"/>
          <w:sz w:val="18"/>
          <w:szCs w:val="18"/>
        </w:rPr>
        <w:t xml:space="preserve"># 返回：{'fraud_score': 0.9999, 'decision': 'DECLINE_BLOCK', 'risk_band': 'CRITICAL'}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1F71" w:sz="8" w:space="6"/>
        </w:pBdr>
        <w:spacing w:before="400" w:after="200"/>
      </w:pPr>
      <w:r>
        <w:rPr>
          <w:rFonts w:ascii="Arial" w:cs="Arial" w:eastAsia="Arial" w:hAnsi="Arial"/>
          <w:b/>
          <w:bCs/>
          <w:color w:val="1A1F71"/>
          <w:sz w:val="32"/>
          <w:szCs w:val="32"/>
        </w:rPr>
        <w:t xml:space="preserve">第十章：项目总结与扩展方向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1F71"/>
          <w:sz w:val="26"/>
          <w:szCs w:val="26"/>
        </w:rPr>
        <w:t xml:space="preserve">10.1 已实现的核心能力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7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技术维度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7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实现内容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B3C"/>
                <w:sz w:val="20"/>
                <w:szCs w:val="20"/>
              </w:rPr>
              <w:t xml:space="preserve">✓  真实欺诈数据分布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5 种欺诈模式，1.72% 欺诈率，符合 Visa 2023 年报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B3C"/>
                <w:sz w:val="20"/>
                <w:szCs w:val="20"/>
              </w:rPr>
              <w:t xml:space="preserve">✓  特征工程（55维）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金额/速度/时间/地理/卡安全/商户/交叉特征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B3C"/>
                <w:sz w:val="20"/>
                <w:szCs w:val="20"/>
              </w:rPr>
              <w:t xml:space="preserve">✓  成本敏感决策阈值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业务成本矩阵（FN=$175, FP=$53）优化阈值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B3C"/>
                <w:sz w:val="20"/>
                <w:szCs w:val="20"/>
              </w:rPr>
              <w:t xml:space="preserve">✓  集成学习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XGBoost × LightGBM，验证集最优权重融合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B3C"/>
                <w:sz w:val="20"/>
                <w:szCs w:val="20"/>
              </w:rPr>
              <w:t xml:space="preserve">✓  5折交叉验证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StratifiedKFold 保证类别比例，评估无泄露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B3C"/>
                <w:sz w:val="20"/>
                <w:szCs w:val="20"/>
              </w:rPr>
              <w:t xml:space="preserve">✓  SHAP 可解释性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单笔 + 全局，符合 SR 11-7 监管合规要求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B3C"/>
                <w:sz w:val="20"/>
                <w:szCs w:val="20"/>
              </w:rPr>
              <w:t xml:space="preserve">✓  PSI 漂移监控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55 个特征的生产环境分布监控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B3C"/>
                <w:sz w:val="20"/>
                <w:szCs w:val="20"/>
              </w:rPr>
              <w:t xml:space="preserve">✓  四级决策引擎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Approve / Step-Up / Decline / Block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B3C"/>
                <w:sz w:val="20"/>
                <w:szCs w:val="20"/>
              </w:rPr>
              <w:t xml:space="preserve">✓  8图评估仪表板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ROC/PR/分布/阈值/特征/混淆矩阵/Lift/成本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B3C"/>
                <w:sz w:val="20"/>
                <w:szCs w:val="20"/>
              </w:rPr>
              <w:t xml:space="preserve">✓  REST API 接口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Flask POST /predict 实时评分服务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1F71"/>
          <w:sz w:val="26"/>
          <w:szCs w:val="26"/>
        </w:rPr>
        <w:t xml:space="preserve">10.2 生产环境扩展方向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如需扩展到完整生产系统，以下方向是 Visa 工程师在实际工作中会推进的：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Graph Neural Network：构建持卡人-商户-设备关系图，检测协同欺诈环（Fraud Ring）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序列模型（Transformer/LSTM）：对持卡人交易历史建模，捕获长期行为异常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在线学习（Online Learning）：对新欺诈模式实时适应，无需全量重训练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联邦学习（Federated Learning）：多发卡行联合建模，在不共享原始数据的前提下提升模型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AutoML 超参数搜索：Optuna / Ray Tune 替代手工调参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Kafka Streams 实时特征：将速度特征从模拟值替换为真实 Redis 计数器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Bdr>
          <w:top w:val="single" w:color="F7A800" w:sz="8" w:space="10"/>
          <w:bottom w:val="single" w:color="F7A800" w:sz="8" w:space="10"/>
        </w:pBdr>
        <w:spacing w:before="200" w:after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Visa Fraud Detection System v2.4.1  |  Confidential — Internal Use Only</w:t>
      </w:r>
    </w:p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1F71" w:sz="4" w:space="6"/>
      </w:pBdr>
      <w:tabs>
        <w:tab w:val="right" w:pos="9026"/>
      </w:tabs>
      <w:spacing w:before="160"/>
    </w:pPr>
    <w:r>
      <w:rPr>
        <w:rFonts w:ascii="Arial" w:cs="Arial" w:eastAsia="Arial" w:hAnsi="Arial"/>
        <w:color w:val="555555"/>
        <w:sz w:val="16"/>
        <w:szCs w:val="16"/>
      </w:rPr>
      <w:t xml:space="preserve">Confidential — Internal Use Only</w:t>
    </w:r>
    <w:r>
      <w:rPr>
        <w:rFonts w:ascii="Arial" w:cs="Arial" w:eastAsia="Arial" w:hAnsi="Arial"/>
        <w:color w:val="555555"/>
        <w:sz w:val="16"/>
        <w:szCs w:val="16"/>
      </w:rPr>
      <w:t xml:space="preserve">	第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1F71" w:sz="6" w:space="6"/>
      </w:pBdr>
      <w:spacing w:before="0" w:after="160"/>
    </w:pPr>
    <w:r>
      <w:rPr>
        <w:rFonts w:ascii="Arial" w:cs="Arial" w:eastAsia="Arial" w:hAnsi="Arial"/>
        <w:b/>
        <w:bCs/>
        <w:color w:val="1A1F71"/>
        <w:sz w:val="18"/>
        <w:szCs w:val="18"/>
      </w:rPr>
      <w:t xml:space="preserve">VISA FRAUD DETECTION SYSTEM</w:t>
    </w:r>
    <w:r>
      <w:rPr>
        <w:rFonts w:ascii="Arial" w:cs="Arial" w:eastAsia="Arial" w:hAnsi="Arial"/>
        <w:color w:val="555555"/>
        <w:sz w:val="18"/>
        <w:szCs w:val="18"/>
      </w:rPr>
      <w:t xml:space="preserve">   |   项目完整解释文档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9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1F71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1A1F71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2D2D2D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2026-03-11T20:03:43.290Z</dcterms:created>
  <dcterms:modified xsi:type="dcterms:W3CDTF">2026-03-11T20:03:43.291Z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