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5256C3">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5256C3">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5256C3">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5256C3">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5256C3">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5256C3">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5256C3">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5256C3">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5256C3">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5256C3">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5256C3">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5256C3">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5256C3">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5256C3">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5256C3">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5256C3">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5256C3">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5256C3">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5256C3">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5256C3">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5256C3">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5256C3">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5256C3">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5256C3">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5256C3">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5256C3">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5256C3">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5256C3">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5256C3">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5256C3">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5256C3">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5256C3">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5256C3">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5256C3">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5256C3">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5256C3">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5256C3">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7876FCAB" w:rsidR="00790ADD" w:rsidRDefault="00790ADD" w:rsidP="0051151C">
      <w:pPr>
        <w:pStyle w:val="Heading1"/>
        <w:numPr>
          <w:ilvl w:val="1"/>
          <w:numId w:val="20"/>
        </w:numPr>
      </w:pPr>
      <w:bookmarkStart w:id="3" w:name="_Toc36643828"/>
      <w:r>
        <w:t>Background</w:t>
      </w:r>
      <w:bookmarkEnd w:id="3"/>
    </w:p>
    <w:p w14:paraId="07C81BFE" w14:textId="37E1BDF9" w:rsidR="00790ADD" w:rsidRDefault="00790ADD" w:rsidP="00790ADD">
      <w:pPr>
        <w:pStyle w:val="Bibliography"/>
        <w:ind w:left="0" w:firstLine="0"/>
        <w:jc w:val="both"/>
      </w:pPr>
      <w:r>
        <w:t>Background on electrification trends in general, role in decarbonization and regional projections across the globe</w:t>
      </w:r>
    </w:p>
    <w:p w14:paraId="6A41BF83" w14:textId="77777777" w:rsidR="00790ADD" w:rsidRPr="00790ADD" w:rsidRDefault="00790ADD" w:rsidP="00790ADD"/>
    <w:p w14:paraId="02DEC3AB" w14:textId="77777777" w:rsidR="00790ADD" w:rsidRDefault="00790ADD" w:rsidP="0051151C">
      <w:pPr>
        <w:pStyle w:val="Heading1"/>
        <w:numPr>
          <w:ilvl w:val="1"/>
          <w:numId w:val="20"/>
        </w:numPr>
      </w:pPr>
      <w:bookmarkStart w:id="4" w:name="_Toc36643829"/>
      <w:r>
        <w:t>Literature Review</w:t>
      </w:r>
      <w:bookmarkEnd w:id="4"/>
    </w:p>
    <w:p w14:paraId="1270B61A" w14:textId="25BB84E0" w:rsidR="00790ADD" w:rsidRDefault="00790ADD" w:rsidP="00790ADD">
      <w:pPr>
        <w:pStyle w:val="ListParagraph"/>
        <w:numPr>
          <w:ilvl w:val="0"/>
          <w:numId w:val="24"/>
        </w:numPr>
      </w:pPr>
      <w:r>
        <w:t>Lit review and role of EV penetration global/national</w:t>
      </w:r>
    </w:p>
    <w:p w14:paraId="65FC5247" w14:textId="77777777" w:rsidR="00790ADD" w:rsidRDefault="00790ADD" w:rsidP="00790ADD">
      <w:pPr>
        <w:pStyle w:val="ListParagraph"/>
        <w:numPr>
          <w:ilvl w:val="0"/>
          <w:numId w:val="24"/>
        </w:numPr>
      </w:pPr>
      <w:r>
        <w:t xml:space="preserve">Price takers vs Price makers. </w:t>
      </w:r>
    </w:p>
    <w:p w14:paraId="1BED67DB" w14:textId="54006819" w:rsidR="00790ADD" w:rsidRDefault="00790ADD" w:rsidP="00790ADD">
      <w:pPr>
        <w:pStyle w:val="ListParagraph"/>
        <w:numPr>
          <w:ilvl w:val="0"/>
          <w:numId w:val="24"/>
        </w:numPr>
      </w:pPr>
      <w:r>
        <w:t xml:space="preserve">Developing vs Developed. </w:t>
      </w:r>
    </w:p>
    <w:p w14:paraId="7DB5EBE9" w14:textId="77777777" w:rsidR="00790ADD" w:rsidRDefault="00790ADD" w:rsidP="00790ADD">
      <w:pPr>
        <w:pStyle w:val="ListParagraph"/>
        <w:numPr>
          <w:ilvl w:val="0"/>
          <w:numId w:val="24"/>
        </w:numPr>
      </w:pPr>
      <w:r>
        <w:t xml:space="preserve">Uncertainties in demand growth. </w:t>
      </w:r>
    </w:p>
    <w:p w14:paraId="4728420E" w14:textId="77777777" w:rsidR="00790ADD" w:rsidRDefault="00790ADD" w:rsidP="00790ADD">
      <w:pPr>
        <w:pStyle w:val="ListParagraph"/>
        <w:numPr>
          <w:ilvl w:val="0"/>
          <w:numId w:val="24"/>
        </w:numPr>
      </w:pPr>
      <w:r>
        <w:t>Lack of other studies</w:t>
      </w:r>
    </w:p>
    <w:p w14:paraId="54F19D11" w14:textId="77777777" w:rsidR="0051151C" w:rsidRDefault="00790ADD" w:rsidP="00790ADD">
      <w:pPr>
        <w:pStyle w:val="Heading1"/>
        <w:numPr>
          <w:ilvl w:val="1"/>
          <w:numId w:val="20"/>
        </w:numPr>
      </w:pPr>
      <w:bookmarkStart w:id="5" w:name="_Toc36643830"/>
      <w:r>
        <w:t>Research Question</w:t>
      </w:r>
      <w:bookmarkEnd w:id="5"/>
    </w:p>
    <w:p w14:paraId="23C377EB" w14:textId="57A0F55C" w:rsidR="00863375" w:rsidRDefault="00863375" w:rsidP="0051151C">
      <w:pPr>
        <w:pStyle w:val="Bibliography"/>
        <w:ind w:left="0" w:firstLine="0"/>
        <w:jc w:val="both"/>
      </w:pPr>
      <w:r>
        <w:t>Research question to analyze the role of policies vs technology</w:t>
      </w:r>
    </w:p>
    <w:p w14:paraId="1B217FC9" w14:textId="29C4629B" w:rsidR="00863375" w:rsidRPr="00A97700" w:rsidRDefault="004D3CF4" w:rsidP="00A379AF">
      <w:pPr>
        <w:pStyle w:val="Heading1"/>
        <w:numPr>
          <w:ilvl w:val="0"/>
          <w:numId w:val="20"/>
        </w:numPr>
      </w:pPr>
      <w:bookmarkStart w:id="6" w:name="_Toc36643831"/>
      <w:r w:rsidRPr="00A97700">
        <w:t>Methodology</w:t>
      </w:r>
      <w:bookmarkEnd w:id="6"/>
    </w:p>
    <w:p w14:paraId="30AD916A" w14:textId="7B14FE63" w:rsidR="00D17230" w:rsidRDefault="00BC2D73" w:rsidP="0051151C">
      <w:pPr>
        <w:pStyle w:val="Heading1"/>
        <w:numPr>
          <w:ilvl w:val="1"/>
          <w:numId w:val="20"/>
        </w:numPr>
      </w:pPr>
      <w:bookmarkStart w:id="7" w:name="_Toc36643832"/>
      <w:r>
        <w:t>Cross-Model</w:t>
      </w:r>
      <w:r w:rsidR="002A74D2">
        <w:t xml:space="preserve"> </w:t>
      </w:r>
      <w:r>
        <w:t>Links</w:t>
      </w:r>
      <w:r w:rsidR="00D17230">
        <w:t xml:space="preserve"> (GCAM, PLEXOS, SEP)</w:t>
      </w:r>
      <w:bookmarkEnd w:id="7"/>
    </w:p>
    <w:p w14:paraId="5181B33B" w14:textId="75A9722E" w:rsidR="003C6A7D" w:rsidRPr="003C6A7D" w:rsidRDefault="008027F4" w:rsidP="003C6A7D">
      <w:r>
        <w:t>Several models are used in tandem for this analysis.</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calculate EV electricity requirements and charging profiles and EV-displaced vehicle fuels. These results </w:t>
      </w:r>
      <w:r w:rsidR="003C6A7D">
        <w:t xml:space="preserve">are then provided to the National Transmission &amp; </w:t>
      </w:r>
      <w:proofErr w:type="spellStart"/>
      <w:r w:rsidR="003C6A7D">
        <w:t>Despatch</w:t>
      </w:r>
      <w:proofErr w:type="spellEnd"/>
      <w:r w:rsidR="003C6A7D">
        <w:t xml:space="preserve"> Company (NTDC), Pakistan’s national grid operator, who uses the adoption curves in their PLEXOS model to </w:t>
      </w:r>
      <w:r w:rsidR="00C808A6">
        <w:t>look at</w:t>
      </w:r>
      <w:r w:rsidR="003C6A7D">
        <w:t xml:space="preserve"> the impact of different adoption scenarios on power demand and electricity infrastructure needs. </w:t>
      </w:r>
      <w:r w:rsidR="00713E77">
        <w:t xml:space="preserve">Though GCAM also models </w:t>
      </w:r>
      <w:proofErr w:type="gramStart"/>
      <w:r w:rsidR="00713E77">
        <w:t>impacts</w:t>
      </w:r>
      <w:proofErr w:type="gramEnd"/>
      <w:r w:rsidR="00713E77">
        <w:t xml:space="preserve"> to the power sector and fuel use, PLEXOS is a more detailed energy market model, and NTDC’s modeling is more directly tied to 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 generation and associated fuel costs</w:t>
      </w:r>
      <w:r w:rsidR="003C6A7D">
        <w:t>.</w:t>
      </w:r>
    </w:p>
    <w:p w14:paraId="6E07AAA0" w14:textId="63362EC8" w:rsidR="004D3CF4" w:rsidRDefault="004D3CF4" w:rsidP="0051151C">
      <w:pPr>
        <w:pStyle w:val="Heading1"/>
        <w:numPr>
          <w:ilvl w:val="1"/>
          <w:numId w:val="20"/>
        </w:numPr>
      </w:pPr>
      <w:bookmarkStart w:id="8" w:name="_Toc36643833"/>
      <w:r>
        <w:t xml:space="preserve">GCAM </w:t>
      </w:r>
      <w:r w:rsidR="001A1884">
        <w:t>Overview</w:t>
      </w:r>
      <w:bookmarkEnd w:id="8"/>
    </w:p>
    <w:p w14:paraId="0FB8892E" w14:textId="74FB4BC7" w:rsidR="00997C3B" w:rsidRPr="00997C3B" w:rsidRDefault="004D3CF4" w:rsidP="00997C3B">
      <w:pPr>
        <w:pStyle w:val="Heading1"/>
        <w:numPr>
          <w:ilvl w:val="1"/>
          <w:numId w:val="20"/>
        </w:numPr>
      </w:pPr>
      <w:bookmarkStart w:id="9" w:name="_Toc36643834"/>
      <w:r>
        <w:t>GCAM Transport Sector Details</w:t>
      </w:r>
      <w:bookmarkEnd w:id="9"/>
    </w:p>
    <w:p w14:paraId="25EAC45D" w14:textId="2F2F6474" w:rsidR="00D17230" w:rsidRPr="00D17230" w:rsidRDefault="00BC2D73" w:rsidP="00D17230">
      <w:pPr>
        <w:pStyle w:val="Heading1"/>
        <w:numPr>
          <w:ilvl w:val="1"/>
          <w:numId w:val="20"/>
        </w:numPr>
      </w:pPr>
      <w:bookmarkStart w:id="10" w:name="_Toc36643835"/>
      <w:r>
        <w:t>GCAM S</w:t>
      </w:r>
      <w:r w:rsidR="00D17230">
        <w:t>cenario Details</w:t>
      </w:r>
      <w:bookmarkEnd w:id="10"/>
    </w:p>
    <w:p w14:paraId="3A7BE2F3" w14:textId="77777777" w:rsidR="00D17230" w:rsidRDefault="00D17230" w:rsidP="00D17230">
      <w:pPr>
        <w:pStyle w:val="ListParagraph"/>
        <w:numPr>
          <w:ilvl w:val="1"/>
          <w:numId w:val="29"/>
        </w:numPr>
      </w:pPr>
      <w:r>
        <w:t>Baseline Assumptions</w:t>
      </w:r>
    </w:p>
    <w:p w14:paraId="3DBE62D6" w14:textId="77777777" w:rsidR="00D17230" w:rsidRDefault="00D17230" w:rsidP="00D17230">
      <w:pPr>
        <w:pStyle w:val="ListParagraph"/>
        <w:numPr>
          <w:ilvl w:val="1"/>
          <w:numId w:val="29"/>
        </w:numPr>
      </w:pPr>
      <w:r>
        <w:lastRenderedPageBreak/>
        <w:t xml:space="preserve">Policies </w:t>
      </w:r>
    </w:p>
    <w:p w14:paraId="4BE28E6C" w14:textId="77777777" w:rsidR="00D17230" w:rsidRDefault="00D17230" w:rsidP="00D17230">
      <w:pPr>
        <w:pStyle w:val="ListParagraph"/>
        <w:numPr>
          <w:ilvl w:val="2"/>
          <w:numId w:val="29"/>
        </w:numPr>
      </w:pPr>
      <w:r>
        <w:t>NEVP overview</w:t>
      </w:r>
    </w:p>
    <w:p w14:paraId="4D7EA78A" w14:textId="77777777" w:rsidR="00D17230" w:rsidRDefault="00D17230" w:rsidP="00D17230">
      <w:pPr>
        <w:pStyle w:val="ListParagraph"/>
        <w:numPr>
          <w:ilvl w:val="2"/>
          <w:numId w:val="29"/>
        </w:numPr>
      </w:pPr>
      <w:r>
        <w:t xml:space="preserve">Representation in GCAM </w:t>
      </w:r>
    </w:p>
    <w:p w14:paraId="0EEE3EF7" w14:textId="77777777" w:rsidR="00D17230" w:rsidRDefault="00D17230" w:rsidP="00D17230">
      <w:pPr>
        <w:pStyle w:val="ListParagraph"/>
        <w:numPr>
          <w:ilvl w:val="1"/>
          <w:numId w:val="29"/>
        </w:numPr>
      </w:pPr>
      <w:r>
        <w:t>Technological/Costs/Prices</w:t>
      </w:r>
    </w:p>
    <w:p w14:paraId="64F2376F" w14:textId="5926ED5E" w:rsidR="00D17230" w:rsidRDefault="00D17230" w:rsidP="00D17230">
      <w:pPr>
        <w:pStyle w:val="ListParagraph"/>
        <w:numPr>
          <w:ilvl w:val="2"/>
          <w:numId w:val="29"/>
        </w:numPr>
      </w:pPr>
      <w:r>
        <w:t xml:space="preserve">Cost adjustments for Pakistan </w:t>
      </w:r>
    </w:p>
    <w:p w14:paraId="1086C63B" w14:textId="17C8588C" w:rsidR="00D17230" w:rsidRDefault="00D17230" w:rsidP="00D17230">
      <w:pPr>
        <w:pStyle w:val="Heading1"/>
        <w:numPr>
          <w:ilvl w:val="1"/>
          <w:numId w:val="20"/>
        </w:numPr>
      </w:pPr>
      <w:bookmarkStart w:id="11" w:name="_Toc36643836"/>
      <w:r>
        <w:t xml:space="preserve">PLEXOS </w:t>
      </w:r>
      <w:r w:rsidR="00BC2D73">
        <w:t>O</w:t>
      </w:r>
      <w:r>
        <w:t>verview</w:t>
      </w:r>
      <w:bookmarkEnd w:id="11"/>
    </w:p>
    <w:p w14:paraId="65B35C42" w14:textId="19A365A4" w:rsidR="00D17230" w:rsidRPr="00D17230" w:rsidRDefault="00D17230" w:rsidP="00D17230">
      <w:pPr>
        <w:pStyle w:val="Heading1"/>
        <w:numPr>
          <w:ilvl w:val="1"/>
          <w:numId w:val="20"/>
        </w:numPr>
      </w:pPr>
      <w:bookmarkStart w:id="12" w:name="_Toc36643837"/>
      <w:r>
        <w:t xml:space="preserve">SEP </w:t>
      </w:r>
      <w:r w:rsidR="00BC2D73">
        <w:t>M</w:t>
      </w:r>
      <w:r>
        <w:t xml:space="preserve">odel </w:t>
      </w:r>
      <w:r w:rsidR="00BC2D73">
        <w:t>O</w:t>
      </w:r>
      <w:r>
        <w:t>verview</w:t>
      </w:r>
      <w:bookmarkEnd w:id="12"/>
    </w:p>
    <w:p w14:paraId="37879254" w14:textId="75AC4E89" w:rsidR="004D3CF4" w:rsidRDefault="004D3CF4" w:rsidP="00A379AF">
      <w:pPr>
        <w:pStyle w:val="Heading1"/>
        <w:numPr>
          <w:ilvl w:val="0"/>
          <w:numId w:val="20"/>
        </w:numPr>
      </w:pPr>
      <w:bookmarkStart w:id="13" w:name="_Toc36643838"/>
      <w:r>
        <w:t>Results</w:t>
      </w:r>
      <w:bookmarkEnd w:id="13"/>
    </w:p>
    <w:p w14:paraId="6E4DC8EA" w14:textId="4F3F81D2" w:rsidR="004D3CF4" w:rsidRDefault="003F5E37" w:rsidP="0051151C">
      <w:pPr>
        <w:pStyle w:val="Heading1"/>
        <w:numPr>
          <w:ilvl w:val="1"/>
          <w:numId w:val="20"/>
        </w:numPr>
      </w:pPr>
      <w:bookmarkStart w:id="14" w:name="_Toc36643839"/>
      <w:r>
        <w:t xml:space="preserve">GCAM </w:t>
      </w:r>
      <w:r w:rsidR="00AD688B">
        <w:t>Baseline</w:t>
      </w:r>
      <w:r w:rsidR="004D3CF4">
        <w:t xml:space="preserve"> Results</w:t>
      </w:r>
      <w:bookmarkEnd w:id="14"/>
    </w:p>
    <w:p w14:paraId="721C5F82" w14:textId="249D0CBE" w:rsidR="003F5E37" w:rsidRDefault="003F5E37" w:rsidP="003F5E37">
      <w:pPr>
        <w:pStyle w:val="Heading1"/>
        <w:numPr>
          <w:ilvl w:val="1"/>
          <w:numId w:val="20"/>
        </w:numPr>
      </w:pPr>
      <w:bookmarkStart w:id="15" w:name="_Toc36643840"/>
      <w:r>
        <w:t>GCAM Scenario Results – EV adoption, emissions impacts</w:t>
      </w:r>
      <w:bookmarkEnd w:id="15"/>
    </w:p>
    <w:p w14:paraId="5B0DF92F" w14:textId="609914FC" w:rsidR="003F5E37" w:rsidRPr="003F5E37" w:rsidRDefault="003F5E37" w:rsidP="003F5E37">
      <w:pPr>
        <w:pStyle w:val="Heading1"/>
        <w:numPr>
          <w:ilvl w:val="1"/>
          <w:numId w:val="20"/>
        </w:numPr>
      </w:pPr>
      <w:bookmarkStart w:id="16" w:name="_Toc36643841"/>
      <w:r>
        <w:t>PLEXOS Results – power demand, infrastructure needs</w:t>
      </w:r>
      <w:bookmarkEnd w:id="16"/>
    </w:p>
    <w:p w14:paraId="1DF0120C" w14:textId="219F313A" w:rsidR="003F5E37" w:rsidRDefault="003F5E37" w:rsidP="0051151C">
      <w:pPr>
        <w:pStyle w:val="Heading1"/>
        <w:numPr>
          <w:ilvl w:val="1"/>
          <w:numId w:val="20"/>
        </w:numPr>
      </w:pPr>
      <w:bookmarkStart w:id="17" w:name="_Toc36643842"/>
      <w:r>
        <w:t>SEP Model Results – fuel needs by type, fuel costs</w:t>
      </w:r>
      <w:bookmarkEnd w:id="17"/>
    </w:p>
    <w:p w14:paraId="224CA31E" w14:textId="77777777" w:rsidR="003F5E37" w:rsidRPr="003F5E37" w:rsidRDefault="003F5E37" w:rsidP="003F5E37"/>
    <w:p w14:paraId="4D821AD2" w14:textId="356710C6" w:rsidR="008E1077" w:rsidRDefault="008E1077" w:rsidP="00A379AF">
      <w:pPr>
        <w:pStyle w:val="Heading1"/>
        <w:numPr>
          <w:ilvl w:val="0"/>
          <w:numId w:val="20"/>
        </w:numPr>
      </w:pPr>
      <w:bookmarkStart w:id="18" w:name="_Toc36643843"/>
      <w:r>
        <w:t>Discussion</w:t>
      </w:r>
      <w:r w:rsidR="00EF6C96">
        <w:t xml:space="preserve"> &amp; Conclusions</w:t>
      </w:r>
      <w:bookmarkEnd w:id="18"/>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1C8301CD" w:rsidR="004B6C44" w:rsidRDefault="004B6C44" w:rsidP="004B6C44">
      <w:pPr>
        <w:pStyle w:val="Heading1"/>
        <w:numPr>
          <w:ilvl w:val="0"/>
          <w:numId w:val="0"/>
        </w:numPr>
        <w:ind w:left="432" w:hanging="432"/>
      </w:pPr>
      <w:bookmarkStart w:id="19" w:name="_Toc36643844"/>
      <w:r>
        <w:t>References</w:t>
      </w:r>
      <w:bookmarkEnd w:id="19"/>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20" w:name="_Toc36643845"/>
      <w:r>
        <w:lastRenderedPageBreak/>
        <w:t>Appendi</w:t>
      </w:r>
      <w:r w:rsidR="00F15425">
        <w:t>ces</w:t>
      </w:r>
      <w:bookmarkEnd w:id="20"/>
    </w:p>
    <w:p w14:paraId="5F7A3EA5" w14:textId="47346274" w:rsidR="005133FA" w:rsidRDefault="005133FA" w:rsidP="00AB7F69">
      <w:pPr>
        <w:pStyle w:val="Heading1"/>
      </w:pPr>
      <w:bookmarkStart w:id="21" w:name="_Toc36643846"/>
      <w:r>
        <w:t>Pakistan-specific changes to core GCAM</w:t>
      </w:r>
      <w:bookmarkEnd w:id="21"/>
    </w:p>
    <w:p w14:paraId="20FC5D37" w14:textId="55D5ADFA" w:rsidR="00E8474E" w:rsidRDefault="00E8474E" w:rsidP="00E8474E">
      <w:pPr>
        <w:pStyle w:val="Heading2"/>
      </w:pPr>
      <w:bookmarkStart w:id="22" w:name="_Toc36643847"/>
      <w:bookmarkStart w:id="23" w:name="_Toc35334621"/>
      <w:r>
        <w:t>Socioeconomic assumptions</w:t>
      </w:r>
      <w:bookmarkEnd w:id="22"/>
    </w:p>
    <w:p w14:paraId="0C90C7CC" w14:textId="77777777"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1"/>
      </w:r>
    </w:p>
    <w:p w14:paraId="2F842E49" w14:textId="2D5DA379" w:rsidR="005133FA" w:rsidRPr="007C2950" w:rsidRDefault="005133FA" w:rsidP="007C2950">
      <w:pPr>
        <w:pStyle w:val="Heading2"/>
        <w:numPr>
          <w:ilvl w:val="1"/>
          <w:numId w:val="18"/>
        </w:numPr>
      </w:pPr>
      <w:bookmarkStart w:id="24" w:name="_Toc36643848"/>
      <w:r w:rsidRPr="007C2950">
        <w:t>Power sector changes</w:t>
      </w:r>
      <w:bookmarkEnd w:id="23"/>
      <w:bookmarkEnd w:id="24"/>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5" w:name="_Toc36643849"/>
      <w:r>
        <w:t>Fossil Generation</w:t>
      </w:r>
      <w:bookmarkEnd w:id="25"/>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6" w:name="_Toc36643850"/>
      <w:r>
        <w:t>Hydropower</w:t>
      </w:r>
      <w:bookmarkEnd w:id="26"/>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7" w:name="_Toc36643851"/>
      <w:r>
        <w:t>Nuclear</w:t>
      </w:r>
      <w:bookmarkEnd w:id="27"/>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2"/>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8" w:name="_Toc35334622"/>
      <w:bookmarkStart w:id="29" w:name="_Toc36643852"/>
      <w:r w:rsidRPr="007C2950">
        <w:t>Industry changes</w:t>
      </w:r>
      <w:bookmarkEnd w:id="28"/>
      <w:bookmarkEnd w:id="29"/>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30" w:name="_Toc36643853"/>
      <w:bookmarkStart w:id="31" w:name="_Toc35334624"/>
      <w:r>
        <w:t>Transportation changes</w:t>
      </w:r>
      <w:bookmarkEnd w:id="30"/>
      <w:r>
        <w:t xml:space="preserve"> </w:t>
      </w:r>
      <w:bookmarkEnd w:id="31"/>
    </w:p>
    <w:p w14:paraId="2302373D" w14:textId="51166C06" w:rsidR="00752FC3" w:rsidRDefault="00622FA7" w:rsidP="00752FC3">
      <w:pPr>
        <w:pStyle w:val="Heading3"/>
      </w:pPr>
      <w:bookmarkStart w:id="32" w:name="_Toc36643854"/>
      <w:r>
        <w:t>General updates to transportation assumptions</w:t>
      </w:r>
      <w:bookmarkEnd w:id="32"/>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lastRenderedPageBreak/>
              <w:t>Motorcycle (50-250cc)</w:t>
            </w:r>
          </w:p>
          <w:p w14:paraId="5FF0DA7A" w14:textId="26F92006" w:rsidR="00752FC3" w:rsidRDefault="00752FC3" w:rsidP="00752FC3">
            <w:r>
              <w:t>Scooter</w:t>
            </w:r>
          </w:p>
        </w:tc>
        <w:tc>
          <w:tcPr>
            <w:tcW w:w="1710" w:type="dxa"/>
          </w:tcPr>
          <w:p w14:paraId="4971B5F8" w14:textId="77777777" w:rsidR="00752FC3" w:rsidRDefault="00752FC3" w:rsidP="00752FC3">
            <w:r>
              <w:lastRenderedPageBreak/>
              <w:t>Liquids</w:t>
            </w:r>
          </w:p>
          <w:p w14:paraId="00ABF79F" w14:textId="3123C026" w:rsidR="00752FC3" w:rsidRDefault="00752FC3" w:rsidP="00752FC3">
            <w:r>
              <w:lastRenderedPageBreak/>
              <w:t>BEV</w:t>
            </w:r>
          </w:p>
        </w:tc>
        <w:tc>
          <w:tcPr>
            <w:tcW w:w="3865" w:type="dxa"/>
          </w:tcPr>
          <w:p w14:paraId="160096FD" w14:textId="77777777" w:rsidR="00752FC3" w:rsidRDefault="00717EEE" w:rsidP="00752FC3">
            <w:r>
              <w:lastRenderedPageBreak/>
              <w:t>Annual travel per vehicle</w:t>
            </w:r>
          </w:p>
          <w:p w14:paraId="2401DA99" w14:textId="77777777" w:rsidR="00717EEE" w:rsidRDefault="00717EEE" w:rsidP="00717EEE">
            <w:r>
              <w:lastRenderedPageBreak/>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lastRenderedPageBreak/>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t>Natural Gas</w:t>
            </w:r>
          </w:p>
          <w:p w14:paraId="460DE43A" w14:textId="25BF6794" w:rsidR="00717EEE" w:rsidRDefault="00717EEE" w:rsidP="00717EEE">
            <w:r>
              <w:t>BEV</w:t>
            </w:r>
          </w:p>
        </w:tc>
        <w:tc>
          <w:tcPr>
            <w:tcW w:w="3865" w:type="dxa"/>
          </w:tcPr>
          <w:p w14:paraId="11BC7C2E" w14:textId="77777777" w:rsidR="00717EEE" w:rsidRDefault="00717EEE" w:rsidP="00717EEE">
            <w:r>
              <w:t>Base year energy use</w:t>
            </w:r>
          </w:p>
          <w:p w14:paraId="5B4159B7" w14:textId="77777777" w:rsidR="00717EEE" w:rsidRDefault="00717EEE" w:rsidP="00717EEE">
            <w:r>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lastRenderedPageBreak/>
              <w:t>Non-fuel OPEX</w:t>
            </w:r>
          </w:p>
        </w:tc>
      </w:tr>
      <w:tr w:rsidR="00013055" w14:paraId="401DCDE1" w14:textId="77777777" w:rsidTr="00013055">
        <w:trPr>
          <w:trHeight w:val="43"/>
        </w:trPr>
        <w:tc>
          <w:tcPr>
            <w:tcW w:w="1705" w:type="dxa"/>
          </w:tcPr>
          <w:p w14:paraId="494FD226" w14:textId="658B04C3" w:rsidR="00013055" w:rsidRDefault="00013055" w:rsidP="00013055">
            <w:r>
              <w:lastRenderedPageBreak/>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3B1E3330" w:rsidR="00C45DD4" w:rsidRDefault="00D55B64" w:rsidP="00315409">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w:t>
      </w:r>
      <w:proofErr w:type="spellStart"/>
      <w:r w:rsidR="00B27C86">
        <w:t>Jadun</w:t>
      </w:r>
      <w:proofErr w:type="spellEnd"/>
      <w:r w:rsidR="00B27C86">
        <w:t xml:space="preserve"> et al. 2017)</w:t>
      </w:r>
      <w:r w:rsidR="00FA7813">
        <w:rPr>
          <w:rStyle w:val="FootnoteReference"/>
        </w:rPr>
        <w:footnoteReference w:id="3"/>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33" w:name="_Toc35334627"/>
      <w:bookmarkStart w:id="34" w:name="_Toc36643856"/>
      <w:r w:rsidRPr="0014425F">
        <w:lastRenderedPageBreak/>
        <w:t xml:space="preserve">Battery cost curves update </w:t>
      </w:r>
      <w:bookmarkEnd w:id="33"/>
      <w:bookmarkEnd w:id="34"/>
    </w:p>
    <w:p w14:paraId="20A12ED6" w14:textId="04B04F6D" w:rsidR="00315409" w:rsidRDefault="003F67DE" w:rsidP="00C45DD4">
      <w:r>
        <w:t xml:space="preserve">Recent data shows that battery </w:t>
      </w:r>
      <w:r w:rsidR="00EF3B20">
        <w:t xml:space="preserve">pack </w:t>
      </w:r>
      <w:r>
        <w:t xml:space="preserve">costs have fallen faster than projected, including in the Electrification Futures Study on which the slow, moderate, and rapid technology </w:t>
      </w:r>
      <w:r w:rsidR="00EF3B20">
        <w:t xml:space="preserve">advancement </w:t>
      </w:r>
      <w:r>
        <w:t xml:space="preserve">pathways were based. For example, according to Bloomberg New Energy Finance (BNEF) battery costs in 2019 had dropped to $156 per kWh, which the EFS projected would be only be reached by </w:t>
      </w:r>
      <w:r w:rsidR="00263EF2">
        <w:t>between 2025 and 2030</w:t>
      </w:r>
      <w:r>
        <w:t xml:space="preserve"> in Rapid Advancement, 20</w:t>
      </w:r>
      <w:r w:rsidR="00263EF2">
        <w:t>40</w:t>
      </w:r>
      <w:r>
        <w:t xml:space="preserve"> in Moderate, and not until after 2050 in Slow (</w:t>
      </w:r>
      <w:proofErr w:type="spellStart"/>
      <w:r>
        <w:t>Jadun</w:t>
      </w:r>
      <w:proofErr w:type="spellEnd"/>
      <w:r>
        <w:t xml:space="preserve"> et al. 2017). We modify the vehicle costs for each curve </w:t>
      </w:r>
      <w:r w:rsidR="00C45DD4">
        <w:t>based on more aggressive battery cost projections</w:t>
      </w:r>
      <w:r>
        <w:t xml:space="preserve">. </w:t>
      </w:r>
      <w:r w:rsidR="00C45DD4">
        <w:t xml:space="preserve">Intensity and infrastructure costs also vary 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7AE3A9A3" w14:textId="63E2AE17" w:rsidR="000017DB" w:rsidRDefault="000017DB" w:rsidP="00C45DD4"/>
    <w:p w14:paraId="0A3D8A71" w14:textId="75F4BB9B" w:rsidR="000017DB" w:rsidRDefault="000017DB" w:rsidP="00C45DD4"/>
    <w:p w14:paraId="48CE301B" w14:textId="29184CF5" w:rsidR="000017DB" w:rsidRDefault="000017DB" w:rsidP="00C45DD4"/>
    <w:p w14:paraId="244D21FB" w14:textId="3E1D5EE5" w:rsidR="000017DB" w:rsidRDefault="000017DB" w:rsidP="00C45DD4"/>
    <w:p w14:paraId="07CE4053" w14:textId="0E866E6C" w:rsidR="000017DB" w:rsidRDefault="000017DB" w:rsidP="00C45DD4"/>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lastRenderedPageBreak/>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8"/>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35" w:name="_Toc35334628"/>
      <w:r>
        <w:t xml:space="preserve">Battery </w:t>
      </w:r>
      <w:proofErr w:type="spellStart"/>
      <w:r>
        <w:t>vintaging</w:t>
      </w:r>
      <w:proofErr w:type="spellEnd"/>
      <w:r>
        <w:t xml:space="preserve"> factors</w:t>
      </w:r>
      <w:bookmarkEnd w:id="35"/>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36" w:name="_Toc35334629"/>
      <w:bookmarkStart w:id="37" w:name="_Toc36643857"/>
      <w:r w:rsidRPr="00C808A6">
        <w:rPr>
          <w:rStyle w:val="Heading2Char"/>
          <w:b/>
          <w:bCs/>
          <w:smallCaps w:val="0"/>
          <w:sz w:val="22"/>
          <w:szCs w:val="22"/>
        </w:rPr>
        <w:t>4W LDVs</w:t>
      </w:r>
      <w:bookmarkEnd w:id="36"/>
      <w:bookmarkEnd w:id="37"/>
    </w:p>
    <w:p w14:paraId="2DE7E020" w14:textId="7493A333"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(ANL)</w:t>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C808A6" w:rsidRDefault="00C45DD4" w:rsidP="00C808A6">
      <w:pPr>
        <w:pStyle w:val="Heading4"/>
      </w:pPr>
      <w:bookmarkStart w:id="38" w:name="_Toc35334630"/>
      <w:bookmarkStart w:id="39" w:name="_Toc36643858"/>
      <w:r w:rsidRPr="00C808A6">
        <w:rPr>
          <w:rStyle w:val="Heading2Char"/>
          <w:b/>
          <w:bCs/>
          <w:smallCaps w:val="0"/>
          <w:sz w:val="22"/>
          <w:szCs w:val="22"/>
        </w:rPr>
        <w:lastRenderedPageBreak/>
        <w:t>2-wheelers</w:t>
      </w:r>
      <w:bookmarkEnd w:id="38"/>
      <w:bookmarkEnd w:id="39"/>
    </w:p>
    <w:p w14:paraId="7C62F629" w14:textId="7448F1B5"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t>. We assume the</w:t>
      </w:r>
      <w:r w:rsidR="00C45DD4">
        <w:t xml:space="preserve"> battery is 37.5% of vehicle cost in 2020</w:t>
      </w:r>
      <w:r>
        <w:t>. T</w:t>
      </w:r>
      <w:r w:rsidR="00C45DD4">
        <w:t>his is based on assumption that 50% of the total cost of 2</w:t>
      </w:r>
      <w:r>
        <w:t xml:space="preserve">- and 3-wheelers </w:t>
      </w:r>
      <w:r w:rsidR="00C45DD4">
        <w:t>are due to EV components and batteries constitute 75% of the EV component cost, which is generally true for compact cars from the ANL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t>Autonomie</w:t>
      </w:r>
      <w:proofErr w:type="spellEnd"/>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0" w:name="_Toc35334631"/>
    </w:p>
    <w:p w14:paraId="00FFE0A3" w14:textId="77777777" w:rsidR="000017DB" w:rsidRPr="00C808A6" w:rsidRDefault="00C45DD4" w:rsidP="00C808A6">
      <w:pPr>
        <w:pStyle w:val="Heading4"/>
      </w:pPr>
      <w:bookmarkStart w:id="41" w:name="_Toc36643859"/>
      <w:r w:rsidRPr="00C808A6">
        <w:rPr>
          <w:rStyle w:val="Heading2Char"/>
          <w:b/>
          <w:bCs/>
          <w:smallCaps w:val="0"/>
          <w:sz w:val="22"/>
          <w:szCs w:val="22"/>
        </w:rPr>
        <w:t>3-wheelers</w:t>
      </w:r>
      <w:bookmarkEnd w:id="40"/>
      <w:bookmarkEnd w:id="41"/>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42" w:name="_Toc35334632"/>
      <w:bookmarkStart w:id="43" w:name="_Toc36643860"/>
      <w:r w:rsidRPr="00C808A6">
        <w:rPr>
          <w:rStyle w:val="Heading2Char"/>
          <w:b/>
          <w:bCs/>
          <w:smallCaps w:val="0"/>
          <w:sz w:val="22"/>
          <w:szCs w:val="22"/>
        </w:rPr>
        <w:t>Trucks</w:t>
      </w:r>
      <w:bookmarkEnd w:id="42"/>
      <w:bookmarkEnd w:id="43"/>
    </w:p>
    <w:p w14:paraId="486B0A30" w14:textId="3FEE93C4" w:rsidR="005256C3" w:rsidRDefault="005256C3" w:rsidP="005256C3">
      <w:r>
        <w:t xml:space="preserve">There is only one cost variable for trucks, </w:t>
      </w:r>
      <w:r w:rsidR="00C45DD4">
        <w:t>CAPEX and non-fuel OPEX ($/</w:t>
      </w:r>
      <w:proofErr w:type="spellStart"/>
      <w:r w:rsidR="00C45DD4">
        <w:t>vkm</w:t>
      </w:r>
      <w:proofErr w:type="spellEnd"/>
      <w:r w:rsidR="00C45DD4">
        <w:t>)</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proofErr w:type="spellStart"/>
      <w:r w:rsidR="00C45DD4">
        <w:t>Autonomie</w:t>
      </w:r>
      <w:proofErr w:type="spellEnd"/>
      <w:r>
        <w:t xml:space="preserve"> data (</w:t>
      </w:r>
      <w:r w:rsidR="00C45DD4">
        <w:t>average non-battery tech curve</w:t>
      </w:r>
      <w:r>
        <w:t>)</w:t>
      </w:r>
      <w:r w:rsidR="00C45DD4">
        <w:t xml:space="preserve"> for all truck classes. </w:t>
      </w:r>
      <w:r>
        <w:t xml:space="preserve">We estimate the purchase cost 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C808A6" w:rsidRDefault="00C45DD4" w:rsidP="00C808A6">
      <w:pPr>
        <w:pStyle w:val="Heading4"/>
      </w:pPr>
      <w:bookmarkStart w:id="44" w:name="_Toc35334633"/>
      <w:bookmarkStart w:id="45" w:name="_Toc36643861"/>
      <w:r w:rsidRPr="00C808A6">
        <w:rPr>
          <w:rStyle w:val="Heading2Char"/>
          <w:b/>
          <w:bCs/>
          <w:smallCaps w:val="0"/>
          <w:sz w:val="22"/>
          <w:szCs w:val="22"/>
        </w:rPr>
        <w:t>Buses</w:t>
      </w:r>
      <w:bookmarkEnd w:id="44"/>
      <w:bookmarkEnd w:id="45"/>
    </w:p>
    <w:p w14:paraId="55F05D43" w14:textId="0C7B0F23"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C45DD4">
        <w:rPr>
          <w:rStyle w:val="EndnoteReference"/>
        </w:rPr>
        <w:endnoteReference w:id="3"/>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proofErr w:type="spellStart"/>
      <w:r>
        <w:t>Autonomie</w:t>
      </w:r>
      <w:proofErr w:type="spellEnd"/>
      <w:r>
        <w:t>.</w:t>
      </w:r>
      <w:r w:rsidR="004A2861">
        <w:t xml:space="preserve"> The capital cost share of non-fuel levelized cost comes from the EFS report. (figure 13 data). New costs are calculated as:</w:t>
      </w:r>
    </w:p>
    <w:p w14:paraId="2CB7EBB1" w14:textId="77777777" w:rsidR="00C45DD4" w:rsidRDefault="00C45DD4" w:rsidP="004A2861">
      <w:pPr>
        <w:ind w:left="720"/>
      </w:pPr>
      <w:r>
        <w:t xml:space="preserve">New cost = old cost * (1 – ((battery cost % change from NREL) * (battery share of cost) * (share of capital cost in LCOD) * (battery </w:t>
      </w:r>
      <w:proofErr w:type="spellStart"/>
      <w:r>
        <w:t>vintaging</w:t>
      </w:r>
      <w:proofErr w:type="spellEnd"/>
      <w:r>
        <w:t xml:space="preserve"> factor))</w:t>
      </w:r>
      <w:bookmarkStart w:id="46" w:name="_GoBack"/>
      <w:bookmarkEnd w:id="46"/>
    </w:p>
    <w:p w14:paraId="07E63205" w14:textId="36C2E80B" w:rsidR="005133FA" w:rsidRPr="00C45DD4" w:rsidRDefault="005133FA" w:rsidP="00C45DD4">
      <w:pPr>
        <w:rPr>
          <w:rFonts w:asciiTheme="majorHAnsi" w:eastAsiaTheme="majorEastAsia" w:hAnsiTheme="majorHAnsi" w:cstheme="majorBidi"/>
          <w:color w:val="2F5496" w:themeColor="accent1" w:themeShade="BF"/>
          <w:sz w:val="32"/>
          <w:szCs w:val="32"/>
        </w:rPr>
      </w:pPr>
    </w:p>
    <w:p w14:paraId="277EAF0C" w14:textId="77777777" w:rsidR="00FC3E5A" w:rsidRDefault="00FC3E5A" w:rsidP="00FC3E5A">
      <w:pPr>
        <w:pStyle w:val="Heading3"/>
      </w:pPr>
      <w:bookmarkStart w:id="47" w:name="_Toc36643855"/>
      <w:bookmarkStart w:id="48" w:name="_Toc35334623"/>
      <w:bookmarkStart w:id="49" w:name="_Toc36643862"/>
      <w:r>
        <w:lastRenderedPageBreak/>
        <w:t>Pakistan-specific transportation changes</w:t>
      </w:r>
      <w:bookmarkEnd w:id="47"/>
    </w:p>
    <w:p w14:paraId="420E178E" w14:textId="77777777" w:rsidR="00FC3E5A" w:rsidRDefault="00FC3E5A" w:rsidP="00FC3E5A">
      <w:r>
        <w:t xml:space="preserve">We also make </w:t>
      </w:r>
      <w:proofErr w:type="gramStart"/>
      <w:r>
        <w:t>a number of</w:t>
      </w:r>
      <w:proofErr w:type="gramEnd"/>
      <w:r>
        <w:t xml:space="preserve">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77777777" w:rsidR="00FC3E5A" w:rsidRDefault="00FC3E5A" w:rsidP="00FC3E5A">
      <w:r>
        <w:t>We update the cost assumptions for 2- and 3-wheelers in Southeast Asia. As NREL’s Electrification Futures Study (</w:t>
      </w:r>
      <w:proofErr w:type="spellStart"/>
      <w:r>
        <w:t>Jadun</w:t>
      </w:r>
      <w:proofErr w:type="spellEnd"/>
      <w:r>
        <w:t xml:space="preserve">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 electric 2-wheelers are already at levelized cost parity with conventional ICE 2-wheelers in Pakistan. Therefore, we back calculate purchase costs for BEVs in 2020 by class using ICEV cost assumptions and assuming equal levelized costs. After 2020, costs decrease according to the battery costs given in the three technology advancement pathways.</w:t>
      </w:r>
    </w:p>
    <w:p w14:paraId="75C76402" w14:textId="77777777" w:rsidR="00FC3E5A" w:rsidRDefault="00FC3E5A" w:rsidP="00FC3E5A">
      <w:r>
        <w:t>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 xml:space="preserve">The infrastructure capital cost assumptions for BEVs come from </w:t>
      </w:r>
      <w:proofErr w:type="spellStart"/>
      <w:r>
        <w:t>Jadun</w:t>
      </w:r>
      <w:proofErr w:type="spellEnd"/>
      <w:r>
        <w:t xml:space="preserve">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77777777" w:rsidR="00FC3E5A" w:rsidRDefault="00FC3E5A" w:rsidP="00FC3E5A">
      <w:r>
        <w:t xml:space="preserve">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 We scale the values by 70% to represent more realistic maintenance. </w:t>
      </w:r>
    </w:p>
    <w:p w14:paraId="181352A4" w14:textId="77777777" w:rsidR="00FC3E5A" w:rsidRDefault="00FC3E5A" w:rsidP="00FC3E5A">
      <w:r>
        <w:lastRenderedPageBreak/>
        <w:t xml:space="preserve">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w:t>
      </w:r>
      <w:proofErr w:type="gramStart"/>
      <w:r>
        <w:t>0-2 ton</w:t>
      </w:r>
      <w:proofErr w:type="gramEnd"/>
      <w:r>
        <w:t xml:space="preserve">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57F8E1D8" w14:textId="77777777" w:rsidR="00FC3E5A" w:rsidRDefault="00FC3E5A" w:rsidP="00FC3E5A">
      <w:r>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4"/>
      </w:r>
      <w:r>
        <w:t xml:space="preserve"> and average inflation of 5.5% over the past five years.</w:t>
      </w:r>
      <w:r>
        <w:rPr>
          <w:rStyle w:val="FootnoteReference"/>
        </w:rPr>
        <w:footnoteReference w:id="5"/>
      </w:r>
    </w:p>
    <w:p w14:paraId="25199594" w14:textId="77777777" w:rsidR="005133FA" w:rsidRDefault="005133FA" w:rsidP="005133FA">
      <w:pPr>
        <w:pStyle w:val="Heading1"/>
      </w:pPr>
      <w:r>
        <w:t>EV analysis</w:t>
      </w:r>
      <w:bookmarkEnd w:id="48"/>
      <w:bookmarkEnd w:id="49"/>
    </w:p>
    <w:p w14:paraId="3A8BB96E" w14:textId="77777777" w:rsidR="005133FA" w:rsidRDefault="005133FA" w:rsidP="005133FA"/>
    <w:p w14:paraId="1D5579F2" w14:textId="77777777" w:rsidR="005133FA" w:rsidRDefault="005133FA" w:rsidP="005133FA">
      <w:pPr>
        <w:pStyle w:val="Heading2"/>
      </w:pPr>
      <w:bookmarkStart w:id="50" w:name="_Toc35334625"/>
      <w:bookmarkStart w:id="51" w:name="_Toc36643863"/>
      <w:r>
        <w:t>Policy scenarios</w:t>
      </w:r>
      <w:bookmarkEnd w:id="50"/>
      <w:bookmarkEnd w:id="51"/>
      <w:r>
        <w:t xml:space="preserve"> </w:t>
      </w:r>
    </w:p>
    <w:p w14:paraId="7333E93D" w14:textId="56BABDD3" w:rsidR="005133FA" w:rsidRDefault="005133FA"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52"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lastRenderedPageBreak/>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tbl>
    <w:bookmarkEnd w:id="52"/>
    <w:p w14:paraId="675DF594" w14:textId="77777777" w:rsidR="005133FA" w:rsidRDefault="005133FA" w:rsidP="005133FA">
      <w:r>
        <w:t>Scenarios are run in combination with Slow and Rapid Advancement cost pathways (see below).</w:t>
      </w:r>
    </w:p>
    <w:p w14:paraId="1AA329E0" w14:textId="77777777" w:rsidR="005133FA" w:rsidRDefault="005133FA" w:rsidP="005133FA">
      <w:r>
        <w:t>Pakistan’s vehicle taxes and duties:</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5E5730CE" w14:textId="1B211F66"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localization of EVs for each vehicle class. There are three localization scenarios: a base case with no EV localization, a gradual localization case, and an accelerated localization case. </w:t>
      </w:r>
    </w:p>
    <w:p w14:paraId="2FB81018" w14:textId="107975ED" w:rsidR="00D32657" w:rsidRDefault="00D32657" w:rsidP="005133FA">
      <w:r>
        <w:t>EV benefits</w:t>
      </w:r>
      <w:r w:rsidR="00B91245">
        <w:t xml:space="preserve"> under the NEVP are largely proposed to last 7 years, but as GCAM uses 5-year time steps, we model the NEVP over 10 years, from 2020 to 2030. </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77777777" w:rsidR="005133FA" w:rsidRDefault="005133FA" w:rsidP="005133FA"/>
    <w:p w14:paraId="0FA6742F" w14:textId="55113D4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manufacturer’s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53" w:name="_Toc35334626"/>
      <w:bookmarkStart w:id="54" w:name="_Toc36643864"/>
      <w:r>
        <w:t>Sensitivity analysis</w:t>
      </w:r>
      <w:bookmarkEnd w:id="53"/>
      <w:bookmarkEnd w:id="54"/>
    </w:p>
    <w:p w14:paraId="1562CA04" w14:textId="0094D423" w:rsidR="00E8474E" w:rsidRDefault="00A61D85" w:rsidP="00FC3E5A">
      <w:r>
        <w:t xml:space="preserve">Research has shown that consumers considering energy efficient technologies with higher capital but lower operating costs, including EVs, consistently discount the future savings they will receive.  </w:t>
      </w:r>
      <w:r w:rsidR="00E8474E">
        <w:t xml:space="preserve">As a sensitivity to highlight the importance </w:t>
      </w:r>
      <w:r>
        <w:t>of accurate perceptions of the cost advantages of EVs, for instance to demonstrate the</w:t>
      </w:r>
      <w:r w:rsidR="00E8474E">
        <w:t xml:space="preserve"> effect of informational campaigns, we run a high and low case (slow advancement</w:t>
      </w:r>
      <w:r>
        <w:t xml:space="preserve">, </w:t>
      </w:r>
      <w:r w:rsidR="00E8474E">
        <w:t>NEVP gradual localization and rapid advancement</w:t>
      </w:r>
      <w:r>
        <w:t xml:space="preserve">, </w:t>
      </w:r>
      <w:r w:rsidR="00E8474E">
        <w:t>NEVP accelerated localization) with higher EV operating costs</w:t>
      </w:r>
      <w:r>
        <w:t>. We calculate 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lastRenderedPageBreak/>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F408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5388B" w14:textId="77777777" w:rsidR="00AC7CB7" w:rsidRDefault="00AC7CB7" w:rsidP="00F7514B">
      <w:pPr>
        <w:spacing w:after="0" w:line="240" w:lineRule="auto"/>
      </w:pPr>
      <w:r>
        <w:separator/>
      </w:r>
    </w:p>
  </w:endnote>
  <w:endnote w:type="continuationSeparator" w:id="0">
    <w:p w14:paraId="00F66267" w14:textId="77777777" w:rsidR="00AC7CB7" w:rsidRDefault="00AC7CB7"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5256C3"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5256C3" w:rsidRPr="00713220" w:rsidRDefault="005256C3"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5256C3"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77777777" w:rsidR="005256C3" w:rsidRPr="006440D5" w:rsidRDefault="005256C3"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Berckmans, G., Messagie, M., Smekens, J., Omar, N., Vanhaverbeke, L., &amp; Van Mierlo, J. (2017). </w:t>
            </w:r>
            <w:r w:rsidRPr="006440D5">
              <w:rPr>
                <w:rFonts w:eastAsia="Times New Roman" w:cstheme="minorHAnsi"/>
                <w:i/>
                <w:iCs/>
                <w:color w:val="000000"/>
                <w:sz w:val="20"/>
                <w:szCs w:val="20"/>
              </w:rPr>
              <w:t>Cost projection of state of the art lithium-Ion batteries for electric vehicles up to 2030. Energies, 2017</w:t>
            </w:r>
            <w:r w:rsidRPr="006440D5">
              <w:rPr>
                <w:rFonts w:eastAsia="Times New Roman" w:cstheme="minorHAnsi"/>
                <w:color w:val="000000"/>
                <w:sz w:val="20"/>
                <w:szCs w:val="20"/>
              </w:rPr>
              <w:t xml:space="preserve">(10), 1314. doi:10.3390/en10091314 </w:t>
            </w:r>
          </w:p>
        </w:tc>
      </w:tr>
      <w:tr w:rsidR="005256C3" w:rsidRPr="006440D5" w14:paraId="0618B5EA" w14:textId="77777777" w:rsidTr="005133FA">
        <w:trPr>
          <w:trHeight w:val="300"/>
        </w:trPr>
        <w:tc>
          <w:tcPr>
            <w:tcW w:w="9360" w:type="dxa"/>
            <w:tcBorders>
              <w:top w:val="nil"/>
              <w:left w:val="nil"/>
              <w:bottom w:val="nil"/>
              <w:right w:val="nil"/>
            </w:tcBorders>
            <w:shd w:val="clear" w:color="auto" w:fill="auto"/>
            <w:noWrap/>
            <w:vAlign w:val="bottom"/>
            <w:hideMark/>
          </w:tcPr>
          <w:p w14:paraId="6183531F" w14:textId="77777777" w:rsidR="005256C3" w:rsidRPr="006440D5" w:rsidRDefault="005256C3"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Goldie-Scot, L. (2019, 5 March). </w:t>
            </w:r>
            <w:r w:rsidRPr="006440D5">
              <w:rPr>
                <w:rFonts w:eastAsia="Times New Roman" w:cstheme="minorHAnsi"/>
                <w:i/>
                <w:iCs/>
                <w:color w:val="000000"/>
                <w:sz w:val="20"/>
                <w:szCs w:val="20"/>
              </w:rPr>
              <w:t>A behind the scenes take on lithium-ion battery prices</w:t>
            </w:r>
            <w:r w:rsidRPr="006440D5">
              <w:rPr>
                <w:rFonts w:eastAsia="Times New Roman" w:cstheme="minorHAnsi"/>
                <w:color w:val="000000"/>
                <w:sz w:val="20"/>
                <w:szCs w:val="20"/>
              </w:rPr>
              <w:t xml:space="preserve">. Retrieved from: https://about.bnef.com/blog/behind-scenes-take-lithium-ion-battery-prices/ </w:t>
            </w:r>
          </w:p>
        </w:tc>
      </w:tr>
      <w:tr w:rsidR="005256C3" w:rsidRPr="006440D5" w14:paraId="253F7038" w14:textId="77777777" w:rsidTr="005133FA">
        <w:trPr>
          <w:trHeight w:val="300"/>
        </w:trPr>
        <w:tc>
          <w:tcPr>
            <w:tcW w:w="9360" w:type="dxa"/>
            <w:tcBorders>
              <w:top w:val="nil"/>
              <w:left w:val="nil"/>
              <w:bottom w:val="nil"/>
              <w:right w:val="nil"/>
            </w:tcBorders>
            <w:shd w:val="clear" w:color="auto" w:fill="auto"/>
            <w:noWrap/>
            <w:vAlign w:val="bottom"/>
            <w:hideMark/>
          </w:tcPr>
          <w:p w14:paraId="7D0789D3" w14:textId="77777777" w:rsidR="005256C3" w:rsidRPr="006440D5" w:rsidRDefault="005256C3"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BNEF (2019, 3 December). Battery pack prices fall as market ramps up with market average at $156/kWh in 2019. Retrieved from https://about.bnef.com/blog/battery-pack-prices-fall-as-market-ramps-up-with-market-average-at-156-kwh-in-2019/?sf113554299=1</w:t>
            </w:r>
          </w:p>
        </w:tc>
      </w:tr>
      <w:tr w:rsidR="005256C3" w:rsidRPr="006440D5" w14:paraId="3C19E2C8" w14:textId="77777777" w:rsidTr="005133FA">
        <w:trPr>
          <w:trHeight w:val="300"/>
        </w:trPr>
        <w:tc>
          <w:tcPr>
            <w:tcW w:w="9360" w:type="dxa"/>
            <w:tcBorders>
              <w:top w:val="nil"/>
              <w:left w:val="nil"/>
              <w:bottom w:val="nil"/>
              <w:right w:val="nil"/>
            </w:tcBorders>
            <w:shd w:val="clear" w:color="auto" w:fill="auto"/>
            <w:noWrap/>
            <w:vAlign w:val="bottom"/>
            <w:hideMark/>
          </w:tcPr>
          <w:p w14:paraId="0DC0E4E5" w14:textId="77777777" w:rsidR="005256C3" w:rsidRPr="006440D5" w:rsidRDefault="005256C3"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Holland, M. (2018, 9 June). $100/kWh Tesla battery cells this year, $100/kWh Tesla battery packs in 2020. Retrieved from https://cleantechnica.com/2018/06/09/100-kwh-tesla-battery-cells-this-year-100-kwh-tesla-battery-packs-in-2020/</w:t>
            </w:r>
          </w:p>
        </w:tc>
      </w:tr>
      <w:tr w:rsidR="005256C3"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5256C3" w:rsidRPr="006440D5" w:rsidRDefault="005256C3"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5256C3"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77777777" w:rsidR="005256C3" w:rsidRPr="006440D5" w:rsidRDefault="005256C3"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Jadun, P., McMillan, C., Steinberg, D., Muratori, M., Vimmerstedt, L., &amp; Mai, T. (2017). </w:t>
            </w:r>
            <w:r w:rsidRPr="006440D5">
              <w:rPr>
                <w:rFonts w:eastAsia="Times New Roman" w:cstheme="minorHAnsi"/>
                <w:i/>
                <w:iCs/>
                <w:color w:val="000000"/>
                <w:sz w:val="20"/>
                <w:szCs w:val="20"/>
              </w:rPr>
              <w:t>Electrification futures study: end-use electric technology cost and performance projections through 2050</w:t>
            </w:r>
            <w:r w:rsidRPr="006440D5">
              <w:rPr>
                <w:rFonts w:eastAsia="Times New Roman" w:cstheme="minorHAnsi"/>
                <w:color w:val="000000"/>
                <w:sz w:val="20"/>
                <w:szCs w:val="20"/>
              </w:rPr>
              <w:t xml:space="preserve"> (NREL/TP-6A20-70485). Retrieved from https://www.nrel.gov/docs/fy18osti/70485.pdf</w:t>
            </w:r>
          </w:p>
        </w:tc>
      </w:tr>
      <w:tr w:rsidR="005256C3" w:rsidRPr="006440D5" w14:paraId="472C75CC" w14:textId="77777777" w:rsidTr="005133FA">
        <w:trPr>
          <w:trHeight w:val="300"/>
        </w:trPr>
        <w:tc>
          <w:tcPr>
            <w:tcW w:w="9360" w:type="dxa"/>
            <w:tcBorders>
              <w:top w:val="nil"/>
              <w:left w:val="nil"/>
              <w:bottom w:val="nil"/>
              <w:right w:val="nil"/>
            </w:tcBorders>
            <w:shd w:val="clear" w:color="auto" w:fill="auto"/>
            <w:noWrap/>
            <w:vAlign w:val="bottom"/>
            <w:hideMark/>
          </w:tcPr>
          <w:p w14:paraId="598E67AE" w14:textId="77777777" w:rsidR="005256C3" w:rsidRPr="006440D5" w:rsidRDefault="005256C3"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Curry, C. (2017 July 5). “Lithium-Ion Battery Costs and Market.” Retrieved from https://data.bloomberglp.com/bnef/sites/14/2017/07/BNEF-Lithium-ion-battery-costs-and-market.pdf</w:t>
            </w:r>
          </w:p>
        </w:tc>
      </w:tr>
      <w:tr w:rsidR="005256C3"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5256C3" w:rsidRPr="006440D5" w:rsidRDefault="005256C3"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5256C3" w:rsidRPr="006440D5" w:rsidRDefault="005256C3" w:rsidP="00315409">
      <w:pPr>
        <w:pStyle w:val="EndnoteText"/>
      </w:pPr>
    </w:p>
  </w:endnote>
  <w:endnote w:id="2">
    <w:p w14:paraId="21122BC2" w14:textId="77777777" w:rsidR="005256C3" w:rsidRDefault="005256C3"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14:paraId="0CCF9C39" w14:textId="77777777" w:rsidR="005256C3" w:rsidRDefault="005256C3" w:rsidP="00C45DD4">
      <w:pPr>
        <w:pStyle w:val="EndnoteText"/>
      </w:pPr>
      <w:r>
        <w:rPr>
          <w:rStyle w:val="EndnoteReference"/>
        </w:rPr>
        <w:endnoteRef/>
      </w:r>
      <w:r>
        <w:t xml:space="preserve"> Sources:</w:t>
      </w:r>
    </w:p>
    <w:p w14:paraId="13A8E0D2" w14:textId="77777777" w:rsidR="005256C3" w:rsidRPr="00A849A0" w:rsidRDefault="005256C3" w:rsidP="00C45DD4">
      <w:pPr>
        <w:pStyle w:val="EndnoteText"/>
      </w:pPr>
      <w:r w:rsidRPr="00A849A0">
        <w:t>$395k-593k per bus</w:t>
      </w:r>
      <w:r>
        <w:t xml:space="preserve"> in China (</w:t>
      </w:r>
      <w:hyperlink r:id="rId2" w:history="1">
        <w:r w:rsidRPr="00A849A0">
          <w:rPr>
            <w:rStyle w:val="Hyperlink"/>
          </w:rPr>
          <w:t>https://en.wikipedia.org/wiki/BYD_K9</w:t>
        </w:r>
      </w:hyperlink>
      <w:r>
        <w:t>)</w:t>
      </w:r>
    </w:p>
    <w:p w14:paraId="50C58EE9" w14:textId="77777777" w:rsidR="005256C3" w:rsidRPr="00A849A0" w:rsidRDefault="005256C3" w:rsidP="00C45DD4">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14:paraId="46086A71" w14:textId="77777777" w:rsidR="005256C3" w:rsidRPr="008D7301" w:rsidRDefault="005256C3" w:rsidP="00C45DD4">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14:paraId="4BE85D2C" w14:textId="77777777" w:rsidR="005256C3" w:rsidRDefault="005256C3" w:rsidP="00C45DD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5256C3" w:rsidRDefault="005256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5256C3" w:rsidRDefault="00525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1D3D0" w14:textId="77777777" w:rsidR="00AC7CB7" w:rsidRDefault="00AC7CB7" w:rsidP="00F7514B">
      <w:pPr>
        <w:spacing w:after="0" w:line="240" w:lineRule="auto"/>
      </w:pPr>
      <w:r>
        <w:separator/>
      </w:r>
    </w:p>
  </w:footnote>
  <w:footnote w:type="continuationSeparator" w:id="0">
    <w:p w14:paraId="54C5A442" w14:textId="77777777" w:rsidR="00AC7CB7" w:rsidRDefault="00AC7CB7" w:rsidP="00F7514B">
      <w:pPr>
        <w:spacing w:after="0" w:line="240" w:lineRule="auto"/>
      </w:pPr>
      <w:r>
        <w:continuationSeparator/>
      </w:r>
    </w:p>
  </w:footnote>
  <w:footnote w:id="1">
    <w:p w14:paraId="294D9528" w14:textId="77777777" w:rsidR="005256C3" w:rsidRDefault="005256C3"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2">
    <w:p w14:paraId="3F44B139" w14:textId="77777777" w:rsidR="005256C3" w:rsidRPr="00DA38D4" w:rsidRDefault="005256C3" w:rsidP="00E8474E">
      <w:pPr>
        <w:rPr>
          <w:sz w:val="20"/>
          <w:szCs w:val="20"/>
        </w:rPr>
      </w:pPr>
      <w:r>
        <w:rPr>
          <w:rStyle w:val="FootnoteReference"/>
        </w:rPr>
        <w:footnoteRef/>
      </w:r>
      <w:r>
        <w:t xml:space="preserve"> </w:t>
      </w:r>
      <w:hyperlink r:id="rId1"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5256C3" w:rsidRDefault="005256C3" w:rsidP="00E8474E">
      <w:pPr>
        <w:pStyle w:val="FootnoteText"/>
      </w:pPr>
    </w:p>
  </w:footnote>
  <w:footnote w:id="3">
    <w:p w14:paraId="109E79B4" w14:textId="59C077CE" w:rsidR="005256C3" w:rsidRDefault="005256C3">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4">
    <w:p w14:paraId="01FD0366" w14:textId="77777777" w:rsidR="005256C3" w:rsidRDefault="005256C3" w:rsidP="00FC3E5A">
      <w:pPr>
        <w:pStyle w:val="FootnoteText"/>
      </w:pPr>
      <w:r>
        <w:rPr>
          <w:rStyle w:val="FootnoteReference"/>
        </w:rPr>
        <w:footnoteRef/>
      </w:r>
      <w:hyperlink r:id="rId2"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5">
    <w:p w14:paraId="6278110E" w14:textId="77777777" w:rsidR="005256C3" w:rsidRDefault="005256C3" w:rsidP="00FC3E5A">
      <w:pPr>
        <w:pStyle w:val="FootnoteText"/>
      </w:pPr>
      <w:r>
        <w:rPr>
          <w:rStyle w:val="FootnoteReference"/>
        </w:rPr>
        <w:footnoteRef/>
      </w:r>
      <w:r>
        <w:t xml:space="preserve"> </w:t>
      </w:r>
      <w:hyperlink r:id="rId3"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5256C3" w:rsidRPr="00F7514B" w:rsidRDefault="005256C3"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7"/>
  </w:num>
  <w:num w:numId="3">
    <w:abstractNumId w:val="11"/>
  </w:num>
  <w:num w:numId="4">
    <w:abstractNumId w:val="12"/>
  </w:num>
  <w:num w:numId="5">
    <w:abstractNumId w:val="0"/>
  </w:num>
  <w:num w:numId="6">
    <w:abstractNumId w:val="2"/>
  </w:num>
  <w:num w:numId="7">
    <w:abstractNumId w:val="10"/>
  </w:num>
  <w:num w:numId="8">
    <w:abstractNumId w:val="3"/>
  </w:num>
  <w:num w:numId="9">
    <w:abstractNumId w:val="14"/>
  </w:num>
  <w:num w:numId="10">
    <w:abstractNumId w:val="4"/>
  </w:num>
  <w:num w:numId="11">
    <w:abstractNumId w:val="6"/>
  </w:num>
  <w:num w:numId="12">
    <w:abstractNumId w:val="13"/>
  </w:num>
  <w:num w:numId="13">
    <w:abstractNumId w:val="17"/>
  </w:num>
  <w:num w:numId="14">
    <w:abstractNumId w:val="16"/>
  </w:num>
  <w:num w:numId="15">
    <w:abstractNumId w:val="22"/>
  </w:num>
  <w:num w:numId="16">
    <w:abstractNumId w:val="5"/>
  </w:num>
  <w:num w:numId="17">
    <w:abstractNumId w:val="15"/>
  </w:num>
  <w:num w:numId="18">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4"/>
  </w:num>
  <w:num w:numId="21">
    <w:abstractNumId w:val="9"/>
  </w:num>
  <w:num w:numId="22">
    <w:abstractNumId w:val="9"/>
  </w:num>
  <w:num w:numId="23">
    <w:abstractNumId w:val="21"/>
  </w:num>
  <w:num w:numId="24">
    <w:abstractNumId w:val="19"/>
  </w:num>
  <w:num w:numId="25">
    <w:abstractNumId w:val="9"/>
  </w:num>
  <w:num w:numId="26">
    <w:abstractNumId w:val="9"/>
  </w:num>
  <w:num w:numId="27">
    <w:abstractNumId w:val="9"/>
  </w:num>
  <w:num w:numId="28">
    <w:abstractNumId w:val="9"/>
  </w:num>
  <w:num w:numId="29">
    <w:abstractNumId w:val="8"/>
  </w:num>
  <w:num w:numId="30">
    <w:abstractNumId w:val="9"/>
  </w:num>
  <w:num w:numId="31">
    <w:abstractNumId w:val="20"/>
  </w:num>
  <w:num w:numId="32">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26CE2"/>
    <w:rsid w:val="00030393"/>
    <w:rsid w:val="00040CE5"/>
    <w:rsid w:val="00044DD1"/>
    <w:rsid w:val="00045E69"/>
    <w:rsid w:val="0006211A"/>
    <w:rsid w:val="00063892"/>
    <w:rsid w:val="00063C02"/>
    <w:rsid w:val="00066F3F"/>
    <w:rsid w:val="00070802"/>
    <w:rsid w:val="00072ED7"/>
    <w:rsid w:val="00074464"/>
    <w:rsid w:val="000759E9"/>
    <w:rsid w:val="00076D6B"/>
    <w:rsid w:val="0008195D"/>
    <w:rsid w:val="00090C3C"/>
    <w:rsid w:val="00092118"/>
    <w:rsid w:val="00092838"/>
    <w:rsid w:val="000A4291"/>
    <w:rsid w:val="000A484A"/>
    <w:rsid w:val="000A6CAD"/>
    <w:rsid w:val="000B0C4D"/>
    <w:rsid w:val="000B5D79"/>
    <w:rsid w:val="000C4705"/>
    <w:rsid w:val="000C6EAF"/>
    <w:rsid w:val="000D2728"/>
    <w:rsid w:val="000D2F7D"/>
    <w:rsid w:val="000E2AAD"/>
    <w:rsid w:val="000E2B62"/>
    <w:rsid w:val="000F4ED1"/>
    <w:rsid w:val="000F7256"/>
    <w:rsid w:val="00103C29"/>
    <w:rsid w:val="001127C7"/>
    <w:rsid w:val="001160A3"/>
    <w:rsid w:val="00122D0B"/>
    <w:rsid w:val="00126E84"/>
    <w:rsid w:val="001332E3"/>
    <w:rsid w:val="00133EC8"/>
    <w:rsid w:val="0014267A"/>
    <w:rsid w:val="00143CA4"/>
    <w:rsid w:val="0015413D"/>
    <w:rsid w:val="001548E1"/>
    <w:rsid w:val="00163510"/>
    <w:rsid w:val="001723A3"/>
    <w:rsid w:val="00172E50"/>
    <w:rsid w:val="001735CD"/>
    <w:rsid w:val="001806BB"/>
    <w:rsid w:val="001808EF"/>
    <w:rsid w:val="00180941"/>
    <w:rsid w:val="00183691"/>
    <w:rsid w:val="0018493F"/>
    <w:rsid w:val="0019239C"/>
    <w:rsid w:val="00194882"/>
    <w:rsid w:val="00195133"/>
    <w:rsid w:val="001A1884"/>
    <w:rsid w:val="001B37B9"/>
    <w:rsid w:val="001B4039"/>
    <w:rsid w:val="001C240F"/>
    <w:rsid w:val="001C6294"/>
    <w:rsid w:val="001D437E"/>
    <w:rsid w:val="001D6264"/>
    <w:rsid w:val="001D6D1F"/>
    <w:rsid w:val="001F18BE"/>
    <w:rsid w:val="001F2638"/>
    <w:rsid w:val="001F5AEB"/>
    <w:rsid w:val="001F78A4"/>
    <w:rsid w:val="002013A7"/>
    <w:rsid w:val="002033FB"/>
    <w:rsid w:val="00203C52"/>
    <w:rsid w:val="002066E0"/>
    <w:rsid w:val="00214504"/>
    <w:rsid w:val="00215135"/>
    <w:rsid w:val="002169F3"/>
    <w:rsid w:val="00220DDC"/>
    <w:rsid w:val="002232A7"/>
    <w:rsid w:val="00226A2A"/>
    <w:rsid w:val="00231B1C"/>
    <w:rsid w:val="0023378D"/>
    <w:rsid w:val="00250431"/>
    <w:rsid w:val="0025411A"/>
    <w:rsid w:val="00256EC2"/>
    <w:rsid w:val="002612DF"/>
    <w:rsid w:val="00263EF2"/>
    <w:rsid w:val="00270EBD"/>
    <w:rsid w:val="002757A7"/>
    <w:rsid w:val="00286227"/>
    <w:rsid w:val="0029550A"/>
    <w:rsid w:val="002A07EB"/>
    <w:rsid w:val="002A74D2"/>
    <w:rsid w:val="002B3433"/>
    <w:rsid w:val="002C2A75"/>
    <w:rsid w:val="002C50E4"/>
    <w:rsid w:val="002D3C3F"/>
    <w:rsid w:val="002D7189"/>
    <w:rsid w:val="002E180F"/>
    <w:rsid w:val="002E76D3"/>
    <w:rsid w:val="002F26A3"/>
    <w:rsid w:val="002F6175"/>
    <w:rsid w:val="00301287"/>
    <w:rsid w:val="00304CC0"/>
    <w:rsid w:val="003134E5"/>
    <w:rsid w:val="00314D9D"/>
    <w:rsid w:val="00315409"/>
    <w:rsid w:val="003201B3"/>
    <w:rsid w:val="0032503F"/>
    <w:rsid w:val="003264AF"/>
    <w:rsid w:val="00336270"/>
    <w:rsid w:val="003447CD"/>
    <w:rsid w:val="003456D9"/>
    <w:rsid w:val="0035001F"/>
    <w:rsid w:val="00350B6F"/>
    <w:rsid w:val="003571F6"/>
    <w:rsid w:val="00365605"/>
    <w:rsid w:val="003665BA"/>
    <w:rsid w:val="00381C9B"/>
    <w:rsid w:val="00382ABA"/>
    <w:rsid w:val="003876AF"/>
    <w:rsid w:val="003911B9"/>
    <w:rsid w:val="00391A9F"/>
    <w:rsid w:val="003928F8"/>
    <w:rsid w:val="0039484C"/>
    <w:rsid w:val="00397451"/>
    <w:rsid w:val="003A28DB"/>
    <w:rsid w:val="003A3A2B"/>
    <w:rsid w:val="003A4A10"/>
    <w:rsid w:val="003A56E0"/>
    <w:rsid w:val="003A67F5"/>
    <w:rsid w:val="003A7864"/>
    <w:rsid w:val="003A7C1F"/>
    <w:rsid w:val="003B19C7"/>
    <w:rsid w:val="003B4120"/>
    <w:rsid w:val="003B4E7A"/>
    <w:rsid w:val="003C4840"/>
    <w:rsid w:val="003C6A7D"/>
    <w:rsid w:val="003C6A8B"/>
    <w:rsid w:val="003D25B1"/>
    <w:rsid w:val="003D62BC"/>
    <w:rsid w:val="003E02C5"/>
    <w:rsid w:val="003E2431"/>
    <w:rsid w:val="003E5385"/>
    <w:rsid w:val="003F0074"/>
    <w:rsid w:val="003F5AA9"/>
    <w:rsid w:val="003F5E37"/>
    <w:rsid w:val="003F67DE"/>
    <w:rsid w:val="003F7B20"/>
    <w:rsid w:val="004053DD"/>
    <w:rsid w:val="00414DAE"/>
    <w:rsid w:val="0042407B"/>
    <w:rsid w:val="004252AD"/>
    <w:rsid w:val="004301C9"/>
    <w:rsid w:val="00430A34"/>
    <w:rsid w:val="00434782"/>
    <w:rsid w:val="00446EF7"/>
    <w:rsid w:val="00450E04"/>
    <w:rsid w:val="00451774"/>
    <w:rsid w:val="0045265D"/>
    <w:rsid w:val="00465A78"/>
    <w:rsid w:val="00467971"/>
    <w:rsid w:val="00472D8C"/>
    <w:rsid w:val="0047371B"/>
    <w:rsid w:val="00476D96"/>
    <w:rsid w:val="00492013"/>
    <w:rsid w:val="0049440A"/>
    <w:rsid w:val="00495AF1"/>
    <w:rsid w:val="004A2861"/>
    <w:rsid w:val="004B2A1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5DD2"/>
    <w:rsid w:val="00505E30"/>
    <w:rsid w:val="005079C5"/>
    <w:rsid w:val="0051151C"/>
    <w:rsid w:val="005133FA"/>
    <w:rsid w:val="00522C31"/>
    <w:rsid w:val="005256C3"/>
    <w:rsid w:val="005279E1"/>
    <w:rsid w:val="00527FF4"/>
    <w:rsid w:val="00530FB3"/>
    <w:rsid w:val="00533032"/>
    <w:rsid w:val="00542E7D"/>
    <w:rsid w:val="005430DE"/>
    <w:rsid w:val="005432D6"/>
    <w:rsid w:val="0054783A"/>
    <w:rsid w:val="00555D22"/>
    <w:rsid w:val="005571B9"/>
    <w:rsid w:val="00557693"/>
    <w:rsid w:val="0056171D"/>
    <w:rsid w:val="00562F16"/>
    <w:rsid w:val="00563760"/>
    <w:rsid w:val="005653F3"/>
    <w:rsid w:val="005701D3"/>
    <w:rsid w:val="005729C5"/>
    <w:rsid w:val="00572ABF"/>
    <w:rsid w:val="005818D7"/>
    <w:rsid w:val="00585895"/>
    <w:rsid w:val="00587098"/>
    <w:rsid w:val="00587F95"/>
    <w:rsid w:val="00590A1E"/>
    <w:rsid w:val="0059266E"/>
    <w:rsid w:val="00596237"/>
    <w:rsid w:val="005970F6"/>
    <w:rsid w:val="005A0880"/>
    <w:rsid w:val="005A27C1"/>
    <w:rsid w:val="005A45FD"/>
    <w:rsid w:val="005A585D"/>
    <w:rsid w:val="005B0EF3"/>
    <w:rsid w:val="005B54CD"/>
    <w:rsid w:val="005C18AE"/>
    <w:rsid w:val="005C3F2B"/>
    <w:rsid w:val="005C4BC0"/>
    <w:rsid w:val="005D0F7D"/>
    <w:rsid w:val="005D26E4"/>
    <w:rsid w:val="005D2793"/>
    <w:rsid w:val="005D4729"/>
    <w:rsid w:val="005E651F"/>
    <w:rsid w:val="005F291C"/>
    <w:rsid w:val="005F3009"/>
    <w:rsid w:val="005F4089"/>
    <w:rsid w:val="00613394"/>
    <w:rsid w:val="00613C5B"/>
    <w:rsid w:val="006226CE"/>
    <w:rsid w:val="00622FA7"/>
    <w:rsid w:val="00623F26"/>
    <w:rsid w:val="00624DB7"/>
    <w:rsid w:val="00624F11"/>
    <w:rsid w:val="00626803"/>
    <w:rsid w:val="006304B5"/>
    <w:rsid w:val="0064693A"/>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D0118"/>
    <w:rsid w:val="006D16CD"/>
    <w:rsid w:val="006D3A79"/>
    <w:rsid w:val="006D4CDF"/>
    <w:rsid w:val="006D508D"/>
    <w:rsid w:val="006D69C6"/>
    <w:rsid w:val="006E0F3C"/>
    <w:rsid w:val="006E19D7"/>
    <w:rsid w:val="006E4F94"/>
    <w:rsid w:val="007025B8"/>
    <w:rsid w:val="00702AD6"/>
    <w:rsid w:val="00704B3F"/>
    <w:rsid w:val="007078CD"/>
    <w:rsid w:val="007120B7"/>
    <w:rsid w:val="00713E77"/>
    <w:rsid w:val="007166DE"/>
    <w:rsid w:val="00717EEE"/>
    <w:rsid w:val="00722185"/>
    <w:rsid w:val="0072652E"/>
    <w:rsid w:val="0073119F"/>
    <w:rsid w:val="00735238"/>
    <w:rsid w:val="00737AE5"/>
    <w:rsid w:val="00745451"/>
    <w:rsid w:val="00751211"/>
    <w:rsid w:val="00751BB4"/>
    <w:rsid w:val="00752A30"/>
    <w:rsid w:val="00752FC3"/>
    <w:rsid w:val="007537DC"/>
    <w:rsid w:val="007544DF"/>
    <w:rsid w:val="00760661"/>
    <w:rsid w:val="00762611"/>
    <w:rsid w:val="00771B90"/>
    <w:rsid w:val="00772042"/>
    <w:rsid w:val="00785291"/>
    <w:rsid w:val="00790ADD"/>
    <w:rsid w:val="00796E5D"/>
    <w:rsid w:val="00797056"/>
    <w:rsid w:val="007979FA"/>
    <w:rsid w:val="007B2EA1"/>
    <w:rsid w:val="007B3817"/>
    <w:rsid w:val="007B3874"/>
    <w:rsid w:val="007B3A46"/>
    <w:rsid w:val="007C1FC7"/>
    <w:rsid w:val="007C2950"/>
    <w:rsid w:val="007C447B"/>
    <w:rsid w:val="007C78C7"/>
    <w:rsid w:val="007D0ADC"/>
    <w:rsid w:val="007D1B1D"/>
    <w:rsid w:val="007D2C75"/>
    <w:rsid w:val="007D4AE7"/>
    <w:rsid w:val="007D7E67"/>
    <w:rsid w:val="007E2862"/>
    <w:rsid w:val="007E49FA"/>
    <w:rsid w:val="007F28B7"/>
    <w:rsid w:val="008027F4"/>
    <w:rsid w:val="00803BC8"/>
    <w:rsid w:val="00805EE4"/>
    <w:rsid w:val="00810DBC"/>
    <w:rsid w:val="00811136"/>
    <w:rsid w:val="00817653"/>
    <w:rsid w:val="00820500"/>
    <w:rsid w:val="0082403E"/>
    <w:rsid w:val="0082568E"/>
    <w:rsid w:val="00826E59"/>
    <w:rsid w:val="008316A1"/>
    <w:rsid w:val="008324E2"/>
    <w:rsid w:val="00841602"/>
    <w:rsid w:val="0084277F"/>
    <w:rsid w:val="00850DF6"/>
    <w:rsid w:val="00853EB3"/>
    <w:rsid w:val="00863375"/>
    <w:rsid w:val="00863469"/>
    <w:rsid w:val="00872823"/>
    <w:rsid w:val="008765BF"/>
    <w:rsid w:val="0087687D"/>
    <w:rsid w:val="00884192"/>
    <w:rsid w:val="00897D9A"/>
    <w:rsid w:val="008A336C"/>
    <w:rsid w:val="008A5188"/>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65EFA"/>
    <w:rsid w:val="00977443"/>
    <w:rsid w:val="00997C3B"/>
    <w:rsid w:val="009B0722"/>
    <w:rsid w:val="009B6874"/>
    <w:rsid w:val="009C2CD2"/>
    <w:rsid w:val="009C3DFD"/>
    <w:rsid w:val="009C4683"/>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0B70"/>
    <w:rsid w:val="00A54C9A"/>
    <w:rsid w:val="00A57819"/>
    <w:rsid w:val="00A6186B"/>
    <w:rsid w:val="00A61D85"/>
    <w:rsid w:val="00A66055"/>
    <w:rsid w:val="00A6614B"/>
    <w:rsid w:val="00A73337"/>
    <w:rsid w:val="00A7517D"/>
    <w:rsid w:val="00A77CC3"/>
    <w:rsid w:val="00A848DB"/>
    <w:rsid w:val="00A85AC7"/>
    <w:rsid w:val="00A868A0"/>
    <w:rsid w:val="00A97700"/>
    <w:rsid w:val="00AA05BA"/>
    <w:rsid w:val="00AB05C9"/>
    <w:rsid w:val="00AB264B"/>
    <w:rsid w:val="00AB331A"/>
    <w:rsid w:val="00AB7F69"/>
    <w:rsid w:val="00AC1612"/>
    <w:rsid w:val="00AC7CB7"/>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2514"/>
    <w:rsid w:val="00B402EE"/>
    <w:rsid w:val="00B40929"/>
    <w:rsid w:val="00B41555"/>
    <w:rsid w:val="00B506FD"/>
    <w:rsid w:val="00B56E38"/>
    <w:rsid w:val="00B576F8"/>
    <w:rsid w:val="00B62C05"/>
    <w:rsid w:val="00B64FF1"/>
    <w:rsid w:val="00B67ACB"/>
    <w:rsid w:val="00B71C3B"/>
    <w:rsid w:val="00B776E2"/>
    <w:rsid w:val="00B82DCA"/>
    <w:rsid w:val="00B830F1"/>
    <w:rsid w:val="00B840E9"/>
    <w:rsid w:val="00B90173"/>
    <w:rsid w:val="00B91245"/>
    <w:rsid w:val="00B925BD"/>
    <w:rsid w:val="00B92A47"/>
    <w:rsid w:val="00BA0500"/>
    <w:rsid w:val="00BA2DE3"/>
    <w:rsid w:val="00BA4B01"/>
    <w:rsid w:val="00BA7F88"/>
    <w:rsid w:val="00BB2164"/>
    <w:rsid w:val="00BB5390"/>
    <w:rsid w:val="00BC2D73"/>
    <w:rsid w:val="00BD28E0"/>
    <w:rsid w:val="00BD4F6B"/>
    <w:rsid w:val="00BD61DA"/>
    <w:rsid w:val="00BE55BB"/>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1405"/>
    <w:rsid w:val="00C346B6"/>
    <w:rsid w:val="00C35D8E"/>
    <w:rsid w:val="00C40C6D"/>
    <w:rsid w:val="00C41511"/>
    <w:rsid w:val="00C43613"/>
    <w:rsid w:val="00C45C4A"/>
    <w:rsid w:val="00C45DD4"/>
    <w:rsid w:val="00C50F02"/>
    <w:rsid w:val="00C55DB6"/>
    <w:rsid w:val="00C575E1"/>
    <w:rsid w:val="00C65A57"/>
    <w:rsid w:val="00C7305E"/>
    <w:rsid w:val="00C808A6"/>
    <w:rsid w:val="00C85374"/>
    <w:rsid w:val="00C87B95"/>
    <w:rsid w:val="00C9571A"/>
    <w:rsid w:val="00C96F7B"/>
    <w:rsid w:val="00CA1CEC"/>
    <w:rsid w:val="00CA302C"/>
    <w:rsid w:val="00CA5752"/>
    <w:rsid w:val="00CC2211"/>
    <w:rsid w:val="00CC3200"/>
    <w:rsid w:val="00CC3D0E"/>
    <w:rsid w:val="00CC434B"/>
    <w:rsid w:val="00CC5A46"/>
    <w:rsid w:val="00CC7BE2"/>
    <w:rsid w:val="00CD46FE"/>
    <w:rsid w:val="00CE00F6"/>
    <w:rsid w:val="00CF6F84"/>
    <w:rsid w:val="00D12C26"/>
    <w:rsid w:val="00D17230"/>
    <w:rsid w:val="00D21CEF"/>
    <w:rsid w:val="00D2719B"/>
    <w:rsid w:val="00D32657"/>
    <w:rsid w:val="00D377BC"/>
    <w:rsid w:val="00D37A7C"/>
    <w:rsid w:val="00D40342"/>
    <w:rsid w:val="00D41089"/>
    <w:rsid w:val="00D455CE"/>
    <w:rsid w:val="00D45FDD"/>
    <w:rsid w:val="00D51811"/>
    <w:rsid w:val="00D55B64"/>
    <w:rsid w:val="00D60292"/>
    <w:rsid w:val="00D65ACA"/>
    <w:rsid w:val="00D7139B"/>
    <w:rsid w:val="00D751CB"/>
    <w:rsid w:val="00D770AD"/>
    <w:rsid w:val="00D83713"/>
    <w:rsid w:val="00D87EDF"/>
    <w:rsid w:val="00D91F98"/>
    <w:rsid w:val="00D92AAF"/>
    <w:rsid w:val="00DA2F8C"/>
    <w:rsid w:val="00DA300E"/>
    <w:rsid w:val="00DA35EE"/>
    <w:rsid w:val="00DA6269"/>
    <w:rsid w:val="00DB2274"/>
    <w:rsid w:val="00DB74D0"/>
    <w:rsid w:val="00DC3B1D"/>
    <w:rsid w:val="00DC48E9"/>
    <w:rsid w:val="00DC6C3A"/>
    <w:rsid w:val="00DD4052"/>
    <w:rsid w:val="00DE0E25"/>
    <w:rsid w:val="00DE7B07"/>
    <w:rsid w:val="00DF025E"/>
    <w:rsid w:val="00DF61C5"/>
    <w:rsid w:val="00DF64C7"/>
    <w:rsid w:val="00E10681"/>
    <w:rsid w:val="00E11018"/>
    <w:rsid w:val="00E1397C"/>
    <w:rsid w:val="00E16A6B"/>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A4A0B"/>
    <w:rsid w:val="00EC4AB7"/>
    <w:rsid w:val="00EC50EA"/>
    <w:rsid w:val="00ED4BD8"/>
    <w:rsid w:val="00ED610F"/>
    <w:rsid w:val="00ED6A8D"/>
    <w:rsid w:val="00EE3C86"/>
    <w:rsid w:val="00EF3B20"/>
    <w:rsid w:val="00EF6C96"/>
    <w:rsid w:val="00F03D43"/>
    <w:rsid w:val="00F15425"/>
    <w:rsid w:val="00F165B5"/>
    <w:rsid w:val="00F16F8E"/>
    <w:rsid w:val="00F2241F"/>
    <w:rsid w:val="00F22560"/>
    <w:rsid w:val="00F22929"/>
    <w:rsid w:val="00F25D6E"/>
    <w:rsid w:val="00F33229"/>
    <w:rsid w:val="00F339B1"/>
    <w:rsid w:val="00F37E41"/>
    <w:rsid w:val="00F441EE"/>
    <w:rsid w:val="00F46480"/>
    <w:rsid w:val="00F506EF"/>
    <w:rsid w:val="00F7514B"/>
    <w:rsid w:val="00F764C1"/>
    <w:rsid w:val="00F81839"/>
    <w:rsid w:val="00F84597"/>
    <w:rsid w:val="00F849CA"/>
    <w:rsid w:val="00F93D6B"/>
    <w:rsid w:val="00FA25D7"/>
    <w:rsid w:val="00FA7813"/>
    <w:rsid w:val="00FB2161"/>
    <w:rsid w:val="00FC0A8E"/>
    <w:rsid w:val="00FC1EC9"/>
    <w:rsid w:val="00FC3E5A"/>
    <w:rsid w:val="00FD1CBF"/>
    <w:rsid w:val="00FE0239"/>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semiHidden/>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a.com/statistics/383760/inflation-rate-in-pakistan/" TargetMode="External"/><Relationship Id="rId2"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1" Type="http://schemas.openxmlformats.org/officeDocument/2006/relationships/hyperlink" Target="http://world-nuclear.org/getattachment/Our-Association/Publications/Online-Reports/World-Nuclear-Performance-Report-2018-Asia-Edition/world-nuclear-performance-report-asia-2018.pdf.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6FBF6FCF-CE95-41FA-B707-A59E59D48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17511</TotalTime>
  <Pages>16</Pages>
  <Words>4614</Words>
  <Characters>26301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390</cp:revision>
  <cp:lastPrinted>2019-12-31T23:48:00Z</cp:lastPrinted>
  <dcterms:created xsi:type="dcterms:W3CDTF">2019-11-18T20:23:00Z</dcterms:created>
  <dcterms:modified xsi:type="dcterms:W3CDTF">2020-04-02T16:41:00Z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id="KgQChvHI"/&gt;&lt;style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