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C31687">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C31687">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C31687">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C31687">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C31687">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C31687">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C31687">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C31687">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C31687">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C31687">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C31687">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C31687">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C31687">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C31687">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C31687">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C31687">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C31687">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C31687">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C31687">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C31687">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C31687">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C31687">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C31687">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C31687">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C31687">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C31687">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C31687">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C31687">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C31687">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C31687">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C31687">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C31687">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C31687">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C31687">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C31687">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C31687">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C31687">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lastRenderedPageBreak/>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w:t>
      </w:r>
      <w:r w:rsidRPr="002B13D7">
        <w:lastRenderedPageBreak/>
        <w:t>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466C18D"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fldChar w:fldCharType="separate"/>
      </w:r>
      <w:r w:rsidRPr="00016545">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54DC324A" w14:textId="77777777" w:rsidR="00CD5572" w:rsidRDefault="00016545" w:rsidP="00360777">
      <w:r>
        <w:lastRenderedPageBreak/>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00731AF1" w14:textId="00158A11" w:rsidR="00CD5572" w:rsidRPr="00CD5572" w:rsidRDefault="00CD5572" w:rsidP="00360777">
      <w:pPr>
        <w:rPr>
          <w:b/>
          <w:bCs/>
        </w:rPr>
      </w:pPr>
      <w:r w:rsidRPr="00CD5572">
        <w:rPr>
          <w:b/>
          <w:bCs/>
        </w:rPr>
        <w:t>NEVP Representation in GCAM</w:t>
      </w:r>
    </w:p>
    <w:p w14:paraId="690C4E5F" w14:textId="1E821BD9"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5463D69A"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3DF6EFA2" w:rsidR="003F5E37" w:rsidRDefault="003F5E37" w:rsidP="003F5E37">
      <w:pPr>
        <w:pStyle w:val="Heading1"/>
        <w:numPr>
          <w:ilvl w:val="1"/>
          <w:numId w:val="20"/>
        </w:numPr>
      </w:pPr>
      <w:bookmarkStart w:id="15" w:name="_Toc36643840"/>
      <w:r>
        <w:t>GCAM Scenario Results – EV adoption, emissions impacts</w:t>
      </w:r>
      <w:bookmarkEnd w:id="15"/>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9" w:name="_Toc36643844"/>
      <w:r>
        <w:lastRenderedPageBreak/>
        <w:t>References</w:t>
      </w:r>
      <w:bookmarkEnd w:id="19"/>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4" w:name="_Toc36643848"/>
      <w:r w:rsidRPr="007C2950">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6570A9BD"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D05018">
        <w: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 xml:space="preserve">(Jadun et al. </w:t>
      </w:r>
      <w:r w:rsidR="00D05018">
        <w:rPr>
          <w:rFonts w:ascii="Calibri" w:hAnsi="Calibri" w:cs="Calibri"/>
        </w:rPr>
        <w:t>2017</w:t>
      </w:r>
      <w:r w:rsidR="00D05018" w:rsidRPr="00D05018">
        <w:rPr>
          <w:rFonts w:ascii="Calibri" w:hAnsi="Calibri" w:cs="Calibri"/>
        </w:rPr>
        <w:t>)</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lastRenderedPageBreak/>
        <w:t xml:space="preserve">Battery cost curves update </w:t>
      </w:r>
      <w:bookmarkEnd w:id="33"/>
      <w:bookmarkEnd w:id="34"/>
    </w:p>
    <w:p w14:paraId="07CE4053" w14:textId="51FD820C"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360777">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360777" w:rsidRPr="00360777">
        <w:rPr>
          <w:rFonts w:ascii="Calibri" w:hAnsi="Calibri" w:cs="Calibri"/>
        </w:rPr>
        <w:t>(Goldie-Scot 2019;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B84989" w:rsidRPr="00B84989">
        <w:rPr>
          <w:rFonts w:ascii="Calibri" w:hAnsi="Calibri" w:cs="Calibri"/>
          <w:szCs w:val="24"/>
        </w:rPr>
        <w:t>(</w:t>
      </w:r>
      <w:r w:rsidR="00B84989">
        <w:rPr>
          <w:rFonts w:ascii="Calibri" w:hAnsi="Calibri" w:cs="Calibri"/>
          <w:szCs w:val="24"/>
        </w:rPr>
        <w:t>BNEF</w:t>
      </w:r>
      <w:r w:rsidR="00B84989" w:rsidRPr="00B84989">
        <w:rPr>
          <w:rFonts w:ascii="Calibri" w:hAnsi="Calibri" w:cs="Calibri"/>
          <w:szCs w:val="24"/>
        </w:rPr>
        <w:t xml:space="preserve">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D05018">
        <w: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(Jadun et al.</w:t>
      </w:r>
      <w:r w:rsidR="00D05018">
        <w:rPr>
          <w:rFonts w:ascii="Calibri" w:hAnsi="Calibri" w:cs="Calibri"/>
        </w:rPr>
        <w:t xml:space="preserve"> 2017</w:t>
      </w:r>
      <w:r w:rsidR="00D05018" w:rsidRPr="00D05018">
        <w:rPr>
          <w:rFonts w:ascii="Calibri" w:hAnsi="Calibri" w:cs="Calibri"/>
        </w:rPr>
        <w:t>)</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5" w:name="_Toc35334628"/>
      <w:r>
        <w:lastRenderedPageBreak/>
        <w:t xml:space="preserve">Battery </w:t>
      </w:r>
      <w:proofErr w:type="spellStart"/>
      <w:r>
        <w:t>vintaging</w:t>
      </w:r>
      <w:proofErr w:type="spellEnd"/>
      <w:r>
        <w:t xml:space="preserve"> factors</w:t>
      </w:r>
      <w:bookmarkEnd w:id="35"/>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6" w:name="_Toc35334629"/>
      <w:bookmarkStart w:id="37" w:name="_Toc36643857"/>
      <w:r w:rsidRPr="00C808A6">
        <w:rPr>
          <w:rStyle w:val="Heading2Char"/>
          <w:b/>
          <w:bCs/>
          <w:smallCaps w:val="0"/>
          <w:sz w:val="22"/>
          <w:szCs w:val="22"/>
        </w:rPr>
        <w:t>4W LDVs</w:t>
      </w:r>
      <w:bookmarkEnd w:id="36"/>
      <w:bookmarkEnd w:id="37"/>
    </w:p>
    <w:p w14:paraId="2DE7E020" w14:textId="37FAE246"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8" w:name="_Toc35334630"/>
      <w:bookmarkStart w:id="39" w:name="_Toc36643858"/>
      <w:r w:rsidRPr="00C808A6">
        <w:rPr>
          <w:rStyle w:val="Heading2Char"/>
          <w:b/>
          <w:bCs/>
          <w:smallCaps w:val="0"/>
          <w:sz w:val="22"/>
          <w:szCs w:val="22"/>
        </w:rPr>
        <w:t>2-wheelers</w:t>
      </w:r>
      <w:bookmarkEnd w:id="38"/>
      <w:bookmarkEnd w:id="39"/>
    </w:p>
    <w:p w14:paraId="7C62F629" w14:textId="1BD1FDA2"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0" w:name="_Toc35334631"/>
    </w:p>
    <w:p w14:paraId="00FFE0A3" w14:textId="77777777" w:rsidR="000017DB" w:rsidRPr="00C808A6" w:rsidRDefault="00C45DD4" w:rsidP="00C808A6">
      <w:pPr>
        <w:pStyle w:val="Heading4"/>
      </w:pPr>
      <w:bookmarkStart w:id="41" w:name="_Toc36643859"/>
      <w:r w:rsidRPr="00C808A6">
        <w:rPr>
          <w:rStyle w:val="Heading2Char"/>
          <w:b/>
          <w:bCs/>
          <w:smallCaps w:val="0"/>
          <w:sz w:val="22"/>
          <w:szCs w:val="22"/>
        </w:rPr>
        <w:t>3-wheelers</w:t>
      </w:r>
      <w:bookmarkEnd w:id="40"/>
      <w:bookmarkEnd w:id="41"/>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2" w:name="_Toc35334632"/>
      <w:bookmarkStart w:id="43" w:name="_Toc36643860"/>
      <w:r w:rsidRPr="00C808A6">
        <w:rPr>
          <w:rStyle w:val="Heading2Char"/>
          <w:b/>
          <w:bCs/>
          <w:smallCaps w:val="0"/>
          <w:sz w:val="22"/>
          <w:szCs w:val="22"/>
        </w:rPr>
        <w:t>Trucks</w:t>
      </w:r>
      <w:bookmarkEnd w:id="42"/>
      <w:bookmarkEnd w:id="43"/>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4" w:name="_Toc35334633"/>
      <w:bookmarkStart w:id="45" w:name="_Toc36643861"/>
      <w:r w:rsidRPr="00C808A6">
        <w:rPr>
          <w:rStyle w:val="Heading2Char"/>
          <w:b/>
          <w:bCs/>
          <w:smallCaps w:val="0"/>
          <w:sz w:val="22"/>
          <w:szCs w:val="22"/>
        </w:rPr>
        <w:t>Buses</w:t>
      </w:r>
      <w:bookmarkEnd w:id="44"/>
      <w:bookmarkEnd w:id="45"/>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6"/>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6" w:name="_Toc36643855"/>
      <w:bookmarkStart w:id="47" w:name="_Toc35334623"/>
      <w:bookmarkStart w:id="48" w:name="_Toc36643862"/>
      <w:r>
        <w:t>Pakistan-specific transportation changes</w:t>
      </w:r>
      <w:bookmarkEnd w:id="46"/>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7"/>
      </w:r>
      <w:r>
        <w:t xml:space="preserve"> and average inflation of 5.5% over the past five years.</w:t>
      </w:r>
      <w:r>
        <w:rPr>
          <w:rStyle w:val="FootnoteReference"/>
        </w:rPr>
        <w:footnoteReference w:id="8"/>
      </w:r>
    </w:p>
    <w:p w14:paraId="3A8BB96E" w14:textId="75061CBB" w:rsidR="005133FA" w:rsidRDefault="005133FA" w:rsidP="005133FA">
      <w:pPr>
        <w:pStyle w:val="Heading1"/>
      </w:pPr>
      <w:r>
        <w:t>EV analysis</w:t>
      </w:r>
      <w:bookmarkEnd w:id="47"/>
      <w:bookmarkEnd w:id="48"/>
    </w:p>
    <w:p w14:paraId="1D5579F2" w14:textId="77777777" w:rsidR="005133FA" w:rsidRDefault="005133FA" w:rsidP="005133FA">
      <w:pPr>
        <w:pStyle w:val="Heading2"/>
      </w:pPr>
      <w:bookmarkStart w:id="49" w:name="_Toc35334625"/>
      <w:bookmarkStart w:id="50" w:name="_Toc36643863"/>
      <w:r>
        <w:t>Policy scenarios</w:t>
      </w:r>
      <w:bookmarkEnd w:id="49"/>
      <w:bookmarkEnd w:id="50"/>
      <w:r>
        <w:t xml:space="preserve"> </w:t>
      </w:r>
    </w:p>
    <w:p w14:paraId="7333E93D" w14:textId="3B77EF7D" w:rsidR="005133FA" w:rsidRDefault="005133FA" w:rsidP="005133FA"/>
    <w:p w14:paraId="3E4FDC31" w14:textId="62EB315B" w:rsidR="00B82378" w:rsidRDefault="00B82378" w:rsidP="00B82378">
      <w:r>
        <w:t xml:space="preserve">The table below summarizes the EV policy scenarios. These are </w:t>
      </w:r>
      <w:r>
        <w:t>run in combination with Slow and Rapid Advancement cost pathways (see below)</w:t>
      </w:r>
      <w:r>
        <w:t>, for a total of eight scenarios</w:t>
      </w:r>
      <w:r>
        <w:t>.</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1"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1"/>
    </w:tbl>
    <w:p w14:paraId="74E98994" w14:textId="77777777" w:rsidR="00B82378" w:rsidRDefault="00B82378" w:rsidP="005133FA"/>
    <w:p w14:paraId="1AA329E0" w14:textId="2E046069"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and </w:t>
      </w:r>
      <w:r w:rsidR="00B82378">
        <w:lastRenderedPageBreak/>
        <w:t>assumptions on local manufacturing and imports of conventional liquids vehicles.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w:t>
      </w:r>
      <w:bookmarkStart w:id="52" w:name="_GoBack"/>
      <w:bookmarkEnd w:id="52"/>
      <w:r w:rsidR="00B91245">
        <w:t xml:space="preserve">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22E6F7EF"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99184B" w:rsidRPr="0099184B">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6B4CB" w14:textId="77777777" w:rsidR="00C31687" w:rsidRDefault="00C31687" w:rsidP="00F7514B">
      <w:pPr>
        <w:spacing w:after="0" w:line="240" w:lineRule="auto"/>
      </w:pPr>
      <w:r>
        <w:separator/>
      </w:r>
    </w:p>
  </w:endnote>
  <w:endnote w:type="continuationSeparator" w:id="0">
    <w:p w14:paraId="31F230B4" w14:textId="77777777" w:rsidR="00C31687" w:rsidRDefault="00C31687"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D5572"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CD5572" w:rsidRPr="00713220" w:rsidRDefault="00CD5572"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D5572"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CD5572" w:rsidRPr="006440D5" w:rsidRDefault="00CD5572" w:rsidP="00843BE2">
            <w:pPr>
              <w:pStyle w:val="ListParagraph"/>
              <w:spacing w:after="0" w:line="240" w:lineRule="auto"/>
              <w:rPr>
                <w:rFonts w:eastAsia="Times New Roman" w:cstheme="minorHAnsi"/>
                <w:color w:val="000000"/>
                <w:sz w:val="20"/>
                <w:szCs w:val="20"/>
              </w:rPr>
            </w:pPr>
          </w:p>
        </w:tc>
      </w:tr>
      <w:tr w:rsidR="00CD5572"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CD5572"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CD5572" w:rsidRPr="00D05018" w:rsidRDefault="00CD5572" w:rsidP="00D05018">
            <w:pPr>
              <w:spacing w:after="0" w:line="240" w:lineRule="auto"/>
              <w:rPr>
                <w:rFonts w:eastAsia="Times New Roman" w:cstheme="minorHAnsi"/>
                <w:color w:val="000000"/>
                <w:sz w:val="20"/>
                <w:szCs w:val="20"/>
              </w:rPr>
            </w:pPr>
          </w:p>
        </w:tc>
      </w:tr>
      <w:tr w:rsidR="00CD5572"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CD5572" w:rsidRPr="006440D5" w:rsidRDefault="00CD5572" w:rsidP="00315409">
      <w:pPr>
        <w:pStyle w:val="EndnoteText"/>
      </w:pPr>
    </w:p>
  </w:endnote>
  <w:endnote w:id="2">
    <w:p w14:paraId="21122BC2" w14:textId="77777777" w:rsidR="00CD5572" w:rsidRDefault="00CD5572"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CD5572" w:rsidRDefault="00CD5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CD5572" w:rsidRDefault="00CD5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04CC" w14:textId="77777777" w:rsidR="00C31687" w:rsidRDefault="00C31687" w:rsidP="00F7514B">
      <w:pPr>
        <w:spacing w:after="0" w:line="240" w:lineRule="auto"/>
      </w:pPr>
      <w:r>
        <w:separator/>
      </w:r>
    </w:p>
  </w:footnote>
  <w:footnote w:type="continuationSeparator" w:id="0">
    <w:p w14:paraId="6621DB96" w14:textId="77777777" w:rsidR="00C31687" w:rsidRDefault="00C31687" w:rsidP="00F7514B">
      <w:pPr>
        <w:spacing w:after="0" w:line="240" w:lineRule="auto"/>
      </w:pPr>
      <w:r>
        <w:continuationSeparator/>
      </w:r>
    </w:p>
  </w:footnote>
  <w:footnote w:id="1">
    <w:p w14:paraId="1EF90BC1" w14:textId="77777777" w:rsidR="00CD5572" w:rsidRDefault="00CD5572"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CD5572" w:rsidRDefault="00CD5572">
      <w:pPr>
        <w:pStyle w:val="FootnoteText"/>
      </w:pPr>
      <w:r>
        <w:rPr>
          <w:rStyle w:val="FootnoteReference"/>
        </w:rPr>
        <w:footnoteRef/>
      </w:r>
      <w:r>
        <w:t xml:space="preserve"> See appendix A.3 for details on updates to transportation assumptions.</w:t>
      </w:r>
    </w:p>
  </w:footnote>
  <w:footnote w:id="3">
    <w:p w14:paraId="294D9528" w14:textId="77777777" w:rsidR="00CD5572" w:rsidRDefault="00CD5572"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CD5572" w:rsidRPr="00DA38D4" w:rsidRDefault="00CD5572"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CD5572" w:rsidRDefault="00CD5572" w:rsidP="00E8474E">
      <w:pPr>
        <w:pStyle w:val="FootnoteText"/>
      </w:pPr>
    </w:p>
  </w:footnote>
  <w:footnote w:id="5">
    <w:p w14:paraId="109E79B4" w14:textId="59C077CE" w:rsidR="00CD5572" w:rsidRDefault="00CD5572">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A2C1632" w14:textId="16DCAD0F" w:rsidR="000C76D4" w:rsidRPr="008D7301" w:rsidRDefault="000C76D4"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2020)","noteIndex":6},"citationItems":[{"id":78,"uris":["http://zotero.org/users/local/GpkrhFR0/items/PUGXZ3XF"],"uri":["http://zotero.org/users/local/GpkrhFR0/items/PUGXZ3XF"],"itemData":{"id":78,"type":"entry-encyclopedia","abstract":"The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0C76D4">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2019)","noteIndex":6},"citationItems":[{"id":72,"uris":["http://zotero.org/users/local/GpkrhFR0/items/2RHPEV7D"],"uri":["http://zotero.org/users/local/GpkrhFR0/items/2RHPEV7D"],"itemData":{"id":72,"type":"webpage","abstract":"Two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market.","container-title":"CityLab","language":"en","note":"Library Catalog: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0C76D4">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2019)","noteIndex":6},"citationItems":[{"id":74,"uris":["http://zotero.org/users/local/GpkrhFR0/items/J7ALMW66"],"uri":["http://zotero.org/users/local/GpkrhFR0/items/J7ALMW66"],"itemData":{"id":74,"type":"webpage","title":"Proterra: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0C76D4">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2019)","noteIndex":6},"citationItems":[{"id":76,"uris":["http://zotero.org/users/local/GpkrhFR0/items/SACK379X"],"uri":["http://zotero.org/users/local/GpkrhFR0/items/SACK379X"],"itemData":{"id":76,"type":"webpage","abstract":"U.S.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bus.","note":"Library Catalog: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0C76D4">
        <w:rPr>
          <w:rFonts w:ascii="Calibri" w:hAnsi="Calibri" w:cs="Calibri"/>
        </w:rPr>
        <w:t>(Stromsta 2019)</w:t>
      </w:r>
      <w:r>
        <w:fldChar w:fldCharType="end"/>
      </w:r>
      <w:r>
        <w:t>.</w:t>
      </w:r>
      <w:r w:rsidRPr="008D7301">
        <w:t xml:space="preserve"> </w:t>
      </w:r>
    </w:p>
    <w:p w14:paraId="739DB309" w14:textId="4F282EDD" w:rsidR="000C76D4" w:rsidRDefault="000C76D4">
      <w:pPr>
        <w:pStyle w:val="FootnoteText"/>
      </w:pPr>
    </w:p>
  </w:footnote>
  <w:footnote w:id="7">
    <w:p w14:paraId="01FD0366" w14:textId="77777777" w:rsidR="00CD5572" w:rsidRDefault="00CD5572"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8">
    <w:p w14:paraId="6278110E" w14:textId="77777777" w:rsidR="00CD5572" w:rsidRDefault="00CD5572"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CD5572" w:rsidRPr="00F7514B" w:rsidRDefault="00CD5572"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1687"/>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9674A0D-6270-4C65-A4D9-BF9D773E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18280</TotalTime>
  <Pages>21</Pages>
  <Words>7791</Words>
  <Characters>44413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398</cp:revision>
  <cp:lastPrinted>2019-12-31T23:48:00Z</cp:lastPrinted>
  <dcterms:created xsi:type="dcterms:W3CDTF">2019-11-18T20:23:00Z</dcterms:created>
  <dcterms:modified xsi:type="dcterms:W3CDTF">2020-04-07T16:18:00Z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id="dzuuUMvf"/&gt;&lt;style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