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DD4052">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DD4052">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DD4052">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DD4052">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DD4052">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DD4052">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DD4052">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DD4052">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DD4052">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DD4052">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DD4052">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DD4052">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DD4052">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DD4052">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DD4052">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DD4052">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DD4052">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DD4052">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DD4052">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DD4052">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DD4052">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DD4052">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DD4052">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DD4052">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DD4052">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DD4052">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DD4052">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DD4052">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DD4052">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DD4052">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DD4052">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DD4052">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528A4E53" w14:textId="724AFDBF" w:rsidR="00622FA7" w:rsidRDefault="00622FA7" w:rsidP="00622FA7">
      <w:pPr>
        <w:pStyle w:val="Heading3"/>
      </w:pPr>
      <w:bookmarkStart w:id="27" w:name="_Toc35524387"/>
      <w:r>
        <w:t>General updates to transportation assumptions</w:t>
      </w:r>
      <w:bookmarkEnd w:id="27"/>
    </w:p>
    <w:p w14:paraId="3FEFF8DC" w14:textId="3DEB4587" w:rsidR="00286227" w:rsidRDefault="00286227" w:rsidP="00C45DD4"/>
    <w:p w14:paraId="05D71002" w14:textId="5873CA3A" w:rsidR="00C96F7B" w:rsidRDefault="00C96F7B" w:rsidP="00C45DD4">
      <w:r>
        <w:t xml:space="preserve">Add overview of </w:t>
      </w:r>
      <w:r w:rsidR="00C31405">
        <w:t xml:space="preserve">vehicle modes and classes, and </w:t>
      </w:r>
      <w:r>
        <w:t xml:space="preserve">what assumptions are given per vehicle type </w:t>
      </w:r>
      <w:r w:rsidR="00C31405">
        <w:t>(unless this belongs in main body)</w:t>
      </w:r>
    </w:p>
    <w:p w14:paraId="2411FFFC" w14:textId="70D2BD90" w:rsidR="00C45DD4" w:rsidRDefault="00D55B64" w:rsidP="00DD4052">
      <w:pPr>
        <w:ind w:firstLine="720"/>
      </w:pPr>
      <w:r>
        <w:lastRenderedPageBreak/>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210B5073" w:rsidR="008F3ED3" w:rsidRDefault="008F3ED3" w:rsidP="00C45DD4">
      <w:r>
        <w:tab/>
        <w:t xml:space="preserve">In core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7246AD3D" w:rsidR="005571B9" w:rsidRDefault="005571B9" w:rsidP="00C45DD4">
      <w:r>
        <w:tab/>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8" w:name="_Toc35524388"/>
      <w:r>
        <w:t>Pakistan-specific transportation changes</w:t>
      </w:r>
      <w:bookmarkEnd w:id="28"/>
    </w:p>
    <w:p w14:paraId="3F46B4A4" w14:textId="77777777" w:rsidR="009B0722" w:rsidRDefault="009B0722" w:rsidP="00C45DD4"/>
    <w:p w14:paraId="16768A7E" w14:textId="77777777" w:rsidR="008C1419" w:rsidRDefault="00F506EF" w:rsidP="00C45DD4">
      <w:r>
        <w:tab/>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p>
    <w:p w14:paraId="2443CABA" w14:textId="060C98A8" w:rsidR="008C1419" w:rsidRDefault="008C1419" w:rsidP="00C45DD4">
      <w:r>
        <w:lastRenderedPageBreak/>
        <w:tab/>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7C1FC7">
      <w:pPr>
        <w:ind w:firstLine="720"/>
      </w:pPr>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7C1FC7">
      <w:pPr>
        <w:ind w:firstLine="720"/>
      </w:pPr>
      <w:r>
        <w:t xml:space="preserve">We </w:t>
      </w:r>
      <w:r>
        <w:t xml:space="preserve">also </w:t>
      </w:r>
      <w:r>
        <w:t xml:space="preserve">update BEV mini car costs and intensity to match the assumptions for India. This was the only car class and technology where assumptions did not match those in India, for unclear reasons, so we correct this discrepancy.   </w:t>
      </w:r>
    </w:p>
    <w:p w14:paraId="152E1673" w14:textId="694092D6" w:rsidR="00350B6F" w:rsidRDefault="00FF3175" w:rsidP="00965EFA">
      <w:pPr>
        <w:ind w:firstLine="720"/>
      </w:pPr>
      <w:r>
        <w:t xml:space="preserve">The infrastructure capital cost assumptions for BEVs also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50B6F">
      <w:pPr>
        <w:ind w:firstLine="720"/>
      </w:pPr>
      <w:r>
        <w:t xml:space="preserve">Collaborators at SEP </w:t>
      </w:r>
      <w:r>
        <w:t>collect</w:t>
      </w:r>
      <w:r>
        <w:t>ed</w:t>
      </w:r>
      <w:r>
        <w:t xml:space="preserve"> information on typical maintenance costs for company and staff vehicles, as well as information from an informal survey of auto workshops, vehicle drivers, etc., around Islamabad</w:t>
      </w:r>
      <w:r>
        <w:t>. We use this to adjust our vehicle maintenance cost assumptions for LDVs</w:t>
      </w:r>
      <w:r w:rsidR="00350B6F">
        <w:t xml:space="preserve">. </w:t>
      </w:r>
      <w:r>
        <w:t>Actual average maintenance costs could be much lower</w:t>
      </w:r>
      <w:r>
        <w:t xml:space="preserve"> than the values collected, however, </w:t>
      </w:r>
      <w:r>
        <w:t xml:space="preserve">as many owners tend to </w:t>
      </w:r>
      <w:r>
        <w:t>pay for maintenance</w:t>
      </w:r>
      <w:r>
        <w:t xml:space="preserve"> only when unavoidable</w:t>
      </w:r>
      <w:r>
        <w:t>. We</w:t>
      </w:r>
      <w:r w:rsidR="00350B6F">
        <w:t xml:space="preserve"> scale the values by 70% to represent more realistic maintenance. </w:t>
      </w:r>
    </w:p>
    <w:p w14:paraId="42955E36" w14:textId="3102A7CF" w:rsidR="00350B6F" w:rsidRDefault="00350B6F" w:rsidP="00350B6F">
      <w:pPr>
        <w:ind w:firstLine="720"/>
      </w:pPr>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knock-down factor.</w:t>
      </w:r>
      <w:r w:rsidR="00965EFA">
        <w:t xml:space="preserve"> </w:t>
      </w:r>
      <w:r w:rsidR="00965EFA">
        <w:t>Cost assumptions for buses and trucks are given as levelized non-fuel cost (per vehicle-kilometer traveled)</w:t>
      </w:r>
      <w:r w:rsidR="00CC3200">
        <w:t xml:space="preserve">; we use cost assumptions for compact cars to calculate that purchase costs are about 76% of non-fuel levelized costs, and apply the 40% capital cost regional knockdown factor to </w:t>
      </w:r>
      <w:r w:rsidR="00CC3200">
        <w:lastRenderedPageBreak/>
        <w:t>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1372DEE0" w:rsidR="00350B6F" w:rsidRDefault="00965EFA" w:rsidP="00CC3200">
      <w:pPr>
        <w:ind w:firstLine="720"/>
      </w:pPr>
      <w:r>
        <w:t>Bus costs were levelized by dividing by annual distance traveled of 51,708 km/year, while SEP assums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7C1FC7">
      <w:pPr>
        <w:ind w:firstLine="720"/>
      </w:pPr>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bookmarkStart w:id="29" w:name="_GoBack"/>
      <w:bookmarkEnd w:id="29"/>
    </w:p>
    <w:p w14:paraId="4441E395" w14:textId="77777777" w:rsidR="00C45DD4" w:rsidRPr="0014425F" w:rsidRDefault="00C45DD4" w:rsidP="00C45DD4">
      <w:pPr>
        <w:pStyle w:val="Heading3"/>
      </w:pPr>
      <w:bookmarkStart w:id="30" w:name="_Toc35334627"/>
      <w:bookmarkStart w:id="31" w:name="_Toc35524389"/>
      <w:r w:rsidRPr="0014425F">
        <w:t>Battery cost curves update (1/16/20)</w:t>
      </w:r>
      <w:bookmarkEnd w:id="30"/>
      <w:bookmarkEnd w:id="31"/>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77777777" w:rsidR="00C45DD4" w:rsidRPr="009856FF" w:rsidRDefault="00C45DD4" w:rsidP="00072ED7">
            <w:r w:rsidRPr="009856FF">
              <w:t>273</w:t>
            </w:r>
          </w:p>
        </w:tc>
        <w:tc>
          <w:tcPr>
            <w:tcW w:w="960" w:type="dxa"/>
            <w:noWrap/>
            <w:hideMark/>
          </w:tcPr>
          <w:p w14:paraId="1A1D4741" w14:textId="77777777" w:rsidR="00C45DD4" w:rsidRPr="009856FF" w:rsidRDefault="00C45DD4" w:rsidP="00072ED7">
            <w:r w:rsidRPr="009856FF">
              <w:t>273</w:t>
            </w:r>
          </w:p>
        </w:tc>
        <w:tc>
          <w:tcPr>
            <w:tcW w:w="960" w:type="dxa"/>
            <w:noWrap/>
            <w:hideMark/>
          </w:tcPr>
          <w:p w14:paraId="704345D4" w14:textId="77777777" w:rsidR="00C45DD4" w:rsidRPr="009856FF" w:rsidRDefault="00C45DD4" w:rsidP="00072ED7">
            <w:r w:rsidRPr="009856FF">
              <w:t>273</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77777777" w:rsidR="00C45DD4" w:rsidRPr="009856FF" w:rsidRDefault="00C45DD4" w:rsidP="00072ED7">
            <w:r w:rsidRPr="009856FF">
              <w:t>258</w:t>
            </w:r>
          </w:p>
        </w:tc>
        <w:tc>
          <w:tcPr>
            <w:tcW w:w="960" w:type="dxa"/>
            <w:noWrap/>
            <w:hideMark/>
          </w:tcPr>
          <w:p w14:paraId="6872FC71" w14:textId="77777777" w:rsidR="00C45DD4" w:rsidRPr="009856FF" w:rsidRDefault="00C45DD4" w:rsidP="00072ED7">
            <w:r w:rsidRPr="009856FF">
              <w:t>246</w:t>
            </w:r>
          </w:p>
        </w:tc>
        <w:tc>
          <w:tcPr>
            <w:tcW w:w="960" w:type="dxa"/>
            <w:noWrap/>
            <w:hideMark/>
          </w:tcPr>
          <w:p w14:paraId="1E4B7423" w14:textId="77777777" w:rsidR="00C45DD4" w:rsidRPr="009856FF" w:rsidRDefault="00C45DD4" w:rsidP="00072ED7">
            <w:r w:rsidRPr="009856FF">
              <w:t>232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77777777" w:rsidR="00C45DD4" w:rsidRPr="009856FF" w:rsidRDefault="00C45DD4" w:rsidP="00072ED7">
            <w:r w:rsidRPr="009856FF">
              <w:t>238</w:t>
            </w:r>
          </w:p>
        </w:tc>
        <w:tc>
          <w:tcPr>
            <w:tcW w:w="960" w:type="dxa"/>
            <w:noWrap/>
            <w:hideMark/>
          </w:tcPr>
          <w:p w14:paraId="657B29B5" w14:textId="77777777" w:rsidR="00C45DD4" w:rsidRPr="009856FF" w:rsidRDefault="00C45DD4" w:rsidP="00072ED7">
            <w:r w:rsidRPr="009856FF">
              <w:t>213</w:t>
            </w:r>
          </w:p>
        </w:tc>
        <w:tc>
          <w:tcPr>
            <w:tcW w:w="960" w:type="dxa"/>
            <w:noWrap/>
            <w:hideMark/>
          </w:tcPr>
          <w:p w14:paraId="40FBF812" w14:textId="77777777" w:rsidR="00C45DD4" w:rsidRPr="009856FF" w:rsidRDefault="00C45DD4" w:rsidP="00072ED7">
            <w:r w:rsidRPr="009856FF">
              <w:t>181</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lastRenderedPageBreak/>
              <w:t>2030</w:t>
            </w:r>
          </w:p>
        </w:tc>
        <w:tc>
          <w:tcPr>
            <w:tcW w:w="960" w:type="dxa"/>
            <w:noWrap/>
            <w:hideMark/>
          </w:tcPr>
          <w:p w14:paraId="59A1D982" w14:textId="77777777" w:rsidR="00C45DD4" w:rsidRPr="009856FF" w:rsidRDefault="00C45DD4" w:rsidP="00072ED7">
            <w:r w:rsidRPr="009856FF">
              <w:t>219</w:t>
            </w:r>
          </w:p>
        </w:tc>
        <w:tc>
          <w:tcPr>
            <w:tcW w:w="960" w:type="dxa"/>
            <w:noWrap/>
            <w:hideMark/>
          </w:tcPr>
          <w:p w14:paraId="31223A40" w14:textId="77777777" w:rsidR="00C45DD4" w:rsidRPr="009856FF" w:rsidRDefault="00C45DD4" w:rsidP="00072ED7">
            <w:r w:rsidRPr="009856FF">
              <w:t>180</w:t>
            </w:r>
          </w:p>
        </w:tc>
        <w:tc>
          <w:tcPr>
            <w:tcW w:w="960" w:type="dxa"/>
            <w:noWrap/>
            <w:hideMark/>
          </w:tcPr>
          <w:p w14:paraId="092183EB" w14:textId="77777777" w:rsidR="00C45DD4" w:rsidRPr="009856FF" w:rsidRDefault="00C45DD4" w:rsidP="00072ED7">
            <w:r w:rsidRPr="009856FF">
              <w:t>131</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77777777" w:rsidR="00C45DD4" w:rsidRPr="009856FF" w:rsidRDefault="00C45DD4" w:rsidP="00072ED7">
            <w:r w:rsidRPr="009856FF">
              <w:t>200</w:t>
            </w:r>
          </w:p>
        </w:tc>
        <w:tc>
          <w:tcPr>
            <w:tcW w:w="960" w:type="dxa"/>
            <w:noWrap/>
            <w:hideMark/>
          </w:tcPr>
          <w:p w14:paraId="6FB7D688" w14:textId="77777777" w:rsidR="00C45DD4" w:rsidRPr="009856FF" w:rsidRDefault="00C45DD4" w:rsidP="00072ED7">
            <w:r w:rsidRPr="009856FF">
              <w:t>160</w:t>
            </w:r>
          </w:p>
        </w:tc>
        <w:tc>
          <w:tcPr>
            <w:tcW w:w="960" w:type="dxa"/>
            <w:noWrap/>
            <w:hideMark/>
          </w:tcPr>
          <w:p w14:paraId="7AAE156A" w14:textId="77777777" w:rsidR="00C45DD4" w:rsidRPr="009856FF" w:rsidRDefault="00C45DD4" w:rsidP="00072ED7">
            <w:r w:rsidRPr="009856FF">
              <w:t>90</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77777777" w:rsidR="00C45DD4" w:rsidRPr="009856FF" w:rsidRDefault="00C45DD4" w:rsidP="00072ED7">
            <w:r w:rsidRPr="009856FF">
              <w:t>192</w:t>
            </w:r>
          </w:p>
        </w:tc>
        <w:tc>
          <w:tcPr>
            <w:tcW w:w="960" w:type="dxa"/>
            <w:noWrap/>
            <w:hideMark/>
          </w:tcPr>
          <w:p w14:paraId="24D430F8" w14:textId="77777777" w:rsidR="00C45DD4" w:rsidRPr="009856FF" w:rsidRDefault="00C45DD4" w:rsidP="00072ED7">
            <w:r w:rsidRPr="009856FF">
              <w:t>152</w:t>
            </w:r>
          </w:p>
        </w:tc>
        <w:tc>
          <w:tcPr>
            <w:tcW w:w="960" w:type="dxa"/>
            <w:noWrap/>
            <w:hideMark/>
          </w:tcPr>
          <w:p w14:paraId="7B6764B8" w14:textId="77777777" w:rsidR="00C45DD4" w:rsidRPr="009856FF" w:rsidRDefault="00C45DD4" w:rsidP="00072ED7">
            <w:r w:rsidRPr="009856FF">
              <w:t>80</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77777777" w:rsidR="00C45DD4" w:rsidRPr="009856FF" w:rsidRDefault="00C45DD4" w:rsidP="00072ED7">
            <w:r w:rsidRPr="009856FF">
              <w:t>183</w:t>
            </w:r>
          </w:p>
        </w:tc>
        <w:tc>
          <w:tcPr>
            <w:tcW w:w="960" w:type="dxa"/>
            <w:noWrap/>
            <w:hideMark/>
          </w:tcPr>
          <w:p w14:paraId="098ABFCF" w14:textId="77777777" w:rsidR="00C45DD4" w:rsidRPr="009856FF" w:rsidRDefault="00C45DD4" w:rsidP="00072ED7">
            <w:r w:rsidRPr="009856FF">
              <w:t>143</w:t>
            </w:r>
          </w:p>
        </w:tc>
        <w:tc>
          <w:tcPr>
            <w:tcW w:w="960" w:type="dxa"/>
            <w:noWrap/>
            <w:hideMark/>
          </w:tcPr>
          <w:p w14:paraId="2AED0F77" w14:textId="77777777" w:rsidR="00C45DD4" w:rsidRPr="009856FF" w:rsidRDefault="00C45DD4" w:rsidP="00072ED7">
            <w:r w:rsidRPr="009856FF">
              <w:t>80</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77777777" w:rsidR="00C45DD4" w:rsidRPr="009856FF" w:rsidRDefault="00C45DD4" w:rsidP="00072ED7">
            <w:r w:rsidRPr="009856FF">
              <w:t>175</w:t>
            </w:r>
          </w:p>
        </w:tc>
        <w:tc>
          <w:tcPr>
            <w:tcW w:w="960" w:type="dxa"/>
            <w:noWrap/>
            <w:hideMark/>
          </w:tcPr>
          <w:p w14:paraId="5DC160CA" w14:textId="77777777" w:rsidR="00C45DD4" w:rsidRPr="009856FF" w:rsidRDefault="00C45DD4" w:rsidP="00072ED7">
            <w:r w:rsidRPr="009856FF">
              <w:t>135</w:t>
            </w:r>
          </w:p>
        </w:tc>
        <w:tc>
          <w:tcPr>
            <w:tcW w:w="960" w:type="dxa"/>
            <w:noWrap/>
            <w:hideMark/>
          </w:tcPr>
          <w:p w14:paraId="5EAB066A" w14:textId="77777777" w:rsidR="00C45DD4" w:rsidRPr="009856FF" w:rsidRDefault="00C45DD4" w:rsidP="00072ED7">
            <w:r w:rsidRPr="009856FF">
              <w:t>80</w:t>
            </w:r>
          </w:p>
        </w:tc>
      </w:tr>
    </w:tbl>
    <w:p w14:paraId="4B72BB22" w14:textId="77777777" w:rsidR="00C45DD4" w:rsidRDefault="00C45DD4" w:rsidP="00C45DD4"/>
    <w:p w14:paraId="0B81D32F" w14:textId="77777777" w:rsidR="00C45DD4" w:rsidRDefault="00C45DD4" w:rsidP="00C45DD4">
      <w:pPr>
        <w:pStyle w:val="Heading4"/>
      </w:pPr>
      <w:bookmarkStart w:id="32" w:name="_Toc35334628"/>
      <w:r>
        <w:t xml:space="preserve">Battery </w:t>
      </w:r>
      <w:proofErr w:type="spellStart"/>
      <w:r>
        <w:t>vintaging</w:t>
      </w:r>
      <w:proofErr w:type="spellEnd"/>
      <w:r>
        <w:t xml:space="preserve"> factors:</w:t>
      </w:r>
      <w:bookmarkEnd w:id="32"/>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682786">
      <w:pPr>
        <w:pStyle w:val="Heading4"/>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682786">
      <w:pPr>
        <w:pStyle w:val="Heading4"/>
      </w:pPr>
      <w:bookmarkStart w:id="35" w:name="_Toc35334630"/>
      <w:bookmarkStart w:id="36" w:name="_Toc35524391"/>
      <w:r w:rsidRPr="00DF23D7">
        <w:rPr>
          <w:rStyle w:val="Heading2Char"/>
          <w:color w:val="1F3763" w:themeColor="accent1" w:themeShade="7F"/>
          <w:sz w:val="24"/>
          <w:szCs w:val="24"/>
        </w:rPr>
        <w:t>2-wheelers</w:t>
      </w:r>
      <w:bookmarkEnd w:id="35"/>
      <w:bookmarkEnd w:id="36"/>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lastRenderedPageBreak/>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682786">
      <w:pPr>
        <w:pStyle w:val="Heading4"/>
      </w:pPr>
      <w:bookmarkStart w:id="37" w:name="_Toc35334631"/>
      <w:bookmarkStart w:id="38" w:name="_Toc35524392"/>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lastRenderedPageBreak/>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lastRenderedPageBreak/>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lastRenderedPageBreak/>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C9D8A" w14:textId="77777777" w:rsidR="001D437E" w:rsidRDefault="001D437E" w:rsidP="00F7514B">
      <w:pPr>
        <w:spacing w:after="0" w:line="240" w:lineRule="auto"/>
      </w:pPr>
      <w:r>
        <w:separator/>
      </w:r>
    </w:p>
  </w:endnote>
  <w:endnote w:type="continuationSeparator" w:id="0">
    <w:p w14:paraId="1ED9DACC" w14:textId="77777777" w:rsidR="001D437E" w:rsidRDefault="001D437E"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DD4052"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DD4052" w:rsidRPr="00713220" w:rsidRDefault="00DD4052"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DD4052"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DD4052"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DD4052"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DD4052"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DD4052"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DD4052"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DD4052"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DD4052"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DD4052" w:rsidRPr="006440D5" w:rsidRDefault="00DD405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DD4052" w:rsidRPr="006440D5" w:rsidRDefault="00DD4052" w:rsidP="00C45DD4">
      <w:pPr>
        <w:pStyle w:val="EndnoteText"/>
      </w:pPr>
    </w:p>
  </w:endnote>
  <w:endnote w:id="2">
    <w:p w14:paraId="18D3B4E6" w14:textId="77777777" w:rsidR="00DD4052" w:rsidRDefault="00DD4052"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DD4052" w:rsidRDefault="00DD4052" w:rsidP="00C45DD4">
      <w:pPr>
        <w:pStyle w:val="EndnoteText"/>
      </w:pPr>
      <w:r>
        <w:rPr>
          <w:rStyle w:val="EndnoteReference"/>
        </w:rPr>
        <w:endnoteRef/>
      </w:r>
      <w:r>
        <w:t xml:space="preserve"> Sources:</w:t>
      </w:r>
    </w:p>
    <w:p w14:paraId="13A8E0D2" w14:textId="77777777" w:rsidR="00DD4052" w:rsidRPr="00A849A0" w:rsidRDefault="00DD4052"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DD4052" w:rsidRPr="00A849A0" w:rsidRDefault="00DD4052"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DD4052" w:rsidRPr="008D7301" w:rsidRDefault="00DD4052"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DD4052" w:rsidRDefault="00DD4052"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DD4052" w:rsidRDefault="00DD40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DD4052" w:rsidRDefault="00DD4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9E1DC" w14:textId="77777777" w:rsidR="001D437E" w:rsidRDefault="001D437E" w:rsidP="00F7514B">
      <w:pPr>
        <w:spacing w:after="0" w:line="240" w:lineRule="auto"/>
      </w:pPr>
      <w:r>
        <w:separator/>
      </w:r>
    </w:p>
  </w:footnote>
  <w:footnote w:type="continuationSeparator" w:id="0">
    <w:p w14:paraId="61B938FE" w14:textId="77777777" w:rsidR="001D437E" w:rsidRDefault="001D437E" w:rsidP="00F7514B">
      <w:pPr>
        <w:spacing w:after="0" w:line="240" w:lineRule="auto"/>
      </w:pPr>
      <w:r>
        <w:continuationSeparator/>
      </w:r>
    </w:p>
  </w:footnote>
  <w:footnote w:id="1">
    <w:p w14:paraId="294D9528" w14:textId="77777777" w:rsidR="00DD4052" w:rsidRDefault="00DD4052"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DD4052" w:rsidRPr="00DA38D4" w:rsidRDefault="00DD4052"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DD4052" w:rsidRDefault="00DD4052" w:rsidP="00E8474E">
      <w:pPr>
        <w:pStyle w:val="FootnoteText"/>
      </w:pPr>
    </w:p>
  </w:footnote>
  <w:footnote w:id="3">
    <w:p w14:paraId="6A6FB46F" w14:textId="5260A650" w:rsidR="005A585D" w:rsidRDefault="005A585D">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5A585D" w:rsidRDefault="005A585D">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DD4052" w:rsidRPr="00F7514B" w:rsidRDefault="00DD4052"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B4E7A"/>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655E566-D09C-4DFA-80DE-D02035E7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16773</TotalTime>
  <Pages>14</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367</cp:revision>
  <cp:lastPrinted>2019-12-31T23:48:00Z</cp:lastPrinted>
  <dcterms:created xsi:type="dcterms:W3CDTF">2019-11-18T20:23:00Z</dcterms:created>
  <dcterms:modified xsi:type="dcterms:W3CDTF">2020-03-25T20:36:00Z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