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9D128E">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9D128E">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9D128E">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9D128E">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9D128E">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9D128E">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9D128E">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9D128E">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9D128E">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9D128E">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9D128E">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9D128E">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9D128E">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9D128E">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9D128E">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9D128E">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9D128E">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9D128E">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9D128E">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9D128E">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9D128E">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9D128E">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9D128E">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9D128E">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9D128E">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9D128E">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9D128E">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9D128E">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9D128E">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9D128E">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9D128E">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9D128E">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9D128E">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9D128E">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9D128E">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9D128E">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9D128E">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27FCDC0F" w:rsidR="00790ADD" w:rsidRDefault="00790ADD" w:rsidP="00790ADD">
      <w:pPr>
        <w:pStyle w:val="Bibliography"/>
        <w:ind w:left="0" w:firstLine="0"/>
        <w:jc w:val="both"/>
        <w:rPr>
          <w:ins w:id="4" w:author="Khan, Zarrar" w:date="2020-04-07T12:50:00Z"/>
        </w:rPr>
      </w:pPr>
      <w:r>
        <w:t>Background on electrification trends in general, role in decarbonization and regional projections across the globe</w:t>
      </w:r>
    </w:p>
    <w:p w14:paraId="2A92F22F" w14:textId="6261BA88" w:rsidR="00EF20E8" w:rsidRDefault="00EF20E8" w:rsidP="00EF20E8">
      <w:pPr>
        <w:rPr>
          <w:ins w:id="5" w:author="Khan, Zarrar" w:date="2020-04-07T12:50:00Z"/>
        </w:rPr>
      </w:pPr>
    </w:p>
    <w:p w14:paraId="20BC7D13" w14:textId="6EBFF716" w:rsidR="00EF20E8" w:rsidRDefault="00EF20E8" w:rsidP="00EF20E8">
      <w:pPr>
        <w:rPr>
          <w:ins w:id="6" w:author="Khan, Zarrar" w:date="2020-04-07T13:28:00Z"/>
        </w:rPr>
      </w:pPr>
      <w:ins w:id="7" w:author="Khan, Zarrar" w:date="2020-04-07T12:50:00Z">
        <w:r>
          <w:t>Importance of electrification</w:t>
        </w:r>
      </w:ins>
      <w:ins w:id="8" w:author="Khan, Zarrar" w:date="2020-04-07T12:51:00Z">
        <w:r>
          <w:t xml:space="preserve">. </w:t>
        </w:r>
      </w:ins>
    </w:p>
    <w:p w14:paraId="55770A0A" w14:textId="58082116" w:rsidR="00E6409A" w:rsidRDefault="00E6409A" w:rsidP="00EF20E8">
      <w:pPr>
        <w:rPr>
          <w:ins w:id="9" w:author="Khan, Zarrar" w:date="2020-04-07T13:27:00Z"/>
        </w:rPr>
      </w:pPr>
      <w:ins w:id="10" w:author="Khan, Zarrar" w:date="2020-04-07T13:28:00Z">
        <w:r>
          <w:t xml:space="preserve">From </w:t>
        </w:r>
        <w:r>
          <w:fldChar w:fldCharType="begin"/>
        </w:r>
      </w:ins>
      <w:ins w:id="11" w:author="Khan, Zarrar" w:date="2020-04-07T13:55:00Z">
        <w:r w:rsidR="00D91857">
          <w:instrText xml:space="preserve"> ADDIN ZOTERO_ITEM CSL_CITATION {"citationID":"0Iyp163j","properties":{"formattedCitation":"[1]","plainCitation":"[1]","noteIndex":0},"citationItems":[{"id":758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scenarios","volume":"15","author":[{"family":"Zhang","given":"Runsen"},{"family":"Fujimori","given":"Shinichiro"}],"issued":{"date-parts":[["2020",2]]}}}],"schema":"https://github.com/citation-style-language/schema/raw/master/csl-citation.json"} </w:instrText>
        </w:r>
      </w:ins>
      <w:r>
        <w:fldChar w:fldCharType="separate"/>
      </w:r>
      <w:ins w:id="12" w:author="Khan, Zarrar" w:date="2020-04-07T13:55:00Z">
        <w:r w:rsidR="00D91857" w:rsidRPr="00D91857">
          <w:rPr>
            <w:rFonts w:ascii="Calibri" w:hAnsi="Calibri" w:cs="Calibri"/>
            <w:rPrChange w:id="13" w:author="Khan, Zarrar" w:date="2020-04-07T13:55:00Z">
              <w:rPr/>
            </w:rPrChange>
          </w:rPr>
          <w:t>[1]</w:t>
        </w:r>
      </w:ins>
      <w:ins w:id="14" w:author="Khan, Zarrar" w:date="2020-04-07T13:28:00Z">
        <w:r>
          <w:fldChar w:fldCharType="end"/>
        </w:r>
      </w:ins>
    </w:p>
    <w:p w14:paraId="2BF6C323" w14:textId="3ACE7414" w:rsidR="00E6409A" w:rsidRDefault="00E6409A" w:rsidP="00EF20E8">
      <w:pPr>
        <w:rPr>
          <w:ins w:id="15" w:author="Khan, Zarrar" w:date="2020-04-07T13:30:00Z"/>
        </w:rPr>
      </w:pPr>
      <w:ins w:id="16" w:author="Khan, Zarrar" w:date="2020-04-07T13:28:00Z">
        <w:r>
          <w:t>“</w:t>
        </w:r>
      </w:ins>
      <w:ins w:id="17" w:author="Khan, Zarrar" w:date="2020-04-07T13:27:00Z">
        <w:r w:rsidRPr="00E6409A">
          <w:t xml:space="preserve">The transport sector accounts for approximately a quarter of global greenhouse gas (GHG) emissions and is one of the major sectors where emissions are still rising [1–4]. Within the transport sector, road transport is by far the biggest emitter, accounting for more than half of all </w:t>
        </w:r>
        <w:proofErr w:type="gramStart"/>
        <w:r w:rsidRPr="00E6409A">
          <w:t>transport-related</w:t>
        </w:r>
        <w:proofErr w:type="gramEnd"/>
        <w:r w:rsidRPr="00E6409A">
          <w:t xml:space="preserve"> GHG emissions. Rapidly growing mobility </w:t>
        </w:r>
        <w:proofErr w:type="gramStart"/>
        <w:r w:rsidRPr="00E6409A">
          <w:t>needs</w:t>
        </w:r>
        <w:proofErr w:type="gramEnd"/>
        <w:r w:rsidRPr="00E6409A">
          <w:t xml:space="preserve"> and private vehicle ownership counteract the global efforts to reduce global GHG emissions from transport [5]. Due to society's persistent reliance on fossil fuels, the reduction of global GHG emissions from transport to limit the magnitude or rate of long-term climate change will be more challenging than in other sectors [6, 7]. Low-carbon vehicles, powered by electricity, offer an alternative to conventional fossil-fuel technologies, and switching to electricity for road transport has been proposed as a significant way to reduce direct CO2 emissions and ease the imbalance between the supply and demand of oil [8].</w:t>
        </w:r>
      </w:ins>
      <w:ins w:id="18" w:author="Khan, Zarrar" w:date="2020-04-07T13:28:00Z">
        <w:r>
          <w:t>”</w:t>
        </w:r>
      </w:ins>
    </w:p>
    <w:p w14:paraId="1D47E6C7" w14:textId="12E35667" w:rsidR="00E6409A" w:rsidRDefault="00E6409A">
      <w:pPr>
        <w:pStyle w:val="ListParagraph"/>
        <w:numPr>
          <w:ilvl w:val="0"/>
          <w:numId w:val="36"/>
        </w:numPr>
        <w:rPr>
          <w:ins w:id="19" w:author="Khan, Zarrar" w:date="2020-04-07T12:51:00Z"/>
        </w:rPr>
        <w:pPrChange w:id="20" w:author="Khan, Zarrar" w:date="2020-04-07T13:30:00Z">
          <w:pPr/>
        </w:pPrChange>
      </w:pPr>
      <w:ins w:id="21" w:author="Khan, Zarrar" w:date="2020-04-07T13:30:00Z">
        <w:r>
          <w:t>Must be carried out in combination with Renewables or Carbon tax policies.</w:t>
        </w:r>
      </w:ins>
    </w:p>
    <w:p w14:paraId="5A3DDBDB" w14:textId="30E5E14C" w:rsidR="00EF20E8" w:rsidRDefault="00EF20E8" w:rsidP="00EF20E8">
      <w:pPr>
        <w:rPr>
          <w:ins w:id="22" w:author="Khan, Zarrar" w:date="2020-04-07T12:51:00Z"/>
        </w:rPr>
      </w:pPr>
      <w:ins w:id="23" w:author="Khan, Zarrar" w:date="2020-04-07T12:51:00Z">
        <w:r>
          <w:t>Where already in place and pledges.</w:t>
        </w:r>
      </w:ins>
    </w:p>
    <w:p w14:paraId="7E00E2C5" w14:textId="26016496" w:rsidR="00EF20E8" w:rsidRDefault="00601D15" w:rsidP="00EF20E8">
      <w:pPr>
        <w:rPr>
          <w:ins w:id="24" w:author="Khan, Zarrar" w:date="2020-04-07T12:52:00Z"/>
        </w:rPr>
      </w:pPr>
      <w:ins w:id="25" w:author="Khan, Zarrar" w:date="2020-04-07T12:52:00Z">
        <w:r>
          <w:t>Incentives to electrify.</w:t>
        </w:r>
      </w:ins>
    </w:p>
    <w:p w14:paraId="1E7C9CA6" w14:textId="5BB3018F" w:rsidR="00601D15" w:rsidRPr="00E6409A" w:rsidRDefault="00601D15">
      <w:pPr>
        <w:pPrChange w:id="26" w:author="Khan, Zarrar" w:date="2020-04-07T12:50:00Z">
          <w:pPr>
            <w:pStyle w:val="Bibliography"/>
            <w:ind w:left="0" w:firstLine="0"/>
            <w:jc w:val="both"/>
          </w:pPr>
        </w:pPrChange>
      </w:pPr>
      <w:ins w:id="27" w:author="Khan, Zarrar" w:date="2020-04-07T12:52:00Z">
        <w:r>
          <w:t>Previous modeling and research gap.</w:t>
        </w:r>
      </w:ins>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28" w:name="_Toc36643829"/>
      <w:r>
        <w:t>Literature Review</w:t>
      </w:r>
      <w:bookmarkEnd w:id="28"/>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29" w:name="_Toc36643830"/>
      <w:r>
        <w:t>Research Question</w:t>
      </w:r>
      <w:bookmarkEnd w:id="29"/>
    </w:p>
    <w:p w14:paraId="50424CC9" w14:textId="6C355D98" w:rsidR="00A57ADE" w:rsidRPr="00A57ADE" w:rsidRDefault="00E96633" w:rsidP="00E96633">
      <w:pPr>
        <w:pStyle w:val="Bibliography"/>
        <w:ind w:left="0" w:firstLine="0"/>
        <w:jc w:val="both"/>
      </w:pPr>
      <w:r>
        <w:t>Questions addressed in this analysis:</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lastRenderedPageBreak/>
        <w:t>What are the impacts on vehicular and power sector emissions?</w:t>
      </w:r>
    </w:p>
    <w:p w14:paraId="1B217FC9" w14:textId="29C4629B" w:rsidR="00863375" w:rsidRPr="00A97700" w:rsidRDefault="004D3CF4" w:rsidP="00A379AF">
      <w:pPr>
        <w:pStyle w:val="Heading1"/>
        <w:numPr>
          <w:ilvl w:val="0"/>
          <w:numId w:val="20"/>
        </w:numPr>
      </w:pPr>
      <w:bookmarkStart w:id="30" w:name="_Toc36643831"/>
      <w:r w:rsidRPr="00A97700">
        <w:t>Methodology</w:t>
      </w:r>
      <w:bookmarkEnd w:id="30"/>
    </w:p>
    <w:p w14:paraId="30AD916A" w14:textId="7B14FE63" w:rsidR="00D17230" w:rsidRDefault="00BC2D73" w:rsidP="0051151C">
      <w:pPr>
        <w:pStyle w:val="Heading1"/>
        <w:numPr>
          <w:ilvl w:val="1"/>
          <w:numId w:val="20"/>
        </w:numPr>
      </w:pPr>
      <w:bookmarkStart w:id="31" w:name="_Toc36643832"/>
      <w:r>
        <w:t>Cross-Model</w:t>
      </w:r>
      <w:r w:rsidR="002A74D2">
        <w:t xml:space="preserve"> </w:t>
      </w:r>
      <w:r>
        <w:t>Links</w:t>
      </w:r>
      <w:r w:rsidR="00D17230">
        <w:t xml:space="preserve"> (GCAM, PLEXOS, SEP)</w:t>
      </w:r>
      <w:bookmarkEnd w:id="31"/>
    </w:p>
    <w:p w14:paraId="5181B33B" w14:textId="567D1C25"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are then provided to the National Transmission &amp; D</w:t>
      </w:r>
      <w:ins w:id="32" w:author="Khan, Zarrar" w:date="2020-04-07T13:45:00Z">
        <w:r w:rsidR="007865B6">
          <w:t>i</w:t>
        </w:r>
      </w:ins>
      <w:del w:id="33" w:author="Khan, Zarrar" w:date="2020-04-07T13:45:00Z">
        <w:r w:rsidR="003C6A7D" w:rsidDel="007865B6">
          <w:delText>e</w:delText>
        </w:r>
      </w:del>
      <w:r w:rsidR="003C6A7D">
        <w:t xml:space="preserve">spatch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34" w:name="_Toc36643833"/>
      <w:r>
        <w:t xml:space="preserve">GCAM </w:t>
      </w:r>
      <w:r w:rsidR="001A1884">
        <w:t>Overview</w:t>
      </w:r>
      <w:bookmarkEnd w:id="34"/>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35" w:name="_Toc36643834"/>
      <w:r>
        <w:t>GCAM Transport Sector Details</w:t>
      </w:r>
      <w:bookmarkEnd w:id="35"/>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w:t>
      </w:r>
      <w:r>
        <w:lastRenderedPageBreak/>
        <w:t>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36" w:name="_Toc36643835"/>
      <w:r>
        <w:t>GCAM S</w:t>
      </w:r>
      <w:r w:rsidR="00D17230">
        <w:t>cenario Details</w:t>
      </w:r>
      <w:bookmarkEnd w:id="36"/>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64DBFACA" w14:textId="03267565" w:rsidR="00016545" w:rsidRDefault="00C368B9" w:rsidP="00016545">
      <w:pPr>
        <w:pStyle w:val="Heading1"/>
        <w:numPr>
          <w:ilvl w:val="2"/>
          <w:numId w:val="20"/>
        </w:numPr>
      </w:pPr>
      <w:r>
        <w:t>Baseline Assumptions</w:t>
      </w:r>
      <w:r w:rsidR="00016545">
        <w:t xml:space="preserve"> </w:t>
      </w:r>
    </w:p>
    <w:p w14:paraId="75724FAC" w14:textId="0753B93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ins w:id="37" w:author="Khan, Zarrar" w:date="2020-04-07T13:55:00Z">
        <w:r w:rsidR="00D91857">
          <w:instrText xml:space="preserve"> ADDIN ZOTERO_ITEM CSL_CITATION {"citationID":"dTb9tiQd","properties":{"formattedCitation":"[2]","plainCitation":"[2]","noteIndex":0},"citationItems":[{"id":"cOY8Uh8c/sMwHa6AO","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38" w:author="Khan, Zarrar" w:date="2020-04-07T13:29:00Z">
        <w:r w:rsidDel="00E6409A">
          <w:delInstrText xml:space="preserve"> ADDIN ZOTERO_ITEM CSL_CITATION {"citationID":"dTb9tiQd","properties":{"formattedCitation":"(Jadun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fldChar w:fldCharType="separate"/>
      </w:r>
      <w:ins w:id="39" w:author="Khan, Zarrar" w:date="2020-04-07T13:55:00Z">
        <w:r w:rsidR="00D91857" w:rsidRPr="00D91857">
          <w:rPr>
            <w:rFonts w:ascii="Calibri" w:hAnsi="Calibri" w:cs="Calibri"/>
            <w:rPrChange w:id="40" w:author="Khan, Zarrar" w:date="2020-04-07T13:55:00Z">
              <w:rPr/>
            </w:rPrChange>
          </w:rPr>
          <w:t>[2]</w:t>
        </w:r>
      </w:ins>
      <w:del w:id="41" w:author="Khan, Zarrar" w:date="2020-04-07T13:29:00Z">
        <w:r w:rsidRPr="00D91857" w:rsidDel="00E6409A">
          <w:rPr>
            <w:rPrChange w:id="42" w:author="Khan, Zarrar" w:date="2020-04-07T13:55:00Z">
              <w:rPr>
                <w:rFonts w:ascii="Calibri" w:hAnsi="Calibri" w:cs="Calibri"/>
              </w:rPr>
            </w:rPrChange>
          </w:rPr>
          <w:delText>(Jadun et al. 2017)</w:delText>
        </w:r>
      </w:del>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1F49F6E9" w14:textId="6AEEDAD3" w:rsidR="00016545" w:rsidRDefault="00016545" w:rsidP="00016545">
      <w:pPr>
        <w:pStyle w:val="Heading1"/>
        <w:numPr>
          <w:ilvl w:val="2"/>
          <w:numId w:val="20"/>
        </w:numPr>
      </w:pPr>
      <w:r>
        <w:lastRenderedPageBreak/>
        <w:t xml:space="preserve">NEVP Overview </w:t>
      </w:r>
    </w:p>
    <w:p w14:paraId="087DFF7C" w14:textId="77777777"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306D0A11" w14:textId="404BAA90" w:rsidR="00016545" w:rsidRPr="00016545" w:rsidRDefault="00016545" w:rsidP="00016545">
      <w:r>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and achieve these goals,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p>
    <w:p w14:paraId="460B3B3F" w14:textId="5C7A0572" w:rsidR="00016545" w:rsidRPr="00016545" w:rsidRDefault="00016545" w:rsidP="00016545">
      <w:pPr>
        <w:pStyle w:val="Heading1"/>
        <w:numPr>
          <w:ilvl w:val="2"/>
          <w:numId w:val="20"/>
        </w:numPr>
      </w:pPr>
      <w:r>
        <w:t>Representation in GCAM</w:t>
      </w:r>
    </w:p>
    <w:p w14:paraId="690C4E5F" w14:textId="4BFD391F" w:rsidR="00C368B9" w:rsidRDefault="00C368B9" w:rsidP="00360777">
      <w:r>
        <w:t xml:space="preserve">For our baseline (no policy) scenario, we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481E9349" w:rsidR="007C3159" w:rsidRPr="00360777" w:rsidRDefault="00ED1E3C" w:rsidP="00360777">
      <w:r>
        <w:t>In our policy scenarios, we model only the monetary EV incentives</w:t>
      </w:r>
      <w:r w:rsidR="00C368B9">
        <w:t xml:space="preserve">, which affect vehicle costs.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43" w:name="_Toc36643836"/>
      <w:r>
        <w:lastRenderedPageBreak/>
        <w:t xml:space="preserve">PLEXOS </w:t>
      </w:r>
      <w:r w:rsidR="00BC2D73">
        <w:t>O</w:t>
      </w:r>
      <w:r>
        <w:t>verview</w:t>
      </w:r>
      <w:bookmarkEnd w:id="43"/>
    </w:p>
    <w:p w14:paraId="65B35C42" w14:textId="40DBCE78" w:rsidR="00D17230" w:rsidRPr="00D17230" w:rsidRDefault="00D17230" w:rsidP="00D17230">
      <w:pPr>
        <w:pStyle w:val="Heading1"/>
        <w:numPr>
          <w:ilvl w:val="1"/>
          <w:numId w:val="20"/>
        </w:numPr>
      </w:pPr>
      <w:bookmarkStart w:id="44" w:name="_Toc36643837"/>
      <w:r>
        <w:t xml:space="preserve">SEP </w:t>
      </w:r>
      <w:r w:rsidR="00BC2D73">
        <w:t>M</w:t>
      </w:r>
      <w:r>
        <w:t xml:space="preserve">odel </w:t>
      </w:r>
      <w:r w:rsidR="00BC2D73">
        <w:t>O</w:t>
      </w:r>
      <w:r>
        <w:t>verview</w:t>
      </w:r>
      <w:bookmarkEnd w:id="44"/>
    </w:p>
    <w:p w14:paraId="37879254" w14:textId="7E46F951" w:rsidR="004D3CF4" w:rsidRDefault="004D3CF4" w:rsidP="00A379AF">
      <w:pPr>
        <w:pStyle w:val="Heading1"/>
        <w:numPr>
          <w:ilvl w:val="0"/>
          <w:numId w:val="20"/>
        </w:numPr>
      </w:pPr>
      <w:bookmarkStart w:id="45" w:name="_Toc36643838"/>
      <w:r>
        <w:t>Results</w:t>
      </w:r>
      <w:bookmarkEnd w:id="45"/>
    </w:p>
    <w:p w14:paraId="6E4DC8EA" w14:textId="5463D69A" w:rsidR="004D3CF4" w:rsidRDefault="003F5E37" w:rsidP="0051151C">
      <w:pPr>
        <w:pStyle w:val="Heading1"/>
        <w:numPr>
          <w:ilvl w:val="1"/>
          <w:numId w:val="20"/>
        </w:numPr>
      </w:pPr>
      <w:bookmarkStart w:id="46" w:name="_Toc36643839"/>
      <w:r>
        <w:t xml:space="preserve">GCAM </w:t>
      </w:r>
      <w:r w:rsidR="00AD688B">
        <w:t>Baseline</w:t>
      </w:r>
      <w:r w:rsidR="004D3CF4">
        <w:t xml:space="preserve"> Results</w:t>
      </w:r>
      <w:bookmarkEnd w:id="46"/>
    </w:p>
    <w:p w14:paraId="721C5F82" w14:textId="3DF6EFA2" w:rsidR="003F5E37" w:rsidRDefault="003F5E37" w:rsidP="003F5E37">
      <w:pPr>
        <w:pStyle w:val="Heading1"/>
        <w:numPr>
          <w:ilvl w:val="1"/>
          <w:numId w:val="20"/>
        </w:numPr>
      </w:pPr>
      <w:bookmarkStart w:id="47" w:name="_Toc36643840"/>
      <w:r>
        <w:t>GCAM Scenario Results – EV adoption, emissions impacts</w:t>
      </w:r>
      <w:bookmarkEnd w:id="47"/>
    </w:p>
    <w:p w14:paraId="5B0DF92F" w14:textId="1CE2E0CE" w:rsidR="003F5E37" w:rsidRPr="003F5E37" w:rsidRDefault="003F5E37" w:rsidP="003F5E37">
      <w:pPr>
        <w:pStyle w:val="Heading1"/>
        <w:numPr>
          <w:ilvl w:val="1"/>
          <w:numId w:val="20"/>
        </w:numPr>
      </w:pPr>
      <w:bookmarkStart w:id="48" w:name="_Toc36643841"/>
      <w:r>
        <w:t>PLEXOS Results – power demand, infrastructure needs</w:t>
      </w:r>
      <w:bookmarkEnd w:id="48"/>
    </w:p>
    <w:p w14:paraId="1DF0120C" w14:textId="2DC596DA" w:rsidR="003F5E37" w:rsidRDefault="003F5E37" w:rsidP="0051151C">
      <w:pPr>
        <w:pStyle w:val="Heading1"/>
        <w:numPr>
          <w:ilvl w:val="1"/>
          <w:numId w:val="20"/>
        </w:numPr>
      </w:pPr>
      <w:bookmarkStart w:id="49" w:name="_Toc36643842"/>
      <w:r>
        <w:t>SEP Model Results – fuel needs by type, fuel costs</w:t>
      </w:r>
      <w:bookmarkEnd w:id="49"/>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50" w:name="_Toc36643843"/>
      <w:r>
        <w:t>Discussion</w:t>
      </w:r>
      <w:r w:rsidR="00EF6C96">
        <w:t xml:space="preserve"> &amp; Conclusions</w:t>
      </w:r>
      <w:bookmarkEnd w:id="50"/>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51" w:name="_Toc36643844"/>
      <w:r>
        <w:t>References</w:t>
      </w:r>
      <w:bookmarkEnd w:id="51"/>
    </w:p>
    <w:p w14:paraId="471A606E" w14:textId="77777777" w:rsidR="00D91857" w:rsidRPr="00D91857" w:rsidRDefault="002A366A" w:rsidP="00D91857">
      <w:pPr>
        <w:pStyle w:val="Bibliography"/>
        <w:rPr>
          <w:ins w:id="52" w:author="Khan, Zarrar" w:date="2020-04-07T13:55:00Z"/>
          <w:rFonts w:ascii="Calibri Light" w:hAnsi="Calibri Light" w:cs="Calibri Light"/>
          <w:sz w:val="24"/>
          <w:rPrChange w:id="53" w:author="Khan, Zarrar" w:date="2020-04-07T13:55:00Z">
            <w:rPr>
              <w:ins w:id="54" w:author="Khan, Zarrar" w:date="2020-04-07T13:55:00Z"/>
            </w:rPr>
          </w:rPrChange>
        </w:rPr>
        <w:pPrChange w:id="55" w:author="Khan, Zarrar" w:date="2020-04-07T13:55:00Z">
          <w:pPr>
            <w:widowControl w:val="0"/>
            <w:autoSpaceDE w:val="0"/>
            <w:autoSpaceDN w:val="0"/>
            <w:adjustRightInd w:val="0"/>
            <w:spacing w:after="0" w:line="240" w:lineRule="auto"/>
          </w:pPr>
        </w:pPrChange>
      </w:pPr>
      <w:ins w:id="56" w:author="Khan, Zarrar" w:date="2020-04-07T13:41:00Z">
        <w:r w:rsidRPr="002A366A">
          <w:fldChar w:fldCharType="begin"/>
        </w:r>
      </w:ins>
      <w:ins w:id="57" w:author="Khan, Zarrar" w:date="2020-04-07T13:55:00Z">
        <w:r w:rsidR="00D91857">
          <w:instrText xml:space="preserve"> ADDIN ZOTERO_BIBL {"uncited":[],"omitted":[],"custom":[]} CSL_BIBLIOGRAPHY </w:instrText>
        </w:r>
      </w:ins>
      <w:r w:rsidRPr="002A366A">
        <w:rPr>
          <w:rPrChange w:id="58" w:author="Khan, Zarrar" w:date="2020-04-07T13:42:00Z">
            <w:rPr/>
          </w:rPrChange>
        </w:rPr>
        <w:fldChar w:fldCharType="separate"/>
      </w:r>
      <w:ins w:id="59" w:author="Khan, Zarrar" w:date="2020-04-07T13:55:00Z">
        <w:r w:rsidR="00D91857" w:rsidRPr="00D91857">
          <w:rPr>
            <w:rFonts w:ascii="Calibri Light" w:hAnsi="Calibri Light" w:cs="Calibri Light"/>
            <w:sz w:val="24"/>
            <w:rPrChange w:id="60" w:author="Khan, Zarrar" w:date="2020-04-07T13:55:00Z">
              <w:rPr/>
            </w:rPrChange>
          </w:rPr>
          <w:t>[1]</w:t>
        </w:r>
        <w:r w:rsidR="00D91857" w:rsidRPr="00D91857">
          <w:rPr>
            <w:rFonts w:ascii="Calibri Light" w:hAnsi="Calibri Light" w:cs="Calibri Light"/>
            <w:sz w:val="24"/>
            <w:rPrChange w:id="61" w:author="Khan, Zarrar" w:date="2020-04-07T13:55:00Z">
              <w:rPr/>
            </w:rPrChange>
          </w:rPr>
          <w:tab/>
          <w:t>R. Zhang, S. Fujimori, The role of transport electrification in global climate change mitigation scenarios, Environ. Res. Lett. 15 (2020) 034019. https://doi.org/10.1088/1748-9326/ab6658.</w:t>
        </w:r>
      </w:ins>
    </w:p>
    <w:p w14:paraId="59F2247E" w14:textId="77777777" w:rsidR="00D91857" w:rsidRPr="00D91857" w:rsidRDefault="00D91857" w:rsidP="00D91857">
      <w:pPr>
        <w:pStyle w:val="Bibliography"/>
        <w:rPr>
          <w:ins w:id="62" w:author="Khan, Zarrar" w:date="2020-04-07T13:55:00Z"/>
          <w:rFonts w:ascii="Calibri Light" w:hAnsi="Calibri Light" w:cs="Calibri Light"/>
          <w:sz w:val="24"/>
          <w:rPrChange w:id="63" w:author="Khan, Zarrar" w:date="2020-04-07T13:55:00Z">
            <w:rPr>
              <w:ins w:id="64" w:author="Khan, Zarrar" w:date="2020-04-07T13:55:00Z"/>
            </w:rPr>
          </w:rPrChange>
        </w:rPr>
        <w:pPrChange w:id="65" w:author="Khan, Zarrar" w:date="2020-04-07T13:55:00Z">
          <w:pPr>
            <w:widowControl w:val="0"/>
            <w:autoSpaceDE w:val="0"/>
            <w:autoSpaceDN w:val="0"/>
            <w:adjustRightInd w:val="0"/>
            <w:spacing w:after="0" w:line="240" w:lineRule="auto"/>
          </w:pPr>
        </w:pPrChange>
      </w:pPr>
      <w:ins w:id="66" w:author="Khan, Zarrar" w:date="2020-04-07T13:55:00Z">
        <w:r w:rsidRPr="00D91857">
          <w:rPr>
            <w:rFonts w:ascii="Calibri Light" w:hAnsi="Calibri Light" w:cs="Calibri Light"/>
            <w:sz w:val="24"/>
            <w:rPrChange w:id="67" w:author="Khan, Zarrar" w:date="2020-04-07T13:55:00Z">
              <w:rPr/>
            </w:rPrChange>
          </w:rPr>
          <w:t>[2]</w:t>
        </w:r>
        <w:r w:rsidRPr="00D91857">
          <w:rPr>
            <w:rFonts w:ascii="Calibri Light" w:hAnsi="Calibri Light" w:cs="Calibri Light"/>
            <w:sz w:val="24"/>
            <w:rPrChange w:id="68" w:author="Khan, Zarrar" w:date="2020-04-07T13:55:00Z">
              <w:rPr/>
            </w:rPrChange>
          </w:rPr>
          <w:tab/>
          <w:t xml:space="preserve">P. </w:t>
        </w:r>
        <w:proofErr w:type="spellStart"/>
        <w:r w:rsidRPr="00D91857">
          <w:rPr>
            <w:rFonts w:ascii="Calibri Light" w:hAnsi="Calibri Light" w:cs="Calibri Light"/>
            <w:sz w:val="24"/>
            <w:rPrChange w:id="69" w:author="Khan, Zarrar" w:date="2020-04-07T13:55:00Z">
              <w:rPr/>
            </w:rPrChange>
          </w:rPr>
          <w:t>Jadun</w:t>
        </w:r>
        <w:proofErr w:type="spellEnd"/>
        <w:r w:rsidRPr="00D91857">
          <w:rPr>
            <w:rFonts w:ascii="Calibri Light" w:hAnsi="Calibri Light" w:cs="Calibri Light"/>
            <w:sz w:val="24"/>
            <w:rPrChange w:id="70" w:author="Khan, Zarrar" w:date="2020-04-07T13:55:00Z">
              <w:rPr/>
            </w:rPrChange>
          </w:rPr>
          <w:t xml:space="preserve">, C. McMillan, D. Steinberg, M. </w:t>
        </w:r>
        <w:proofErr w:type="spellStart"/>
        <w:r w:rsidRPr="00D91857">
          <w:rPr>
            <w:rFonts w:ascii="Calibri Light" w:hAnsi="Calibri Light" w:cs="Calibri Light"/>
            <w:sz w:val="24"/>
            <w:rPrChange w:id="71" w:author="Khan, Zarrar" w:date="2020-04-07T13:55:00Z">
              <w:rPr/>
            </w:rPrChange>
          </w:rPr>
          <w:t>Muratori</w:t>
        </w:r>
        <w:proofErr w:type="spellEnd"/>
        <w:r w:rsidRPr="00D91857">
          <w:rPr>
            <w:rFonts w:ascii="Calibri Light" w:hAnsi="Calibri Light" w:cs="Calibri Light"/>
            <w:sz w:val="24"/>
            <w:rPrChange w:id="72" w:author="Khan, Zarrar" w:date="2020-04-07T13:55:00Z">
              <w:rPr/>
            </w:rPrChange>
          </w:rPr>
          <w:t xml:space="preserve">, L. </w:t>
        </w:r>
        <w:proofErr w:type="spellStart"/>
        <w:r w:rsidRPr="00D91857">
          <w:rPr>
            <w:rFonts w:ascii="Calibri Light" w:hAnsi="Calibri Light" w:cs="Calibri Light"/>
            <w:sz w:val="24"/>
            <w:rPrChange w:id="73" w:author="Khan, Zarrar" w:date="2020-04-07T13:55:00Z">
              <w:rPr/>
            </w:rPrChange>
          </w:rPr>
          <w:t>Vimmerstedt</w:t>
        </w:r>
        <w:proofErr w:type="spellEnd"/>
        <w:r w:rsidRPr="00D91857">
          <w:rPr>
            <w:rFonts w:ascii="Calibri Light" w:hAnsi="Calibri Light" w:cs="Calibri Light"/>
            <w:sz w:val="24"/>
            <w:rPrChange w:id="74" w:author="Khan, Zarrar" w:date="2020-04-07T13:55:00Z">
              <w:rPr/>
            </w:rPrChange>
          </w:rPr>
          <w:t>, T. Mai, Electrification Futures Study: End-Use Electric Technology Cost and Performance Projections through 2050, (n.d.) 108.</w:t>
        </w:r>
      </w:ins>
    </w:p>
    <w:p w14:paraId="396EC905" w14:textId="77777777" w:rsidR="00D91857" w:rsidRPr="00D91857" w:rsidRDefault="00D91857" w:rsidP="00D91857">
      <w:pPr>
        <w:pStyle w:val="Bibliography"/>
        <w:rPr>
          <w:ins w:id="75" w:author="Khan, Zarrar" w:date="2020-04-07T13:55:00Z"/>
          <w:rFonts w:ascii="Calibri Light" w:hAnsi="Calibri Light" w:cs="Calibri Light"/>
          <w:sz w:val="24"/>
          <w:rPrChange w:id="76" w:author="Khan, Zarrar" w:date="2020-04-07T13:55:00Z">
            <w:rPr>
              <w:ins w:id="77" w:author="Khan, Zarrar" w:date="2020-04-07T13:55:00Z"/>
            </w:rPr>
          </w:rPrChange>
        </w:rPr>
        <w:pPrChange w:id="78" w:author="Khan, Zarrar" w:date="2020-04-07T13:55:00Z">
          <w:pPr>
            <w:widowControl w:val="0"/>
            <w:autoSpaceDE w:val="0"/>
            <w:autoSpaceDN w:val="0"/>
            <w:adjustRightInd w:val="0"/>
            <w:spacing w:after="0" w:line="240" w:lineRule="auto"/>
          </w:pPr>
        </w:pPrChange>
      </w:pPr>
      <w:ins w:id="79" w:author="Khan, Zarrar" w:date="2020-04-07T13:55:00Z">
        <w:r w:rsidRPr="00D91857">
          <w:rPr>
            <w:rFonts w:ascii="Calibri Light" w:hAnsi="Calibri Light" w:cs="Calibri Light"/>
            <w:sz w:val="24"/>
            <w:rPrChange w:id="80" w:author="Khan, Zarrar" w:date="2020-04-07T13:55:00Z">
              <w:rPr/>
            </w:rPrChange>
          </w:rPr>
          <w:t>[3]</w:t>
        </w:r>
        <w:r w:rsidRPr="00D91857">
          <w:rPr>
            <w:rFonts w:ascii="Calibri Light" w:hAnsi="Calibri Light" w:cs="Calibri Light"/>
            <w:sz w:val="24"/>
            <w:rPrChange w:id="81" w:author="Khan, Zarrar" w:date="2020-04-07T13:55:00Z">
              <w:rPr/>
            </w:rPrChange>
          </w:rPr>
          <w:tab/>
          <w:t xml:space="preserve">L. Goldie-Scot, A Behind the Scenes Take on Lithium-ion Battery Prices, </w:t>
        </w:r>
        <w:proofErr w:type="spellStart"/>
        <w:r w:rsidRPr="00D91857">
          <w:rPr>
            <w:rFonts w:ascii="Calibri Light" w:hAnsi="Calibri Light" w:cs="Calibri Light"/>
            <w:sz w:val="24"/>
            <w:rPrChange w:id="82" w:author="Khan, Zarrar" w:date="2020-04-07T13:55:00Z">
              <w:rPr/>
            </w:rPrChange>
          </w:rPr>
          <w:t>BloombergNEF</w:t>
        </w:r>
        <w:proofErr w:type="spellEnd"/>
        <w:r w:rsidRPr="00D91857">
          <w:rPr>
            <w:rFonts w:ascii="Calibri Light" w:hAnsi="Calibri Light" w:cs="Calibri Light"/>
            <w:sz w:val="24"/>
            <w:rPrChange w:id="83" w:author="Khan, Zarrar" w:date="2020-04-07T13:55:00Z">
              <w:rPr/>
            </w:rPrChange>
          </w:rPr>
          <w:t>. (2019). https://about.bnef.com/blog/behind-scenes-take-lithium-ion-battery-prices/ (accessed April 3, 2020).</w:t>
        </w:r>
      </w:ins>
    </w:p>
    <w:p w14:paraId="6A229716" w14:textId="77777777" w:rsidR="00D91857" w:rsidRPr="00D91857" w:rsidRDefault="00D91857" w:rsidP="00D91857">
      <w:pPr>
        <w:pStyle w:val="Bibliography"/>
        <w:rPr>
          <w:ins w:id="84" w:author="Khan, Zarrar" w:date="2020-04-07T13:55:00Z"/>
          <w:rFonts w:ascii="Calibri Light" w:hAnsi="Calibri Light" w:cs="Calibri Light"/>
          <w:sz w:val="24"/>
          <w:rPrChange w:id="85" w:author="Khan, Zarrar" w:date="2020-04-07T13:55:00Z">
            <w:rPr>
              <w:ins w:id="86" w:author="Khan, Zarrar" w:date="2020-04-07T13:55:00Z"/>
            </w:rPr>
          </w:rPrChange>
        </w:rPr>
        <w:pPrChange w:id="87" w:author="Khan, Zarrar" w:date="2020-04-07T13:55:00Z">
          <w:pPr>
            <w:widowControl w:val="0"/>
            <w:autoSpaceDE w:val="0"/>
            <w:autoSpaceDN w:val="0"/>
            <w:adjustRightInd w:val="0"/>
            <w:spacing w:after="0" w:line="240" w:lineRule="auto"/>
          </w:pPr>
        </w:pPrChange>
      </w:pPr>
      <w:ins w:id="88" w:author="Khan, Zarrar" w:date="2020-04-07T13:55:00Z">
        <w:r w:rsidRPr="00D91857">
          <w:rPr>
            <w:rFonts w:ascii="Calibri Light" w:hAnsi="Calibri Light" w:cs="Calibri Light"/>
            <w:sz w:val="24"/>
            <w:rPrChange w:id="89" w:author="Khan, Zarrar" w:date="2020-04-07T13:55:00Z">
              <w:rPr/>
            </w:rPrChange>
          </w:rPr>
          <w:t>[4]</w:t>
        </w:r>
        <w:r w:rsidRPr="00D91857">
          <w:rPr>
            <w:rFonts w:ascii="Calibri Light" w:hAnsi="Calibri Light" w:cs="Calibri Light"/>
            <w:sz w:val="24"/>
            <w:rPrChange w:id="90" w:author="Khan, Zarrar" w:date="2020-04-07T13:55:00Z">
              <w:rPr/>
            </w:rPrChange>
          </w:rPr>
          <w:tab/>
          <w:t xml:space="preserve">G. </w:t>
        </w:r>
        <w:proofErr w:type="spellStart"/>
        <w:r w:rsidRPr="00D91857">
          <w:rPr>
            <w:rFonts w:ascii="Calibri Light" w:hAnsi="Calibri Light" w:cs="Calibri Light"/>
            <w:sz w:val="24"/>
            <w:rPrChange w:id="91" w:author="Khan, Zarrar" w:date="2020-04-07T13:55:00Z">
              <w:rPr/>
            </w:rPrChange>
          </w:rPr>
          <w:t>Berckmans</w:t>
        </w:r>
        <w:proofErr w:type="spellEnd"/>
        <w:r w:rsidRPr="00D91857">
          <w:rPr>
            <w:rFonts w:ascii="Calibri Light" w:hAnsi="Calibri Light" w:cs="Calibri Light"/>
            <w:sz w:val="24"/>
            <w:rPrChange w:id="92" w:author="Khan, Zarrar" w:date="2020-04-07T13:55:00Z">
              <w:rPr/>
            </w:rPrChange>
          </w:rPr>
          <w:t xml:space="preserve">, M. </w:t>
        </w:r>
        <w:proofErr w:type="spellStart"/>
        <w:r w:rsidRPr="00D91857">
          <w:rPr>
            <w:rFonts w:ascii="Calibri Light" w:hAnsi="Calibri Light" w:cs="Calibri Light"/>
            <w:sz w:val="24"/>
            <w:rPrChange w:id="93" w:author="Khan, Zarrar" w:date="2020-04-07T13:55:00Z">
              <w:rPr/>
            </w:rPrChange>
          </w:rPr>
          <w:t>Messagie</w:t>
        </w:r>
        <w:proofErr w:type="spellEnd"/>
        <w:r w:rsidRPr="00D91857">
          <w:rPr>
            <w:rFonts w:ascii="Calibri Light" w:hAnsi="Calibri Light" w:cs="Calibri Light"/>
            <w:sz w:val="24"/>
            <w:rPrChange w:id="94" w:author="Khan, Zarrar" w:date="2020-04-07T13:55:00Z">
              <w:rPr/>
            </w:rPrChange>
          </w:rPr>
          <w:t xml:space="preserve">, J. </w:t>
        </w:r>
        <w:proofErr w:type="spellStart"/>
        <w:r w:rsidRPr="00D91857">
          <w:rPr>
            <w:rFonts w:ascii="Calibri Light" w:hAnsi="Calibri Light" w:cs="Calibri Light"/>
            <w:sz w:val="24"/>
            <w:rPrChange w:id="95" w:author="Khan, Zarrar" w:date="2020-04-07T13:55:00Z">
              <w:rPr/>
            </w:rPrChange>
          </w:rPr>
          <w:t>Smekens</w:t>
        </w:r>
        <w:proofErr w:type="spellEnd"/>
        <w:r w:rsidRPr="00D91857">
          <w:rPr>
            <w:rFonts w:ascii="Calibri Light" w:hAnsi="Calibri Light" w:cs="Calibri Light"/>
            <w:sz w:val="24"/>
            <w:rPrChange w:id="96" w:author="Khan, Zarrar" w:date="2020-04-07T13:55:00Z">
              <w:rPr/>
            </w:rPrChange>
          </w:rPr>
          <w:t xml:space="preserve">, N. Omar, L. </w:t>
        </w:r>
        <w:proofErr w:type="spellStart"/>
        <w:r w:rsidRPr="00D91857">
          <w:rPr>
            <w:rFonts w:ascii="Calibri Light" w:hAnsi="Calibri Light" w:cs="Calibri Light"/>
            <w:sz w:val="24"/>
            <w:rPrChange w:id="97" w:author="Khan, Zarrar" w:date="2020-04-07T13:55:00Z">
              <w:rPr/>
            </w:rPrChange>
          </w:rPr>
          <w:t>Vanhaverbeke</w:t>
        </w:r>
        <w:proofErr w:type="spellEnd"/>
        <w:r w:rsidRPr="00D91857">
          <w:rPr>
            <w:rFonts w:ascii="Calibri Light" w:hAnsi="Calibri Light" w:cs="Calibri Light"/>
            <w:sz w:val="24"/>
            <w:rPrChange w:id="98" w:author="Khan, Zarrar" w:date="2020-04-07T13:55:00Z">
              <w:rPr/>
            </w:rPrChange>
          </w:rPr>
          <w:t xml:space="preserve">, J. Van </w:t>
        </w:r>
        <w:proofErr w:type="spellStart"/>
        <w:r w:rsidRPr="00D91857">
          <w:rPr>
            <w:rFonts w:ascii="Calibri Light" w:hAnsi="Calibri Light" w:cs="Calibri Light"/>
            <w:sz w:val="24"/>
            <w:rPrChange w:id="99" w:author="Khan, Zarrar" w:date="2020-04-07T13:55:00Z">
              <w:rPr/>
            </w:rPrChange>
          </w:rPr>
          <w:t>Mierlo</w:t>
        </w:r>
        <w:proofErr w:type="spellEnd"/>
        <w:r w:rsidRPr="00D91857">
          <w:rPr>
            <w:rFonts w:ascii="Calibri Light" w:hAnsi="Calibri Light" w:cs="Calibri Light"/>
            <w:sz w:val="24"/>
            <w:rPrChange w:id="100" w:author="Khan, Zarrar" w:date="2020-04-07T13:55:00Z">
              <w:rPr/>
            </w:rPrChange>
          </w:rPr>
          <w:t xml:space="preserve">, Cost Projection of </w:t>
        </w:r>
        <w:proofErr w:type="gramStart"/>
        <w:r w:rsidRPr="00D91857">
          <w:rPr>
            <w:rFonts w:ascii="Calibri Light" w:hAnsi="Calibri Light" w:cs="Calibri Light"/>
            <w:sz w:val="24"/>
            <w:rPrChange w:id="101" w:author="Khan, Zarrar" w:date="2020-04-07T13:55:00Z">
              <w:rPr/>
            </w:rPrChange>
          </w:rPr>
          <w:t>State of the Art</w:t>
        </w:r>
        <w:proofErr w:type="gramEnd"/>
        <w:r w:rsidRPr="00D91857">
          <w:rPr>
            <w:rFonts w:ascii="Calibri Light" w:hAnsi="Calibri Light" w:cs="Calibri Light"/>
            <w:sz w:val="24"/>
            <w:rPrChange w:id="102" w:author="Khan, Zarrar" w:date="2020-04-07T13:55:00Z">
              <w:rPr/>
            </w:rPrChange>
          </w:rPr>
          <w:t xml:space="preserve"> Lithium-Ion Batteries for Electric Vehicles Up to 2030, Energies. 10 (2017) 1314. https://doi.org/10.3390/en10091314.</w:t>
        </w:r>
      </w:ins>
    </w:p>
    <w:p w14:paraId="4C0B11C4" w14:textId="77777777" w:rsidR="00D91857" w:rsidRPr="00D91857" w:rsidRDefault="00D91857" w:rsidP="00D91857">
      <w:pPr>
        <w:pStyle w:val="Bibliography"/>
        <w:rPr>
          <w:ins w:id="103" w:author="Khan, Zarrar" w:date="2020-04-07T13:55:00Z"/>
          <w:rFonts w:ascii="Calibri Light" w:hAnsi="Calibri Light" w:cs="Calibri Light"/>
          <w:sz w:val="24"/>
          <w:rPrChange w:id="104" w:author="Khan, Zarrar" w:date="2020-04-07T13:55:00Z">
            <w:rPr>
              <w:ins w:id="105" w:author="Khan, Zarrar" w:date="2020-04-07T13:55:00Z"/>
            </w:rPr>
          </w:rPrChange>
        </w:rPr>
        <w:pPrChange w:id="106" w:author="Khan, Zarrar" w:date="2020-04-07T13:55:00Z">
          <w:pPr>
            <w:widowControl w:val="0"/>
            <w:autoSpaceDE w:val="0"/>
            <w:autoSpaceDN w:val="0"/>
            <w:adjustRightInd w:val="0"/>
            <w:spacing w:after="0" w:line="240" w:lineRule="auto"/>
          </w:pPr>
        </w:pPrChange>
      </w:pPr>
      <w:ins w:id="107" w:author="Khan, Zarrar" w:date="2020-04-07T13:55:00Z">
        <w:r w:rsidRPr="00D91857">
          <w:rPr>
            <w:rFonts w:ascii="Calibri Light" w:hAnsi="Calibri Light" w:cs="Calibri Light"/>
            <w:sz w:val="24"/>
            <w:rPrChange w:id="108" w:author="Khan, Zarrar" w:date="2020-04-07T13:55:00Z">
              <w:rPr/>
            </w:rPrChange>
          </w:rPr>
          <w:t>[5]</w:t>
        </w:r>
        <w:r w:rsidRPr="00D91857">
          <w:rPr>
            <w:rFonts w:ascii="Calibri Light" w:hAnsi="Calibri Light" w:cs="Calibri Light"/>
            <w:sz w:val="24"/>
            <w:rPrChange w:id="109" w:author="Khan, Zarrar" w:date="2020-04-07T13:55:00Z">
              <w:rPr/>
            </w:rPrChange>
          </w:rPr>
          <w:tab/>
          <w:t xml:space="preserve">M. Holland, $100/kWh Tesla Battery Cells This Year, $100/kWh Tesla Battery Packs In 2020, </w:t>
        </w:r>
        <w:proofErr w:type="spellStart"/>
        <w:r w:rsidRPr="00D91857">
          <w:rPr>
            <w:rFonts w:ascii="Calibri Light" w:hAnsi="Calibri Light" w:cs="Calibri Light"/>
            <w:sz w:val="24"/>
            <w:rPrChange w:id="110" w:author="Khan, Zarrar" w:date="2020-04-07T13:55:00Z">
              <w:rPr/>
            </w:rPrChange>
          </w:rPr>
          <w:t>CleanTechnica</w:t>
        </w:r>
        <w:proofErr w:type="spellEnd"/>
        <w:r w:rsidRPr="00D91857">
          <w:rPr>
            <w:rFonts w:ascii="Calibri Light" w:hAnsi="Calibri Light" w:cs="Calibri Light"/>
            <w:sz w:val="24"/>
            <w:rPrChange w:id="111" w:author="Khan, Zarrar" w:date="2020-04-07T13:55:00Z">
              <w:rPr/>
            </w:rPrChange>
          </w:rPr>
          <w:t>. (2018). https://cleantechnica.com/2018/06/09/100-kwh-tesla-battery-cells-this-year-100-kwh-tesla-battery-packs-in-2020/ (accessed April 3, 2020).</w:t>
        </w:r>
      </w:ins>
    </w:p>
    <w:p w14:paraId="5FB55FD2" w14:textId="77777777" w:rsidR="00D91857" w:rsidRPr="00D91857" w:rsidRDefault="00D91857" w:rsidP="00D91857">
      <w:pPr>
        <w:pStyle w:val="Bibliography"/>
        <w:rPr>
          <w:ins w:id="112" w:author="Khan, Zarrar" w:date="2020-04-07T13:55:00Z"/>
          <w:rFonts w:ascii="Calibri Light" w:hAnsi="Calibri Light" w:cs="Calibri Light"/>
          <w:sz w:val="24"/>
          <w:rPrChange w:id="113" w:author="Khan, Zarrar" w:date="2020-04-07T13:55:00Z">
            <w:rPr>
              <w:ins w:id="114" w:author="Khan, Zarrar" w:date="2020-04-07T13:55:00Z"/>
            </w:rPr>
          </w:rPrChange>
        </w:rPr>
        <w:pPrChange w:id="115" w:author="Khan, Zarrar" w:date="2020-04-07T13:55:00Z">
          <w:pPr>
            <w:widowControl w:val="0"/>
            <w:autoSpaceDE w:val="0"/>
            <w:autoSpaceDN w:val="0"/>
            <w:adjustRightInd w:val="0"/>
            <w:spacing w:after="0" w:line="240" w:lineRule="auto"/>
          </w:pPr>
        </w:pPrChange>
      </w:pPr>
      <w:ins w:id="116" w:author="Khan, Zarrar" w:date="2020-04-07T13:55:00Z">
        <w:r w:rsidRPr="00D91857">
          <w:rPr>
            <w:rFonts w:ascii="Calibri Light" w:hAnsi="Calibri Light" w:cs="Calibri Light"/>
            <w:sz w:val="24"/>
            <w:rPrChange w:id="117" w:author="Khan, Zarrar" w:date="2020-04-07T13:55:00Z">
              <w:rPr/>
            </w:rPrChange>
          </w:rPr>
          <w:t>[6]</w:t>
        </w:r>
        <w:r w:rsidRPr="00D91857">
          <w:rPr>
            <w:rFonts w:ascii="Calibri Light" w:hAnsi="Calibri Light" w:cs="Calibri Light"/>
            <w:sz w:val="24"/>
            <w:rPrChange w:id="118" w:author="Khan, Zarrar" w:date="2020-04-07T13:55:00Z">
              <w:rPr/>
            </w:rPrChange>
          </w:rPr>
          <w:tab/>
          <w:t xml:space="preserve">N. </w:t>
        </w:r>
        <w:proofErr w:type="spellStart"/>
        <w:r w:rsidRPr="00D91857">
          <w:rPr>
            <w:rFonts w:ascii="Calibri Light" w:hAnsi="Calibri Light" w:cs="Calibri Light"/>
            <w:sz w:val="24"/>
            <w:rPrChange w:id="119" w:author="Khan, Zarrar" w:date="2020-04-07T13:55:00Z">
              <w:rPr/>
            </w:rPrChange>
          </w:rPr>
          <w:t>Kittner</w:t>
        </w:r>
        <w:proofErr w:type="spellEnd"/>
        <w:r w:rsidRPr="00D91857">
          <w:rPr>
            <w:rFonts w:ascii="Calibri Light" w:hAnsi="Calibri Light" w:cs="Calibri Light"/>
            <w:sz w:val="24"/>
            <w:rPrChange w:id="120" w:author="Khan, Zarrar" w:date="2020-04-07T13:55:00Z">
              <w:rPr/>
            </w:rPrChange>
          </w:rPr>
          <w:t xml:space="preserve">, F. </w:t>
        </w:r>
        <w:proofErr w:type="spellStart"/>
        <w:r w:rsidRPr="00D91857">
          <w:rPr>
            <w:rFonts w:ascii="Calibri Light" w:hAnsi="Calibri Light" w:cs="Calibri Light"/>
            <w:sz w:val="24"/>
            <w:rPrChange w:id="121" w:author="Khan, Zarrar" w:date="2020-04-07T13:55:00Z">
              <w:rPr/>
            </w:rPrChange>
          </w:rPr>
          <w:t>Lill</w:t>
        </w:r>
        <w:proofErr w:type="spellEnd"/>
        <w:r w:rsidRPr="00D91857">
          <w:rPr>
            <w:rFonts w:ascii="Calibri Light" w:hAnsi="Calibri Light" w:cs="Calibri Light"/>
            <w:sz w:val="24"/>
            <w:rPrChange w:id="122" w:author="Khan, Zarrar" w:date="2020-04-07T13:55:00Z">
              <w:rPr/>
            </w:rPrChange>
          </w:rPr>
          <w:t xml:space="preserve">, D.M. </w:t>
        </w:r>
        <w:proofErr w:type="spellStart"/>
        <w:r w:rsidRPr="00D91857">
          <w:rPr>
            <w:rFonts w:ascii="Calibri Light" w:hAnsi="Calibri Light" w:cs="Calibri Light"/>
            <w:sz w:val="24"/>
            <w:rPrChange w:id="123" w:author="Khan, Zarrar" w:date="2020-04-07T13:55:00Z">
              <w:rPr/>
            </w:rPrChange>
          </w:rPr>
          <w:t>Kammen</w:t>
        </w:r>
        <w:proofErr w:type="spellEnd"/>
        <w:r w:rsidRPr="00D91857">
          <w:rPr>
            <w:rFonts w:ascii="Calibri Light" w:hAnsi="Calibri Light" w:cs="Calibri Light"/>
            <w:sz w:val="24"/>
            <w:rPrChange w:id="124" w:author="Khan, Zarrar" w:date="2020-04-07T13:55:00Z">
              <w:rPr/>
            </w:rPrChange>
          </w:rPr>
          <w:t>, Energy storage deployment and innovation for the clean energy transition, Nat Energy. 2 (2017) 1–6. https://doi.org/10.1038/nenergy.2017.125.</w:t>
        </w:r>
      </w:ins>
    </w:p>
    <w:p w14:paraId="4C29F067" w14:textId="77777777" w:rsidR="00D91857" w:rsidRPr="00D91857" w:rsidRDefault="00D91857" w:rsidP="00D91857">
      <w:pPr>
        <w:pStyle w:val="Bibliography"/>
        <w:rPr>
          <w:ins w:id="125" w:author="Khan, Zarrar" w:date="2020-04-07T13:55:00Z"/>
          <w:rFonts w:ascii="Calibri Light" w:hAnsi="Calibri Light" w:cs="Calibri Light"/>
          <w:sz w:val="24"/>
          <w:rPrChange w:id="126" w:author="Khan, Zarrar" w:date="2020-04-07T13:55:00Z">
            <w:rPr>
              <w:ins w:id="127" w:author="Khan, Zarrar" w:date="2020-04-07T13:55:00Z"/>
            </w:rPr>
          </w:rPrChange>
        </w:rPr>
        <w:pPrChange w:id="128" w:author="Khan, Zarrar" w:date="2020-04-07T13:55:00Z">
          <w:pPr>
            <w:widowControl w:val="0"/>
            <w:autoSpaceDE w:val="0"/>
            <w:autoSpaceDN w:val="0"/>
            <w:adjustRightInd w:val="0"/>
            <w:spacing w:after="0" w:line="240" w:lineRule="auto"/>
          </w:pPr>
        </w:pPrChange>
      </w:pPr>
      <w:ins w:id="129" w:author="Khan, Zarrar" w:date="2020-04-07T13:55:00Z">
        <w:r w:rsidRPr="00D91857">
          <w:rPr>
            <w:rFonts w:ascii="Calibri Light" w:hAnsi="Calibri Light" w:cs="Calibri Light"/>
            <w:sz w:val="24"/>
            <w:rPrChange w:id="130" w:author="Khan, Zarrar" w:date="2020-04-07T13:55:00Z">
              <w:rPr/>
            </w:rPrChange>
          </w:rPr>
          <w:lastRenderedPageBreak/>
          <w:t>[7]</w:t>
        </w:r>
        <w:r w:rsidRPr="00D91857">
          <w:rPr>
            <w:rFonts w:ascii="Calibri Light" w:hAnsi="Calibri Light" w:cs="Calibri Light"/>
            <w:sz w:val="24"/>
            <w:rPrChange w:id="131" w:author="Khan, Zarrar" w:date="2020-04-07T13:55:00Z">
              <w:rPr/>
            </w:rPrChange>
          </w:rPr>
          <w:tab/>
          <w:t xml:space="preserve">Battery Pack Prices Fall </w:t>
        </w:r>
        <w:proofErr w:type="gramStart"/>
        <w:r w:rsidRPr="00D91857">
          <w:rPr>
            <w:rFonts w:ascii="Calibri Light" w:hAnsi="Calibri Light" w:cs="Calibri Light"/>
            <w:sz w:val="24"/>
            <w:rPrChange w:id="132" w:author="Khan, Zarrar" w:date="2020-04-07T13:55:00Z">
              <w:rPr/>
            </w:rPrChange>
          </w:rPr>
          <w:t>As</w:t>
        </w:r>
        <w:proofErr w:type="gramEnd"/>
        <w:r w:rsidRPr="00D91857">
          <w:rPr>
            <w:rFonts w:ascii="Calibri Light" w:hAnsi="Calibri Light" w:cs="Calibri Light"/>
            <w:sz w:val="24"/>
            <w:rPrChange w:id="133" w:author="Khan, Zarrar" w:date="2020-04-07T13:55:00Z">
              <w:rPr/>
            </w:rPrChange>
          </w:rPr>
          <w:t xml:space="preserve"> Market Ramps Up With Market Average At $156/kWh In 2019, </w:t>
        </w:r>
        <w:proofErr w:type="spellStart"/>
        <w:r w:rsidRPr="00D91857">
          <w:rPr>
            <w:rFonts w:ascii="Calibri Light" w:hAnsi="Calibri Light" w:cs="Calibri Light"/>
            <w:sz w:val="24"/>
            <w:rPrChange w:id="134" w:author="Khan, Zarrar" w:date="2020-04-07T13:55:00Z">
              <w:rPr/>
            </w:rPrChange>
          </w:rPr>
          <w:t>BloombergNEF</w:t>
        </w:r>
        <w:proofErr w:type="spellEnd"/>
        <w:r w:rsidRPr="00D91857">
          <w:rPr>
            <w:rFonts w:ascii="Calibri Light" w:hAnsi="Calibri Light" w:cs="Calibri Light"/>
            <w:sz w:val="24"/>
            <w:rPrChange w:id="135" w:author="Khan, Zarrar" w:date="2020-04-07T13:55:00Z">
              <w:rPr/>
            </w:rPrChange>
          </w:rPr>
          <w:t>. (2019). https://about.bnef.com/blog/battery-pack-prices-fall-as-market-ramps-up-with-market-average-at-156-kwh-in-2019/ (accessed January 28, 2020).</w:t>
        </w:r>
      </w:ins>
    </w:p>
    <w:p w14:paraId="7FF87595" w14:textId="77777777" w:rsidR="00D91857" w:rsidRPr="00D91857" w:rsidRDefault="00D91857" w:rsidP="00D91857">
      <w:pPr>
        <w:pStyle w:val="Bibliography"/>
        <w:rPr>
          <w:ins w:id="136" w:author="Khan, Zarrar" w:date="2020-04-07T13:55:00Z"/>
          <w:rFonts w:ascii="Calibri Light" w:hAnsi="Calibri Light" w:cs="Calibri Light"/>
          <w:sz w:val="24"/>
          <w:rPrChange w:id="137" w:author="Khan, Zarrar" w:date="2020-04-07T13:55:00Z">
            <w:rPr>
              <w:ins w:id="138" w:author="Khan, Zarrar" w:date="2020-04-07T13:55:00Z"/>
            </w:rPr>
          </w:rPrChange>
        </w:rPr>
        <w:pPrChange w:id="139" w:author="Khan, Zarrar" w:date="2020-04-07T13:55:00Z">
          <w:pPr>
            <w:widowControl w:val="0"/>
            <w:autoSpaceDE w:val="0"/>
            <w:autoSpaceDN w:val="0"/>
            <w:adjustRightInd w:val="0"/>
            <w:spacing w:after="0" w:line="240" w:lineRule="auto"/>
          </w:pPr>
        </w:pPrChange>
      </w:pPr>
      <w:ins w:id="140" w:author="Khan, Zarrar" w:date="2020-04-07T13:55:00Z">
        <w:r w:rsidRPr="00D91857">
          <w:rPr>
            <w:rFonts w:ascii="Calibri Light" w:hAnsi="Calibri Light" w:cs="Calibri Light"/>
            <w:sz w:val="24"/>
            <w:rPrChange w:id="141" w:author="Khan, Zarrar" w:date="2020-04-07T13:55:00Z">
              <w:rPr/>
            </w:rPrChange>
          </w:rPr>
          <w:t>[8]</w:t>
        </w:r>
        <w:r w:rsidRPr="00D91857">
          <w:rPr>
            <w:rFonts w:ascii="Calibri Light" w:hAnsi="Calibri Light" w:cs="Calibri Light"/>
            <w:sz w:val="24"/>
            <w:rPrChange w:id="142" w:author="Khan, Zarrar" w:date="2020-04-07T13:55:00Z">
              <w:rPr/>
            </w:rPrChange>
          </w:rPr>
          <w:tab/>
          <w:t xml:space="preserve">A. </w:t>
        </w:r>
        <w:proofErr w:type="spellStart"/>
        <w:r w:rsidRPr="00D91857">
          <w:rPr>
            <w:rFonts w:ascii="Calibri Light" w:hAnsi="Calibri Light" w:cs="Calibri Light"/>
            <w:sz w:val="24"/>
            <w:rPrChange w:id="143" w:author="Khan, Zarrar" w:date="2020-04-07T13:55:00Z">
              <w:rPr/>
            </w:rPrChange>
          </w:rPr>
          <w:t>Moawad</w:t>
        </w:r>
        <w:proofErr w:type="spellEnd"/>
        <w:r w:rsidRPr="00D91857">
          <w:rPr>
            <w:rFonts w:ascii="Calibri Light" w:hAnsi="Calibri Light" w:cs="Calibri Light"/>
            <w:sz w:val="24"/>
            <w:rPrChange w:id="144" w:author="Khan, Zarrar" w:date="2020-04-07T13:55:00Z">
              <w:rPr/>
            </w:rPrChange>
          </w:rPr>
          <w:t xml:space="preserve">, N. Kim, N. </w:t>
        </w:r>
        <w:proofErr w:type="spellStart"/>
        <w:r w:rsidRPr="00D91857">
          <w:rPr>
            <w:rFonts w:ascii="Calibri Light" w:hAnsi="Calibri Light" w:cs="Calibri Light"/>
            <w:sz w:val="24"/>
            <w:rPrChange w:id="145" w:author="Khan, Zarrar" w:date="2020-04-07T13:55:00Z">
              <w:rPr/>
            </w:rPrChange>
          </w:rPr>
          <w:t>Shidore</w:t>
        </w:r>
        <w:proofErr w:type="spellEnd"/>
        <w:r w:rsidRPr="00D91857">
          <w:rPr>
            <w:rFonts w:ascii="Calibri Light" w:hAnsi="Calibri Light" w:cs="Calibri Light"/>
            <w:sz w:val="24"/>
            <w:rPrChange w:id="146" w:author="Khan, Zarrar" w:date="2020-04-07T13:55:00Z">
              <w:rPr/>
            </w:rPrChange>
          </w:rPr>
          <w:t>, A. Rousseau, Assessment of Vehicle Sizing, Energy Consumption and Cost Through Large Scale Simulation of Advanced Vehicle Technologies, 2016. https://doi.org/10.2172/1245199.</w:t>
        </w:r>
      </w:ins>
    </w:p>
    <w:p w14:paraId="79C3D0FB" w14:textId="77777777" w:rsidR="00D91857" w:rsidRPr="00D91857" w:rsidRDefault="00D91857" w:rsidP="00D91857">
      <w:pPr>
        <w:pStyle w:val="Bibliography"/>
        <w:rPr>
          <w:ins w:id="147" w:author="Khan, Zarrar" w:date="2020-04-07T13:55:00Z"/>
          <w:rFonts w:ascii="Calibri Light" w:hAnsi="Calibri Light" w:cs="Calibri Light"/>
          <w:sz w:val="24"/>
          <w:rPrChange w:id="148" w:author="Khan, Zarrar" w:date="2020-04-07T13:55:00Z">
            <w:rPr>
              <w:ins w:id="149" w:author="Khan, Zarrar" w:date="2020-04-07T13:55:00Z"/>
            </w:rPr>
          </w:rPrChange>
        </w:rPr>
        <w:pPrChange w:id="150" w:author="Khan, Zarrar" w:date="2020-04-07T13:55:00Z">
          <w:pPr>
            <w:widowControl w:val="0"/>
            <w:autoSpaceDE w:val="0"/>
            <w:autoSpaceDN w:val="0"/>
            <w:adjustRightInd w:val="0"/>
            <w:spacing w:after="0" w:line="240" w:lineRule="auto"/>
          </w:pPr>
        </w:pPrChange>
      </w:pPr>
      <w:ins w:id="151" w:author="Khan, Zarrar" w:date="2020-04-07T13:55:00Z">
        <w:r w:rsidRPr="00D91857">
          <w:rPr>
            <w:rFonts w:ascii="Calibri Light" w:hAnsi="Calibri Light" w:cs="Calibri Light"/>
            <w:sz w:val="24"/>
            <w:rPrChange w:id="152" w:author="Khan, Zarrar" w:date="2020-04-07T13:55:00Z">
              <w:rPr/>
            </w:rPrChange>
          </w:rPr>
          <w:t>[9]</w:t>
        </w:r>
        <w:r w:rsidRPr="00D91857">
          <w:rPr>
            <w:rFonts w:ascii="Calibri Light" w:hAnsi="Calibri Light" w:cs="Calibri Light"/>
            <w:sz w:val="24"/>
            <w:rPrChange w:id="153" w:author="Khan, Zarrar" w:date="2020-04-07T13:55:00Z">
              <w:rPr/>
            </w:rPrChange>
          </w:rPr>
          <w:tab/>
          <w:t xml:space="preserve">H. Lee, G. </w:t>
        </w:r>
        <w:proofErr w:type="spellStart"/>
        <w:r w:rsidRPr="00D91857">
          <w:rPr>
            <w:rFonts w:ascii="Calibri Light" w:hAnsi="Calibri Light" w:cs="Calibri Light"/>
            <w:sz w:val="24"/>
            <w:rPrChange w:id="154" w:author="Khan, Zarrar" w:date="2020-04-07T13:55:00Z">
              <w:rPr/>
            </w:rPrChange>
          </w:rPr>
          <w:t>Lovellette</w:t>
        </w:r>
        <w:proofErr w:type="spellEnd"/>
        <w:r w:rsidRPr="00D91857">
          <w:rPr>
            <w:rFonts w:ascii="Calibri Light" w:hAnsi="Calibri Light" w:cs="Calibri Light"/>
            <w:sz w:val="24"/>
            <w:rPrChange w:id="155" w:author="Khan, Zarrar" w:date="2020-04-07T13:55:00Z">
              <w:rPr/>
            </w:rPrChange>
          </w:rPr>
          <w:t xml:space="preserve">, Will Electric Cars Transform the U.S. </w:t>
        </w:r>
        <w:proofErr w:type="gramStart"/>
        <w:r w:rsidRPr="00D91857">
          <w:rPr>
            <w:rFonts w:ascii="Calibri Light" w:hAnsi="Calibri Light" w:cs="Calibri Light"/>
            <w:sz w:val="24"/>
            <w:rPrChange w:id="156" w:author="Khan, Zarrar" w:date="2020-04-07T13:55:00Z">
              <w:rPr/>
            </w:rPrChange>
          </w:rPr>
          <w:t>Market?,</w:t>
        </w:r>
        <w:proofErr w:type="gramEnd"/>
        <w:r w:rsidRPr="00D91857">
          <w:rPr>
            <w:rFonts w:ascii="Calibri Light" w:hAnsi="Calibri Light" w:cs="Calibri Light"/>
            <w:sz w:val="24"/>
            <w:rPrChange w:id="157" w:author="Khan, Zarrar" w:date="2020-04-07T13:55:00Z">
              <w:rPr/>
            </w:rPrChange>
          </w:rPr>
          <w:t xml:space="preserve"> SSRN Journal. (2011). https://doi.org/10.2139/ssrn.1927351.</w:t>
        </w:r>
      </w:ins>
    </w:p>
    <w:p w14:paraId="68353720" w14:textId="77777777" w:rsidR="00D91857" w:rsidRPr="00D91857" w:rsidRDefault="00D91857" w:rsidP="00D91857">
      <w:pPr>
        <w:pStyle w:val="Bibliography"/>
        <w:rPr>
          <w:ins w:id="158" w:author="Khan, Zarrar" w:date="2020-04-07T13:55:00Z"/>
          <w:rFonts w:ascii="Calibri Light" w:hAnsi="Calibri Light" w:cs="Calibri Light"/>
          <w:sz w:val="24"/>
          <w:rPrChange w:id="159" w:author="Khan, Zarrar" w:date="2020-04-07T13:55:00Z">
            <w:rPr>
              <w:ins w:id="160" w:author="Khan, Zarrar" w:date="2020-04-07T13:55:00Z"/>
            </w:rPr>
          </w:rPrChange>
        </w:rPr>
        <w:pPrChange w:id="161" w:author="Khan, Zarrar" w:date="2020-04-07T13:55:00Z">
          <w:pPr>
            <w:widowControl w:val="0"/>
            <w:autoSpaceDE w:val="0"/>
            <w:autoSpaceDN w:val="0"/>
            <w:adjustRightInd w:val="0"/>
            <w:spacing w:after="0" w:line="240" w:lineRule="auto"/>
          </w:pPr>
        </w:pPrChange>
      </w:pPr>
      <w:ins w:id="162" w:author="Khan, Zarrar" w:date="2020-04-07T13:55:00Z">
        <w:r w:rsidRPr="00D91857">
          <w:rPr>
            <w:rFonts w:ascii="Calibri Light" w:hAnsi="Calibri Light" w:cs="Calibri Light"/>
            <w:sz w:val="24"/>
            <w:rPrChange w:id="163" w:author="Khan, Zarrar" w:date="2020-04-07T13:55:00Z">
              <w:rPr/>
            </w:rPrChange>
          </w:rPr>
          <w:t>[10]</w:t>
        </w:r>
        <w:r w:rsidRPr="00D91857">
          <w:rPr>
            <w:rFonts w:ascii="Calibri Light" w:hAnsi="Calibri Light" w:cs="Calibri Light"/>
            <w:sz w:val="24"/>
            <w:rPrChange w:id="164" w:author="Khan, Zarrar" w:date="2020-04-07T13:55:00Z">
              <w:rPr/>
            </w:rPrChange>
          </w:rPr>
          <w:tab/>
          <w:t xml:space="preserve">K.S. Gallagher, E. </w:t>
        </w:r>
        <w:proofErr w:type="spellStart"/>
        <w:r w:rsidRPr="00D91857">
          <w:rPr>
            <w:rFonts w:ascii="Calibri Light" w:hAnsi="Calibri Light" w:cs="Calibri Light"/>
            <w:sz w:val="24"/>
            <w:rPrChange w:id="165" w:author="Khan, Zarrar" w:date="2020-04-07T13:55:00Z">
              <w:rPr/>
            </w:rPrChange>
          </w:rPr>
          <w:t>Muehlegger</w:t>
        </w:r>
        <w:proofErr w:type="spellEnd"/>
        <w:r w:rsidRPr="00D91857">
          <w:rPr>
            <w:rFonts w:ascii="Calibri Light" w:hAnsi="Calibri Light" w:cs="Calibri Light"/>
            <w:sz w:val="24"/>
            <w:rPrChange w:id="166" w:author="Khan, Zarrar" w:date="2020-04-07T13:55:00Z">
              <w:rPr/>
            </w:rPrChange>
          </w:rPr>
          <w:t xml:space="preserve">, </w:t>
        </w:r>
        <w:proofErr w:type="gramStart"/>
        <w:r w:rsidRPr="00D91857">
          <w:rPr>
            <w:rFonts w:ascii="Calibri Light" w:hAnsi="Calibri Light" w:cs="Calibri Light"/>
            <w:sz w:val="24"/>
            <w:rPrChange w:id="167" w:author="Khan, Zarrar" w:date="2020-04-07T13:55:00Z">
              <w:rPr/>
            </w:rPrChange>
          </w:rPr>
          <w:t>Giving</w:t>
        </w:r>
        <w:proofErr w:type="gramEnd"/>
        <w:r w:rsidRPr="00D91857">
          <w:rPr>
            <w:rFonts w:ascii="Calibri Light" w:hAnsi="Calibri Light" w:cs="Calibri Light"/>
            <w:sz w:val="24"/>
            <w:rPrChange w:id="168" w:author="Khan, Zarrar" w:date="2020-04-07T13:55:00Z">
              <w:rPr/>
            </w:rPrChange>
          </w:rPr>
          <w:t xml:space="preserve"> green to get green? Incentives and consumer adoption of hybrid vehicle technology, Journal of Environmental Economics and Management. 61 (2011) 1–15. https://doi.org/10.1016/j.jeem.2010.05.004.</w:t>
        </w:r>
      </w:ins>
    </w:p>
    <w:p w14:paraId="375E8CB4" w14:textId="5C90AFE6" w:rsidR="005133FA" w:rsidRDefault="002A366A" w:rsidP="00F37E41">
      <w:pPr>
        <w:pStyle w:val="Heading1"/>
        <w:numPr>
          <w:ilvl w:val="0"/>
          <w:numId w:val="0"/>
        </w:numPr>
        <w:ind w:left="432" w:hanging="432"/>
      </w:pPr>
      <w:ins w:id="169" w:author="Khan, Zarrar" w:date="2020-04-07T13:41:00Z">
        <w:r w:rsidRPr="002A366A">
          <w:rPr>
            <w:sz w:val="24"/>
            <w:szCs w:val="24"/>
            <w:rPrChange w:id="170" w:author="Khan, Zarrar" w:date="2020-04-07T13:42:00Z">
              <w:rPr/>
            </w:rPrChange>
          </w:rPr>
          <w:fldChar w:fldCharType="end"/>
        </w:r>
      </w:ins>
      <w:r w:rsidR="005133FA">
        <w:br w:type="page"/>
      </w:r>
      <w:bookmarkStart w:id="171" w:name="_GoBack"/>
      <w:bookmarkEnd w:id="171"/>
    </w:p>
    <w:p w14:paraId="3C7E2A2F" w14:textId="24FE40EB" w:rsidR="00F37E41" w:rsidRDefault="005133FA" w:rsidP="00922CD6">
      <w:pPr>
        <w:pStyle w:val="Heading1"/>
        <w:numPr>
          <w:ilvl w:val="0"/>
          <w:numId w:val="0"/>
        </w:numPr>
        <w:ind w:left="432" w:hanging="432"/>
        <w:jc w:val="center"/>
      </w:pPr>
      <w:bookmarkStart w:id="172" w:name="_Toc36643845"/>
      <w:r>
        <w:lastRenderedPageBreak/>
        <w:t>Appendi</w:t>
      </w:r>
      <w:r w:rsidR="00F15425">
        <w:t>ces</w:t>
      </w:r>
      <w:bookmarkEnd w:id="172"/>
    </w:p>
    <w:p w14:paraId="5F7A3EA5" w14:textId="47346274" w:rsidR="005133FA" w:rsidRDefault="005133FA" w:rsidP="00AB7F69">
      <w:pPr>
        <w:pStyle w:val="Heading1"/>
      </w:pPr>
      <w:bookmarkStart w:id="173" w:name="_Toc36643846"/>
      <w:r>
        <w:t>Pakistan-specific changes to core GCAM</w:t>
      </w:r>
      <w:bookmarkEnd w:id="173"/>
    </w:p>
    <w:p w14:paraId="20FC5D37" w14:textId="55D5ADFA" w:rsidR="00E8474E" w:rsidRDefault="00E8474E" w:rsidP="00E8474E">
      <w:pPr>
        <w:pStyle w:val="Heading2"/>
      </w:pPr>
      <w:bookmarkStart w:id="174" w:name="_Toc36643847"/>
      <w:bookmarkStart w:id="175" w:name="_Toc35334621"/>
      <w:r>
        <w:t>Socioeconomic assumptions</w:t>
      </w:r>
      <w:bookmarkEnd w:id="174"/>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176" w:name="_Toc36643848"/>
      <w:r w:rsidRPr="007C2950">
        <w:t>Power sector changes</w:t>
      </w:r>
      <w:bookmarkEnd w:id="175"/>
      <w:bookmarkEnd w:id="176"/>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177" w:name="_Toc36643849"/>
      <w:r>
        <w:t>Fossil Generation</w:t>
      </w:r>
      <w:bookmarkEnd w:id="177"/>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178" w:name="_Toc36643850"/>
      <w:r>
        <w:t>Hydropower</w:t>
      </w:r>
      <w:bookmarkEnd w:id="178"/>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179" w:name="_Toc36643851"/>
      <w:r>
        <w:t>Nuclear</w:t>
      </w:r>
      <w:bookmarkEnd w:id="179"/>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180" w:name="_Toc35334622"/>
      <w:bookmarkStart w:id="181" w:name="_Toc36643852"/>
      <w:r w:rsidRPr="007C2950">
        <w:t>Industry changes</w:t>
      </w:r>
      <w:bookmarkEnd w:id="180"/>
      <w:bookmarkEnd w:id="181"/>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182" w:name="_Toc36643853"/>
      <w:bookmarkStart w:id="183" w:name="_Toc35334624"/>
      <w:r>
        <w:t>Transportation changes</w:t>
      </w:r>
      <w:bookmarkEnd w:id="182"/>
      <w:r>
        <w:t xml:space="preserve"> </w:t>
      </w:r>
      <w:bookmarkEnd w:id="183"/>
    </w:p>
    <w:p w14:paraId="2302373D" w14:textId="51166C06" w:rsidR="00752FC3" w:rsidRDefault="00622FA7" w:rsidP="00752FC3">
      <w:pPr>
        <w:pStyle w:val="Heading3"/>
      </w:pPr>
      <w:bookmarkStart w:id="184" w:name="_Toc36643854"/>
      <w:r>
        <w:t>General updates to transportation assumptions</w:t>
      </w:r>
      <w:bookmarkEnd w:id="184"/>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44F6B722"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ins w:id="185" w:author="Khan, Zarrar" w:date="2020-04-07T13:55:00Z">
        <w:r w:rsidR="00D91857">
          <w:instrText xml:space="preserve"> ADDIN ZOTERO_ITEM CSL_CITATION {"citationID":"xGjc6WQ3","properties":{"formattedCitation":"[2]","plainCitation":"[2]","noteIndex":0},"citationItems":[{"id":"cOY8Uh8c/sMwHa6AO","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186" w:author="Khan, Zarrar" w:date="2020-04-07T13:29:00Z">
        <w:r w:rsidR="00D05018" w:rsidDel="00E6409A">
          <w:delInstrText xml:space="preserve"> ADDIN ZOTERO_ITEM CSL_CITATION {"citationID":"xGjc6WQ3","properties":{"formattedCitation":"(Jadun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rsidR="00D05018">
        <w:fldChar w:fldCharType="separate"/>
      </w:r>
      <w:ins w:id="187" w:author="Khan, Zarrar" w:date="2020-04-07T13:55:00Z">
        <w:r w:rsidR="00D91857" w:rsidRPr="00D91857">
          <w:rPr>
            <w:rFonts w:ascii="Calibri" w:hAnsi="Calibri" w:cs="Calibri"/>
            <w:rPrChange w:id="188" w:author="Khan, Zarrar" w:date="2020-04-07T13:55:00Z">
              <w:rPr/>
            </w:rPrChange>
          </w:rPr>
          <w:t>[2]</w:t>
        </w:r>
      </w:ins>
      <w:del w:id="189" w:author="Khan, Zarrar" w:date="2020-04-07T13:29:00Z">
        <w:r w:rsidR="00D05018" w:rsidRPr="00D91857" w:rsidDel="00E6409A">
          <w:rPr>
            <w:rPrChange w:id="190" w:author="Khan, Zarrar" w:date="2020-04-07T13:55:00Z">
              <w:rPr>
                <w:rFonts w:ascii="Calibri" w:hAnsi="Calibri" w:cs="Calibri"/>
              </w:rPr>
            </w:rPrChange>
          </w:rPr>
          <w:delText>(Jadun et al. 2017)</w:delText>
        </w:r>
      </w:del>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 xml:space="preserve">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w:t>
      </w:r>
      <w:ins w:id="191" w:author="Khan, Zarrar" w:date="2020-04-07T12:31:00Z">
        <w:r w:rsidR="003B37EB">
          <w:t xml:space="preserve">to </w:t>
        </w:r>
      </w:ins>
      <w:r w:rsidR="00F506EF">
        <w:t>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192" w:name="_Toc35334627"/>
      <w:bookmarkStart w:id="193" w:name="_Toc36643856"/>
      <w:r w:rsidRPr="0014425F">
        <w:lastRenderedPageBreak/>
        <w:t xml:space="preserve">Battery cost curves update </w:t>
      </w:r>
      <w:bookmarkEnd w:id="192"/>
      <w:bookmarkEnd w:id="193"/>
    </w:p>
    <w:p w14:paraId="07CE4053" w14:textId="514284BC"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ins w:id="194" w:author="Khan, Zarrar" w:date="2020-04-07T13:55:00Z">
        <w:r w:rsidR="00D91857">
          <w:instrText xml:space="preserve"> ADDIN ZOTERO_ITEM CSL_CITATION {"citationID":"Z6hqkRuW","properties":{"formattedCitation":"[3\\uc0\\u8211{}6]","plainCitation":"[3–6]","noteIndex":0},"citationItems":[{"id":"cOY8Uh8c/SjROwcNd","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cOY8Uh8c/kEXAJnoH","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Mierlo","given":"Joeri"}],"issued":{"date-parts":[["2017",9]]}}},{"id":"cOY8Uh8c/n7sI8m2j","uris":["http://zotero.org/users/local/GpkrhFR0/items/57PEF9EY"],"uri":["http://zotero.org/users/local/GpkrhFR0/items/57PEF9EY"],"itemData":{"id":66,"type":"webpage","abstract":"One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cOY8Uh8c/FAONcuFl","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ins>
      <w:del w:id="195" w:author="Khan, Zarrar" w:date="2020-04-07T13:29:00Z">
        <w:r w:rsidR="00360777" w:rsidDel="00E6409A">
          <w:del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2017)","noteIndex":0},"citationItems":[{"id":64,"uris":["http://zotero.org/users/local/GpkrhFR0/items/XUQVTWMD"],"uri":["http://zotero.org/users/local/GpkrhFR0/items/XUQVTWMD"],"itemData":{"id":64,"type":"webpage","abstract":"Automakers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delInstrText>
        </w:r>
      </w:del>
      <w:r w:rsidR="00F770AD">
        <w:fldChar w:fldCharType="separate"/>
      </w:r>
      <w:ins w:id="196" w:author="Khan, Zarrar" w:date="2020-04-07T13:55:00Z">
        <w:r w:rsidR="00D91857" w:rsidRPr="00D91857">
          <w:rPr>
            <w:rFonts w:ascii="Calibri" w:hAnsi="Calibri" w:cs="Calibri"/>
            <w:szCs w:val="24"/>
            <w:rPrChange w:id="197" w:author="Khan, Zarrar" w:date="2020-04-07T13:55:00Z">
              <w:rPr>
                <w:rFonts w:ascii="Times New Roman" w:hAnsi="Times New Roman" w:cs="Times New Roman"/>
                <w:sz w:val="24"/>
                <w:szCs w:val="24"/>
              </w:rPr>
            </w:rPrChange>
          </w:rPr>
          <w:t>[3–6]</w:t>
        </w:r>
      </w:ins>
      <w:del w:id="198" w:author="Khan, Zarrar" w:date="2020-04-07T13:41:00Z">
        <w:r w:rsidR="00360777" w:rsidRPr="00D91857" w:rsidDel="002A366A">
          <w:rPr>
            <w:rPrChange w:id="199" w:author="Khan, Zarrar" w:date="2020-04-07T13:52:00Z">
              <w:rPr>
                <w:rFonts w:ascii="Calibri" w:hAnsi="Calibri" w:cs="Calibri"/>
              </w:rPr>
            </w:rPrChange>
          </w:rPr>
          <w:delText>(Goldie-Scot 2019; Berckmans et al. 2017; Holland 2018; Kittner, Lill, and Kammen 2017)</w:delText>
        </w:r>
      </w:del>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ins w:id="200" w:author="Khan, Zarrar" w:date="2020-04-07T13:55:00Z">
        <w:r w:rsidR="00D91857">
          <w:instrText xml:space="preserve"> ADDIN ZOTERO_ITEM CSL_CITATION {"citationID":"6xLhei4L","properties":{"formattedCitation":"[7]","plainCitation":"[7]","noteIndex":0},"citationItems":[{"id":"cOY8Uh8c/Aolhdxa3","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ins>
      <w:del w:id="201" w:author="Khan, Zarrar" w:date="2020-04-07T13:29:00Z">
        <w:r w:rsidR="00B84989" w:rsidDel="00E6409A">
          <w:del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delInstrText>
        </w:r>
      </w:del>
      <w:r w:rsidR="00B84989">
        <w:fldChar w:fldCharType="separate"/>
      </w:r>
      <w:ins w:id="202" w:author="Khan, Zarrar" w:date="2020-04-07T13:55:00Z">
        <w:r w:rsidR="00D91857" w:rsidRPr="00D91857">
          <w:rPr>
            <w:rFonts w:ascii="Calibri" w:hAnsi="Calibri" w:cs="Calibri"/>
            <w:rPrChange w:id="203" w:author="Khan, Zarrar" w:date="2020-04-07T13:55:00Z">
              <w:rPr/>
            </w:rPrChange>
          </w:rPr>
          <w:t>[7]</w:t>
        </w:r>
      </w:ins>
      <w:del w:id="204" w:author="Khan, Zarrar" w:date="2020-04-07T13:29:00Z">
        <w:r w:rsidR="00B84989" w:rsidRPr="00D91857" w:rsidDel="00E6409A">
          <w:rPr>
            <w:rPrChange w:id="205" w:author="Khan, Zarrar" w:date="2020-04-07T13:55:00Z">
              <w:rPr>
                <w:rFonts w:ascii="Calibri" w:hAnsi="Calibri" w:cs="Calibri"/>
                <w:szCs w:val="24"/>
              </w:rPr>
            </w:rPrChange>
          </w:rPr>
          <w:delText>(BNEF 2019)</w:delText>
        </w:r>
      </w:del>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ins w:id="206" w:author="Khan, Zarrar" w:date="2020-04-07T13:55:00Z">
        <w:r w:rsidR="00D91857">
          <w:instrText xml:space="preserve"> ADDIN ZOTERO_ITEM CSL_CITATION {"citationID":"uElhHbPS","properties":{"formattedCitation":"[2]","plainCitation":"[2]","noteIndex":0},"citationItems":[{"id":"cOY8Uh8c/sMwHa6AO","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ins>
      <w:del w:id="207" w:author="Khan, Zarrar" w:date="2020-04-07T13:29:00Z">
        <w:r w:rsidR="00D05018" w:rsidDel="00E6409A">
          <w:delInstrText xml:space="preserve"> ADDIN ZOTERO_ITEM CSL_CITATION {"citationID":"uElhHbPS","properties":{"formattedCitation":"(Jadun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delInstrText>
        </w:r>
      </w:del>
      <w:r w:rsidR="00D05018">
        <w:fldChar w:fldCharType="separate"/>
      </w:r>
      <w:ins w:id="208" w:author="Khan, Zarrar" w:date="2020-04-07T13:55:00Z">
        <w:r w:rsidR="00D91857" w:rsidRPr="00D91857">
          <w:rPr>
            <w:rFonts w:ascii="Calibri" w:hAnsi="Calibri" w:cs="Calibri"/>
            <w:rPrChange w:id="209" w:author="Khan, Zarrar" w:date="2020-04-07T13:55:00Z">
              <w:rPr/>
            </w:rPrChange>
          </w:rPr>
          <w:t>[2]</w:t>
        </w:r>
      </w:ins>
      <w:del w:id="210" w:author="Khan, Zarrar" w:date="2020-04-07T13:29:00Z">
        <w:r w:rsidR="00D05018" w:rsidRPr="00D91857" w:rsidDel="00E6409A">
          <w:rPr>
            <w:rPrChange w:id="211" w:author="Khan, Zarrar" w:date="2020-04-07T13:55:00Z">
              <w:rPr>
                <w:rFonts w:ascii="Calibri" w:hAnsi="Calibri" w:cs="Calibri"/>
              </w:rPr>
            </w:rPrChange>
          </w:rPr>
          <w:delText>(Jadun et al. 2017)</w:delText>
        </w:r>
      </w:del>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212" w:name="_Toc35334628"/>
      <w:r>
        <w:t xml:space="preserve">Battery </w:t>
      </w:r>
      <w:proofErr w:type="spellStart"/>
      <w:r>
        <w:t>vintaging</w:t>
      </w:r>
      <w:proofErr w:type="spellEnd"/>
      <w:r>
        <w:t xml:space="preserve"> factors</w:t>
      </w:r>
      <w:bookmarkEnd w:id="212"/>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lastRenderedPageBreak/>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213" w:name="_Toc35334629"/>
      <w:bookmarkStart w:id="214" w:name="_Toc36643857"/>
      <w:r w:rsidRPr="00C808A6">
        <w:rPr>
          <w:rStyle w:val="Heading2Char"/>
          <w:b/>
          <w:bCs/>
          <w:smallCaps w:val="0"/>
          <w:sz w:val="22"/>
          <w:szCs w:val="22"/>
        </w:rPr>
        <w:t>4W LDVs</w:t>
      </w:r>
      <w:bookmarkEnd w:id="213"/>
      <w:bookmarkEnd w:id="214"/>
    </w:p>
    <w:p w14:paraId="2DE7E020" w14:textId="2FD82A83"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ins w:id="215" w:author="Khan, Zarrar" w:date="2020-04-07T13:55:00Z">
        <w:r w:rsidR="00D91857">
          <w:instrText xml:space="preserve"> ADDIN ZOTERO_ITEM CSL_CITATION {"citationID":"CcqBjJsB","properties":{"formattedCitation":"[8]","plainCitation":"[8]","noteIndex":0},"citationItems":[{"id":"cOY8Uh8c/Ulrc1rn5","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ins>
      <w:del w:id="216" w:author="Khan, Zarrar" w:date="2020-04-07T13:29:00Z">
        <w:r w:rsidR="00764872" w:rsidDel="00E6409A">
          <w:del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delInstrText>
        </w:r>
      </w:del>
      <w:r w:rsidR="00764872">
        <w:fldChar w:fldCharType="separate"/>
      </w:r>
      <w:ins w:id="217" w:author="Khan, Zarrar" w:date="2020-04-07T13:55:00Z">
        <w:r w:rsidR="00D91857" w:rsidRPr="00D91857">
          <w:rPr>
            <w:rFonts w:ascii="Calibri" w:hAnsi="Calibri" w:cs="Calibri"/>
            <w:rPrChange w:id="218" w:author="Khan, Zarrar" w:date="2020-04-07T13:55:00Z">
              <w:rPr/>
            </w:rPrChange>
          </w:rPr>
          <w:t>[8]</w:t>
        </w:r>
      </w:ins>
      <w:del w:id="219" w:author="Khan, Zarrar" w:date="2020-04-07T13:41:00Z">
        <w:r w:rsidR="00764872" w:rsidRPr="00D91857" w:rsidDel="002A366A">
          <w:rPr>
            <w:rPrChange w:id="220" w:author="Khan, Zarrar" w:date="2020-04-07T13:55:00Z">
              <w:rPr>
                <w:rFonts w:ascii="Calibri" w:hAnsi="Calibri" w:cs="Calibri"/>
              </w:rPr>
            </w:rPrChange>
          </w:rPr>
          <w:delText>(Moawad et al. 2016)</w:delText>
        </w:r>
      </w:del>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221" w:name="_Toc35334630"/>
      <w:bookmarkStart w:id="222" w:name="_Toc36643858"/>
      <w:r w:rsidRPr="00C808A6">
        <w:rPr>
          <w:rStyle w:val="Heading2Char"/>
          <w:b/>
          <w:bCs/>
          <w:smallCaps w:val="0"/>
          <w:sz w:val="22"/>
          <w:szCs w:val="22"/>
        </w:rPr>
        <w:t>2-wheelers</w:t>
      </w:r>
      <w:bookmarkEnd w:id="221"/>
      <w:bookmarkEnd w:id="222"/>
    </w:p>
    <w:p w14:paraId="7C62F629" w14:textId="6E79BAF3"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ins w:id="223" w:author="Khan, Zarrar" w:date="2020-04-07T13:55:00Z">
        <w:r w:rsidR="00D91857">
          <w:instrText xml:space="preserve"> ADDIN ZOTERO_ITEM CSL_CITATION {"citationID":"EnXWIHa2","properties":{"formattedCitation":"[8]","plainCitation":"[8]","noteIndex":0},"citationItems":[{"id":"cOY8Uh8c/Ulrc1rn5","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ins>
      <w:del w:id="224" w:author="Khan, Zarrar" w:date="2020-04-07T13:29:00Z">
        <w:r w:rsidR="00764872" w:rsidDel="00E6409A">
          <w:del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delInstrText>
        </w:r>
      </w:del>
      <w:r w:rsidR="00764872">
        <w:fldChar w:fldCharType="separate"/>
      </w:r>
      <w:ins w:id="225" w:author="Khan, Zarrar" w:date="2020-04-07T13:55:00Z">
        <w:r w:rsidR="00D91857" w:rsidRPr="00D91857">
          <w:rPr>
            <w:rFonts w:ascii="Calibri" w:hAnsi="Calibri" w:cs="Calibri"/>
            <w:rPrChange w:id="226" w:author="Khan, Zarrar" w:date="2020-04-07T13:55:00Z">
              <w:rPr/>
            </w:rPrChange>
          </w:rPr>
          <w:t>[8]</w:t>
        </w:r>
      </w:ins>
      <w:del w:id="227" w:author="Khan, Zarrar" w:date="2020-04-07T13:41:00Z">
        <w:r w:rsidR="00764872" w:rsidRPr="00D91857" w:rsidDel="002A366A">
          <w:rPr>
            <w:rPrChange w:id="228" w:author="Khan, Zarrar" w:date="2020-04-07T13:55:00Z">
              <w:rPr>
                <w:rFonts w:ascii="Calibri" w:hAnsi="Calibri" w:cs="Calibri"/>
              </w:rPr>
            </w:rPrChange>
          </w:rPr>
          <w:delText>(Moawad et al. 2016)</w:delText>
        </w:r>
      </w:del>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229" w:name="_Toc35334631"/>
    </w:p>
    <w:p w14:paraId="00FFE0A3" w14:textId="77777777" w:rsidR="000017DB" w:rsidRPr="00C808A6" w:rsidRDefault="00C45DD4" w:rsidP="00C808A6">
      <w:pPr>
        <w:pStyle w:val="Heading4"/>
      </w:pPr>
      <w:bookmarkStart w:id="230" w:name="_Toc36643859"/>
      <w:r w:rsidRPr="00C808A6">
        <w:rPr>
          <w:rStyle w:val="Heading2Char"/>
          <w:b/>
          <w:bCs/>
          <w:smallCaps w:val="0"/>
          <w:sz w:val="22"/>
          <w:szCs w:val="22"/>
        </w:rPr>
        <w:t>3-wheelers</w:t>
      </w:r>
      <w:bookmarkEnd w:id="229"/>
      <w:bookmarkEnd w:id="230"/>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231" w:name="_Toc35334632"/>
      <w:bookmarkStart w:id="232" w:name="_Toc36643860"/>
      <w:r w:rsidRPr="00C808A6">
        <w:rPr>
          <w:rStyle w:val="Heading2Char"/>
          <w:b/>
          <w:bCs/>
          <w:smallCaps w:val="0"/>
          <w:sz w:val="22"/>
          <w:szCs w:val="22"/>
        </w:rPr>
        <w:lastRenderedPageBreak/>
        <w:t>Trucks</w:t>
      </w:r>
      <w:bookmarkEnd w:id="231"/>
      <w:bookmarkEnd w:id="232"/>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233" w:name="_Toc35334633"/>
      <w:bookmarkStart w:id="234" w:name="_Toc36643861"/>
      <w:r w:rsidRPr="00C808A6">
        <w:rPr>
          <w:rStyle w:val="Heading2Char"/>
          <w:b/>
          <w:bCs/>
          <w:smallCaps w:val="0"/>
          <w:sz w:val="22"/>
          <w:szCs w:val="22"/>
        </w:rPr>
        <w:t>Buses</w:t>
      </w:r>
      <w:bookmarkEnd w:id="233"/>
      <w:bookmarkEnd w:id="234"/>
    </w:p>
    <w:p w14:paraId="55F05D43" w14:textId="51012CA0"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C45DD4">
        <w:rPr>
          <w:rStyle w:val="EndnoteReference"/>
        </w:rPr>
        <w:endnoteReference w:id="3"/>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2CB7EBB1" w14:textId="77777777" w:rsidR="00C45DD4" w:rsidRDefault="00C45DD4" w:rsidP="004A2861">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77EAF0C" w14:textId="77777777" w:rsidR="00FC3E5A" w:rsidRDefault="00FC3E5A" w:rsidP="00FC3E5A">
      <w:pPr>
        <w:pStyle w:val="Heading3"/>
      </w:pPr>
      <w:bookmarkStart w:id="235" w:name="_Toc36643855"/>
      <w:bookmarkStart w:id="236" w:name="_Toc35334623"/>
      <w:bookmarkStart w:id="237" w:name="_Toc36643862"/>
      <w:r>
        <w:t>Pakistan-specific transportation changes</w:t>
      </w:r>
      <w:bookmarkEnd w:id="235"/>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lastRenderedPageBreak/>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t xml:space="preserve">The GCAM data system uses a default discount rate of 10% for consumer vehicle purchases. It should be noted that this value is only used to calculate a fixed charge rate, which converts capital costs to </w:t>
      </w:r>
      <w:r>
        <w:lastRenderedPageBreak/>
        <w:t>annualized costs as part of the levelized cost calculation. We change the discount rate to 15%, based on loan rates of 20-21% in Pakistan today</w:t>
      </w:r>
      <w:r>
        <w:rPr>
          <w:rStyle w:val="FootnoteReference"/>
        </w:rPr>
        <w:footnoteReference w:id="6"/>
      </w:r>
      <w:r>
        <w:t xml:space="preserve"> and average inflation of 5.5% over the past five years.</w:t>
      </w:r>
      <w:r>
        <w:rPr>
          <w:rStyle w:val="FootnoteReference"/>
        </w:rPr>
        <w:footnoteReference w:id="7"/>
      </w:r>
    </w:p>
    <w:p w14:paraId="25199594" w14:textId="77777777" w:rsidR="005133FA" w:rsidRDefault="005133FA" w:rsidP="005133FA">
      <w:pPr>
        <w:pStyle w:val="Heading1"/>
      </w:pPr>
      <w:r>
        <w:t>EV analysis</w:t>
      </w:r>
      <w:bookmarkEnd w:id="236"/>
      <w:bookmarkEnd w:id="237"/>
    </w:p>
    <w:p w14:paraId="3A8BB96E" w14:textId="77777777" w:rsidR="005133FA" w:rsidRDefault="005133FA" w:rsidP="005133FA"/>
    <w:p w14:paraId="1D5579F2" w14:textId="77777777" w:rsidR="005133FA" w:rsidRDefault="005133FA" w:rsidP="005133FA">
      <w:pPr>
        <w:pStyle w:val="Heading2"/>
      </w:pPr>
      <w:bookmarkStart w:id="238" w:name="_Toc35334625"/>
      <w:bookmarkStart w:id="239" w:name="_Toc36643863"/>
      <w:r>
        <w:t>Policy scenarios</w:t>
      </w:r>
      <w:bookmarkEnd w:id="238"/>
      <w:bookmarkEnd w:id="239"/>
      <w:r>
        <w:t xml:space="preserve"> </w:t>
      </w:r>
    </w:p>
    <w:p w14:paraId="7333E93D" w14:textId="56BABDD3" w:rsidR="005133FA" w:rsidRDefault="005133FA"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240"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240"/>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lastRenderedPageBreak/>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27032D3B" w14:textId="7885A4A0" w:rsidR="003A1751"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 xml:space="preserve">We use the cost assumptions for multipurpose vehicles (under the Moderate Advancement scenario) to estimate the </w:t>
      </w:r>
      <w:r w:rsidR="00B2180A">
        <w:lastRenderedPageBreak/>
        <w:t>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241" w:name="_Toc35334626"/>
      <w:bookmarkStart w:id="242" w:name="_Toc36643864"/>
      <w:r>
        <w:t>Sensitivity analysis</w:t>
      </w:r>
      <w:bookmarkEnd w:id="241"/>
      <w:bookmarkEnd w:id="242"/>
    </w:p>
    <w:p w14:paraId="1562CA04" w14:textId="350DB52F"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ins w:id="243" w:author="Khan, Zarrar" w:date="2020-04-07T13:55:00Z">
        <w:r w:rsidR="00D91857">
          <w:instrText xml:space="preserve"> ADDIN ZOTERO_ITEM CSL_CITATION {"citationID":"kkQBFDhg","properties":{"formattedCitation":"[9,10]","plainCitation":"[9,10]","noteIndex":0},"citationItems":[{"id":"cOY8Uh8c/0spwpwi6","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cOY8Uh8c/qXxMsjVV","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ins>
      <w:del w:id="244" w:author="Khan, Zarrar" w:date="2020-04-07T13:29:00Z">
        <w:r w:rsidR="0099184B" w:rsidDel="00E6409A">
          <w:del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delInstrText>
        </w:r>
      </w:del>
      <w:r w:rsidR="0099184B">
        <w:fldChar w:fldCharType="separate"/>
      </w:r>
      <w:ins w:id="245" w:author="Khan, Zarrar" w:date="2020-04-07T13:55:00Z">
        <w:r w:rsidR="00D91857" w:rsidRPr="00D91857">
          <w:rPr>
            <w:rFonts w:ascii="Calibri" w:hAnsi="Calibri" w:cs="Calibri"/>
            <w:rPrChange w:id="246" w:author="Khan, Zarrar" w:date="2020-04-07T13:55:00Z">
              <w:rPr/>
            </w:rPrChange>
          </w:rPr>
          <w:t>[9,10]</w:t>
        </w:r>
      </w:ins>
      <w:del w:id="247" w:author="Khan, Zarrar" w:date="2020-04-07T13:41:00Z">
        <w:r w:rsidR="0099184B" w:rsidRPr="00D91857" w:rsidDel="002A366A">
          <w:rPr>
            <w:rPrChange w:id="248" w:author="Khan, Zarrar" w:date="2020-04-07T13:55:00Z">
              <w:rPr>
                <w:rFonts w:ascii="Calibri" w:hAnsi="Calibri" w:cs="Calibri"/>
              </w:rPr>
            </w:rPrChange>
          </w:rPr>
          <w:delText>(Lee and Lovellette 2011; Gallagher and Muehlegger 2011)</w:delText>
        </w:r>
      </w:del>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67A9B" w14:textId="77777777" w:rsidR="00435BCB" w:rsidRDefault="00435BCB" w:rsidP="00F7514B">
      <w:pPr>
        <w:spacing w:after="0" w:line="240" w:lineRule="auto"/>
      </w:pPr>
      <w:r>
        <w:separator/>
      </w:r>
    </w:p>
  </w:endnote>
  <w:endnote w:type="continuationSeparator" w:id="0">
    <w:p w14:paraId="1F298917" w14:textId="77777777" w:rsidR="00435BCB" w:rsidRDefault="00435BCB"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9D128E"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9D128E" w:rsidRPr="00713220" w:rsidRDefault="009D128E"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9D128E"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9D128E" w:rsidRPr="006440D5" w:rsidRDefault="009D128E" w:rsidP="00843BE2">
            <w:pPr>
              <w:pStyle w:val="ListParagraph"/>
              <w:spacing w:after="0" w:line="240" w:lineRule="auto"/>
              <w:rPr>
                <w:rFonts w:eastAsia="Times New Roman" w:cstheme="minorHAnsi"/>
                <w:color w:val="000000"/>
                <w:sz w:val="20"/>
                <w:szCs w:val="20"/>
              </w:rPr>
            </w:pPr>
          </w:p>
        </w:tc>
      </w:tr>
      <w:tr w:rsidR="009D128E"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9D128E" w:rsidRPr="006440D5" w:rsidRDefault="009D128E"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9D128E"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9D128E" w:rsidRPr="00D05018" w:rsidRDefault="009D128E" w:rsidP="00D05018">
            <w:pPr>
              <w:spacing w:after="0" w:line="240" w:lineRule="auto"/>
              <w:rPr>
                <w:rFonts w:eastAsia="Times New Roman" w:cstheme="minorHAnsi"/>
                <w:color w:val="000000"/>
                <w:sz w:val="20"/>
                <w:szCs w:val="20"/>
              </w:rPr>
            </w:pPr>
          </w:p>
        </w:tc>
      </w:tr>
      <w:tr w:rsidR="009D128E"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9D128E" w:rsidRPr="006440D5" w:rsidRDefault="009D128E"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9D128E" w:rsidRPr="006440D5" w:rsidRDefault="009D128E" w:rsidP="00315409">
      <w:pPr>
        <w:pStyle w:val="EndnoteText"/>
      </w:pPr>
    </w:p>
  </w:endnote>
  <w:endnote w:id="2">
    <w:p w14:paraId="21122BC2" w14:textId="77777777" w:rsidR="009D128E" w:rsidRDefault="009D128E"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9D128E" w:rsidRDefault="009D128E" w:rsidP="00C45DD4">
      <w:pPr>
        <w:pStyle w:val="EndnoteText"/>
      </w:pPr>
      <w:r>
        <w:rPr>
          <w:rStyle w:val="EndnoteReference"/>
        </w:rPr>
        <w:endnoteRef/>
      </w:r>
      <w:r>
        <w:t xml:space="preserve"> Sources:</w:t>
      </w:r>
    </w:p>
    <w:p w14:paraId="13A8E0D2" w14:textId="77777777" w:rsidR="009D128E" w:rsidRPr="00A849A0" w:rsidRDefault="009D128E"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9D128E" w:rsidRPr="00A849A0" w:rsidRDefault="009D128E"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9D128E" w:rsidRPr="008D7301" w:rsidRDefault="009D128E"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9D128E" w:rsidRDefault="009D128E"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9D128E" w:rsidRDefault="009D12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9D128E" w:rsidRDefault="009D1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AB90E" w14:textId="77777777" w:rsidR="00435BCB" w:rsidRDefault="00435BCB" w:rsidP="00F7514B">
      <w:pPr>
        <w:spacing w:after="0" w:line="240" w:lineRule="auto"/>
      </w:pPr>
      <w:r>
        <w:separator/>
      </w:r>
    </w:p>
  </w:footnote>
  <w:footnote w:type="continuationSeparator" w:id="0">
    <w:p w14:paraId="377ECB60" w14:textId="77777777" w:rsidR="00435BCB" w:rsidRDefault="00435BCB" w:rsidP="00F7514B">
      <w:pPr>
        <w:spacing w:after="0" w:line="240" w:lineRule="auto"/>
      </w:pPr>
      <w:r>
        <w:continuationSeparator/>
      </w:r>
    </w:p>
  </w:footnote>
  <w:footnote w:id="1">
    <w:p w14:paraId="1EF90BC1" w14:textId="77777777" w:rsidR="009D128E" w:rsidRDefault="009D128E"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9D128E" w:rsidRDefault="009D128E">
      <w:pPr>
        <w:pStyle w:val="FootnoteText"/>
      </w:pPr>
      <w:r>
        <w:rPr>
          <w:rStyle w:val="FootnoteReference"/>
        </w:rPr>
        <w:footnoteRef/>
      </w:r>
      <w:r>
        <w:t xml:space="preserve"> See appendix A.3 for details on updates to transportation assumptions.</w:t>
      </w:r>
    </w:p>
  </w:footnote>
  <w:footnote w:id="3">
    <w:p w14:paraId="294D9528" w14:textId="77777777" w:rsidR="009D128E" w:rsidRDefault="009D128E"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9D128E" w:rsidRPr="00DA38D4" w:rsidRDefault="009D128E"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9D128E" w:rsidRDefault="009D128E" w:rsidP="00E8474E">
      <w:pPr>
        <w:pStyle w:val="FootnoteText"/>
      </w:pPr>
    </w:p>
  </w:footnote>
  <w:footnote w:id="5">
    <w:p w14:paraId="109E79B4" w14:textId="59C077CE" w:rsidR="009D128E" w:rsidRDefault="009D128E">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1FD0366" w14:textId="77777777" w:rsidR="009D128E" w:rsidRDefault="009D128E"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7">
    <w:p w14:paraId="6278110E" w14:textId="77777777" w:rsidR="009D128E" w:rsidRDefault="009D128E"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9D128E" w:rsidRPr="00F7514B" w:rsidRDefault="009D128E"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336"/>
    <w:multiLevelType w:val="hybridMultilevel"/>
    <w:tmpl w:val="3A205B84"/>
    <w:lvl w:ilvl="0" w:tplc="183C0F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0"/>
  </w:num>
  <w:num w:numId="3">
    <w:abstractNumId w:val="14"/>
  </w:num>
  <w:num w:numId="4">
    <w:abstractNumId w:val="15"/>
  </w:num>
  <w:num w:numId="5">
    <w:abstractNumId w:val="1"/>
  </w:num>
  <w:num w:numId="6">
    <w:abstractNumId w:val="5"/>
  </w:num>
  <w:num w:numId="7">
    <w:abstractNumId w:val="13"/>
  </w:num>
  <w:num w:numId="8">
    <w:abstractNumId w:val="6"/>
  </w:num>
  <w:num w:numId="9">
    <w:abstractNumId w:val="17"/>
  </w:num>
  <w:num w:numId="10">
    <w:abstractNumId w:val="7"/>
  </w:num>
  <w:num w:numId="11">
    <w:abstractNumId w:val="9"/>
  </w:num>
  <w:num w:numId="12">
    <w:abstractNumId w:val="16"/>
  </w:num>
  <w:num w:numId="13">
    <w:abstractNumId w:val="20"/>
  </w:num>
  <w:num w:numId="14">
    <w:abstractNumId w:val="19"/>
  </w:num>
  <w:num w:numId="15">
    <w:abstractNumId w:val="26"/>
  </w:num>
  <w:num w:numId="16">
    <w:abstractNumId w:val="8"/>
  </w:num>
  <w:num w:numId="17">
    <w:abstractNumId w:val="18"/>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8"/>
  </w:num>
  <w:num w:numId="21">
    <w:abstractNumId w:val="12"/>
  </w:num>
  <w:num w:numId="22">
    <w:abstractNumId w:val="12"/>
  </w:num>
  <w:num w:numId="23">
    <w:abstractNumId w:val="25"/>
  </w:num>
  <w:num w:numId="24">
    <w:abstractNumId w:val="22"/>
  </w:num>
  <w:num w:numId="25">
    <w:abstractNumId w:val="12"/>
  </w:num>
  <w:num w:numId="26">
    <w:abstractNumId w:val="12"/>
  </w:num>
  <w:num w:numId="27">
    <w:abstractNumId w:val="12"/>
  </w:num>
  <w:num w:numId="28">
    <w:abstractNumId w:val="12"/>
  </w:num>
  <w:num w:numId="29">
    <w:abstractNumId w:val="11"/>
  </w:num>
  <w:num w:numId="30">
    <w:abstractNumId w:val="12"/>
  </w:num>
  <w:num w:numId="31">
    <w:abstractNumId w:val="24"/>
  </w:num>
  <w:num w:numId="32">
    <w:abstractNumId w:val="21"/>
  </w:num>
  <w:num w:numId="33">
    <w:abstractNumId w:val="2"/>
  </w:num>
  <w:num w:numId="34">
    <w:abstractNumId w:val="23"/>
  </w:num>
  <w:num w:numId="35">
    <w:abstractNumId w:val="3"/>
  </w:num>
  <w:num w:numId="36">
    <w:abstractNumId w:val="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n, Zarrar">
    <w15:presenceInfo w15:providerId="AD" w15:userId="S::zarrar.khan@pnnl.gov::095bd260-8ef1-42ff-97e1-3419182a8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D2728"/>
    <w:rsid w:val="000D2F7D"/>
    <w:rsid w:val="000D4A06"/>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366A"/>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484C"/>
    <w:rsid w:val="00397451"/>
    <w:rsid w:val="003A1751"/>
    <w:rsid w:val="003A28DB"/>
    <w:rsid w:val="003A3A2B"/>
    <w:rsid w:val="003A4A10"/>
    <w:rsid w:val="003A56E0"/>
    <w:rsid w:val="003A67F5"/>
    <w:rsid w:val="003A7864"/>
    <w:rsid w:val="003A7C1F"/>
    <w:rsid w:val="003B19C7"/>
    <w:rsid w:val="003B37EB"/>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1AD9"/>
    <w:rsid w:val="00414DAE"/>
    <w:rsid w:val="0042407B"/>
    <w:rsid w:val="004252AD"/>
    <w:rsid w:val="004301C9"/>
    <w:rsid w:val="00430A34"/>
    <w:rsid w:val="00434782"/>
    <w:rsid w:val="00435BCB"/>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01D15"/>
    <w:rsid w:val="00613394"/>
    <w:rsid w:val="00613C5B"/>
    <w:rsid w:val="006226CE"/>
    <w:rsid w:val="00622FA7"/>
    <w:rsid w:val="00623F26"/>
    <w:rsid w:val="00624DB7"/>
    <w:rsid w:val="00624F11"/>
    <w:rsid w:val="00626803"/>
    <w:rsid w:val="006304B5"/>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865B6"/>
    <w:rsid w:val="00790ADD"/>
    <w:rsid w:val="00796E5D"/>
    <w:rsid w:val="00797056"/>
    <w:rsid w:val="007979FA"/>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58BB"/>
    <w:rsid w:val="00817653"/>
    <w:rsid w:val="00820500"/>
    <w:rsid w:val="0082403E"/>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332E"/>
    <w:rsid w:val="00965EFA"/>
    <w:rsid w:val="009709CD"/>
    <w:rsid w:val="00977443"/>
    <w:rsid w:val="0099184B"/>
    <w:rsid w:val="00997C3B"/>
    <w:rsid w:val="009B0722"/>
    <w:rsid w:val="009B6874"/>
    <w:rsid w:val="009C2CD2"/>
    <w:rsid w:val="009C3DFD"/>
    <w:rsid w:val="009C4683"/>
    <w:rsid w:val="009D128E"/>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5CFF"/>
    <w:rsid w:val="00B776E2"/>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E00F6"/>
    <w:rsid w:val="00CF6F84"/>
    <w:rsid w:val="00D05018"/>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2E2E"/>
    <w:rsid w:val="00D83713"/>
    <w:rsid w:val="00D87EDF"/>
    <w:rsid w:val="00D91857"/>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409A"/>
    <w:rsid w:val="00E651FF"/>
    <w:rsid w:val="00E65F24"/>
    <w:rsid w:val="00E65FE0"/>
    <w:rsid w:val="00E773FF"/>
    <w:rsid w:val="00E77653"/>
    <w:rsid w:val="00E83C77"/>
    <w:rsid w:val="00E8474E"/>
    <w:rsid w:val="00E850A8"/>
    <w:rsid w:val="00E8670D"/>
    <w:rsid w:val="00E9096A"/>
    <w:rsid w:val="00E919D5"/>
    <w:rsid w:val="00E953F0"/>
    <w:rsid w:val="00E954E5"/>
    <w:rsid w:val="00E96633"/>
    <w:rsid w:val="00EA4A0B"/>
    <w:rsid w:val="00EC4AB7"/>
    <w:rsid w:val="00EC50EA"/>
    <w:rsid w:val="00ED1E3C"/>
    <w:rsid w:val="00ED4BD8"/>
    <w:rsid w:val="00ED610F"/>
    <w:rsid w:val="00ED6A8D"/>
    <w:rsid w:val="00EE3C86"/>
    <w:rsid w:val="00EF20E8"/>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tabs>
        <w:tab w:val="left" w:pos="504"/>
      </w:tabs>
      <w:spacing w:after="0" w:line="240" w:lineRule="auto"/>
      <w:ind w:left="504" w:hanging="504"/>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95A2F30-8DD9-443E-AD5B-B343A3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18312</TotalTime>
  <Pages>21</Pages>
  <Words>10575</Words>
  <Characters>60278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402</cp:revision>
  <cp:lastPrinted>2019-12-31T23:48:00Z</cp:lastPrinted>
  <dcterms:created xsi:type="dcterms:W3CDTF">2019-11-18T20:23:00Z</dcterms:created>
  <dcterms:modified xsi:type="dcterms:W3CDTF">2020-04-07T17:55:00Z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id="cOY8Uh8c"/&gt;&lt;style id="http://www.zotero.org/styles/elsevier-with-titles" hasBibliography="1" bibliographyStyleHasBeenSet="1"/&gt;&lt;prefs&gt;&lt;pref name="fieldType" value="Field"/&gt;&lt;/prefs&gt;&lt;/data&gt;</vt:lpwstr>
  </property>
</Properties>
</file>