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43AEF7C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A715A6">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w:t>
      </w:r>
      <w:r w:rsidR="00B922D1">
        <w:rPr>
          <w:rFonts w:asciiTheme="majorHAnsi" w:eastAsiaTheme="majorEastAsia" w:hAnsiTheme="majorHAnsi" w:cstheme="majorBidi"/>
          <w:b/>
          <w:color w:val="000000" w:themeColor="text1"/>
          <w:sz w:val="56"/>
          <w:szCs w:val="56"/>
        </w:rPr>
        <w:t>Electric Vehicle Penetration and Energy Supply Chain Impacts</w:t>
      </w:r>
      <w:r w:rsidR="008E1077">
        <w:rPr>
          <w:rFonts w:asciiTheme="majorHAnsi" w:eastAsiaTheme="majorEastAsia" w:hAnsiTheme="majorHAnsi" w:cstheme="majorBidi"/>
          <w:b/>
          <w:color w:val="000000" w:themeColor="text1"/>
          <w:sz w:val="56"/>
          <w:szCs w:val="56"/>
        </w:rPr>
        <w:t>.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74B1F591"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w:t>
      </w:r>
      <w:r w:rsidR="00A715A6">
        <w:t xml:space="preserve"> Jamil Masud</w:t>
      </w:r>
      <w:r w:rsidR="00A715A6" w:rsidRPr="00A715A6">
        <w:rPr>
          <w:vertAlign w:val="superscript"/>
        </w:rPr>
        <w:t>4</w:t>
      </w:r>
      <w:r w:rsidR="00A715A6">
        <w:t>, Akbar Yusuf</w:t>
      </w:r>
      <w:r w:rsidR="00A715A6" w:rsidRPr="00A715A6">
        <w:rPr>
          <w:vertAlign w:val="superscript"/>
        </w:rPr>
        <w:t>4</w:t>
      </w:r>
      <w:r w:rsidR="00A715A6">
        <w:t>, Salis Usman</w:t>
      </w:r>
      <w:r w:rsidR="00A715A6" w:rsidRPr="00A715A6">
        <w:rPr>
          <w:vertAlign w:val="superscript"/>
        </w:rPr>
        <w:t>5</w:t>
      </w:r>
      <w:r w:rsidR="00A715A6">
        <w:t>, Naveed Ashad</w:t>
      </w:r>
      <w:r w:rsidR="00A715A6" w:rsidRPr="00A715A6">
        <w:rPr>
          <w:vertAlign w:val="superscript"/>
        </w:rPr>
        <w:t>6</w:t>
      </w:r>
      <w:r w:rsidR="00A715A6">
        <w:t>, o</w:t>
      </w:r>
      <w:r>
        <w:t>thers?</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44AB7693" w:rsidR="00863375" w:rsidRDefault="00863375" w:rsidP="00863375">
      <w:pPr>
        <w:suppressLineNumbers/>
        <w:pBdr>
          <w:bottom w:val="single" w:sz="6" w:space="1" w:color="auto"/>
        </w:pBdr>
        <w:spacing w:after="0"/>
        <w:jc w:val="both"/>
        <w:rPr>
          <w:i/>
          <w:sz w:val="16"/>
          <w:szCs w:val="16"/>
        </w:rPr>
      </w:pPr>
      <w:r>
        <w:rPr>
          <w:i/>
          <w:sz w:val="16"/>
          <w:szCs w:val="16"/>
        </w:rPr>
        <w:t>3 USAID</w:t>
      </w:r>
    </w:p>
    <w:p w14:paraId="00F0D1D4" w14:textId="5B69CCD8" w:rsidR="00A715A6" w:rsidRDefault="00A715A6" w:rsidP="00863375">
      <w:pPr>
        <w:suppressLineNumbers/>
        <w:pBdr>
          <w:bottom w:val="single" w:sz="6" w:space="1" w:color="auto"/>
        </w:pBdr>
        <w:spacing w:after="0"/>
        <w:jc w:val="both"/>
        <w:rPr>
          <w:i/>
          <w:sz w:val="16"/>
          <w:szCs w:val="16"/>
        </w:rPr>
      </w:pPr>
      <w:r>
        <w:rPr>
          <w:i/>
          <w:sz w:val="16"/>
          <w:szCs w:val="16"/>
        </w:rPr>
        <w:t>4 Sustainable Energy for Pakistan (SEP) Project</w:t>
      </w:r>
    </w:p>
    <w:p w14:paraId="47B1B45A" w14:textId="3C165BF4" w:rsidR="00A715A6" w:rsidRDefault="00A715A6" w:rsidP="00863375">
      <w:pPr>
        <w:suppressLineNumbers/>
        <w:pBdr>
          <w:bottom w:val="single" w:sz="6" w:space="1" w:color="auto"/>
        </w:pBdr>
        <w:spacing w:after="0"/>
        <w:jc w:val="both"/>
        <w:rPr>
          <w:i/>
          <w:sz w:val="16"/>
          <w:szCs w:val="16"/>
        </w:rPr>
      </w:pPr>
      <w:r>
        <w:rPr>
          <w:i/>
          <w:sz w:val="16"/>
          <w:szCs w:val="16"/>
        </w:rPr>
        <w:t>5 National Transmission and Despatch Company (NTDC)</w:t>
      </w:r>
    </w:p>
    <w:p w14:paraId="62CD609A" w14:textId="7C730E56" w:rsidR="00A715A6" w:rsidRPr="00923F04" w:rsidRDefault="00A715A6" w:rsidP="00863375">
      <w:pPr>
        <w:suppressLineNumbers/>
        <w:pBdr>
          <w:bottom w:val="single" w:sz="6" w:space="1" w:color="auto"/>
        </w:pBdr>
        <w:spacing w:after="0"/>
        <w:jc w:val="both"/>
        <w:rPr>
          <w:i/>
          <w:sz w:val="16"/>
          <w:szCs w:val="16"/>
        </w:rPr>
      </w:pPr>
      <w:r>
        <w:rPr>
          <w:i/>
          <w:sz w:val="16"/>
          <w:szCs w:val="16"/>
        </w:rPr>
        <w:t>6 Lahore University of Management Sciences (LUMS)</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6C2ED393" w:rsidR="00996FD4" w:rsidRDefault="00996FD4">
      <w:r>
        <w:br w:type="page"/>
      </w:r>
    </w:p>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A715A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A715A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A715A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A715A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A715A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A715A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A715A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A715A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A715A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A715A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A715A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A715A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A715A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A715A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A715A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A715A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A715A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A715A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A715A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A715A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A715A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A715A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A715A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A715A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A715A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A715A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A715A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A715A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A715A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A715A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A715A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A715A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A715A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A715A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A715A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A715A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A715A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06294658" w14:textId="3C1C0B5E" w:rsidR="00B922D1" w:rsidRDefault="00300937" w:rsidP="00B922D1">
      <w:bookmarkStart w:id="5" w:name="_Toc36643830"/>
      <w:r>
        <w:t xml:space="preserve">The transport sector accounts for a fourth of global greenhouse gas (GHG) </w:t>
      </w:r>
      <w:r w:rsidR="00B922D1">
        <w:t>emissions,</w:t>
      </w:r>
      <w:r>
        <w:t xml:space="preserve"> with road transport accounting for more than half of all transport-related emissions </w:t>
      </w:r>
      <w:r>
        <w:fldChar w:fldCharType="begin"/>
      </w:r>
      <w:r w:rsidR="004C5E67">
        <w:instrText xml:space="preserve"> ADDIN ZOTERO_ITEM CSL_CITATION {"citationID":"mrP3THfj","properties":{"formattedCitation":"(Clarke et al. 2015; Edelenbosch et al. 2017)","plainCitation":"(Clarke et al. 2015; Edelenbosch et al. 2017)","noteIndex":0},"citationItems":[{"id":"jjP21Vsg/CjJyquKf","uris":["http://zotero.org/users/2476381/items/XXU7YG7Z"],"uri":["http://zotero.org/users/2476381/items/XXU7YG7Z"],"itemData":{"id":765,"type":"report","publisher":"Pacific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jjP21Vsg/W3Rj5IVE","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w:t>
      </w:r>
      <w:r w:rsidR="00B922D1">
        <w:t xml:space="preserve"> When coupled with appropriate power sector decarbonization efforts, the switch to EVs is an effective strategy to </w:t>
      </w:r>
      <w:r w:rsidR="00B922D1" w:rsidRPr="00BF01F8">
        <w:t xml:space="preserve">lower </w:t>
      </w:r>
      <w:r w:rsidR="00D654DA" w:rsidRPr="00BF01F8">
        <w:t xml:space="preserve">GHG and air pollutant </w:t>
      </w:r>
      <w:r w:rsidR="00B922D1" w:rsidRPr="00BF01F8">
        <w:t>emissions</w:t>
      </w:r>
      <w:r w:rsidR="00D654DA" w:rsidRPr="00BF01F8">
        <w:t xml:space="preserve"> and improve health</w:t>
      </w:r>
      <w:r w:rsidR="00B922D1" w:rsidRPr="00BF01F8">
        <w:t xml:space="preserve"> </w:t>
      </w:r>
      <w:r w:rsidR="00B922D1" w:rsidRPr="00BF01F8">
        <w:fldChar w:fldCharType="begin"/>
      </w:r>
      <w:r w:rsidR="004C5E67" w:rsidRPr="00BF01F8">
        <w:instrText xml:space="preserve"> ADDIN ZOTERO_ITEM CSL_CITATION {"citationID":"yAwghg8k","properties":{"formattedCitation":"(Zhang and Fujimori 2020a; McCollum et al. 2013; Kyle and Kim 2011)","plainCitation":"(Zhang and Fujimori 2020a; McCollum et al. 2013; Kyle and Kim 2011)","noteIndex":0},"citationItems":[{"id":"jjP21Vsg/jsBsth6A","uris":["http://zotero.org/users/2476381/items/PMYEKARY"],"uri":["http://zotero.org/users/2476381/items/PMYEKARY"],"itemData":{"id":758,"type":"article-journal","abstract":"Electrification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rsidR="00B922D1" w:rsidRPr="00BF01F8">
        <w:fldChar w:fldCharType="separate"/>
      </w:r>
      <w:r w:rsidR="00EA5F54" w:rsidRPr="00BF01F8">
        <w:rPr>
          <w:rFonts w:ascii="Calibri" w:hAnsi="Calibri" w:cs="Calibri"/>
        </w:rPr>
        <w:t>(Zhang and Fujimori 2020a; McCollum et al. 2013; Kyle and Kim 2011)</w:t>
      </w:r>
      <w:r w:rsidR="00B922D1" w:rsidRPr="00BF01F8">
        <w:fldChar w:fldCharType="end"/>
      </w:r>
      <w:r w:rsidR="00B922D1" w:rsidRPr="00BF01F8">
        <w:t xml:space="preserve">. </w:t>
      </w:r>
      <w:r w:rsidR="00996FD4" w:rsidRPr="00BF01F8">
        <w:t>I</w:t>
      </w:r>
      <w:r w:rsidR="00D654DA" w:rsidRPr="00BF01F8">
        <w:t>ncreasing EVs can also help increase energy security by reducing dependence on oil imports.</w:t>
      </w:r>
      <w:r w:rsidR="00D654DA">
        <w:t xml:space="preserve"> </w:t>
      </w:r>
    </w:p>
    <w:p w14:paraId="27B9A49B" w14:textId="47993A9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971534">
        <w:instrText xml:space="preserve"> ADDIN ZOTERO_ITEM CSL_CITATION {"citationID":"VkiwEDoE","properties":{"formattedCitation":"(Wappelhorst 2018; Yang 2016; Hao, Wang, and Ouyang 2011)","plainCitation":"(Wappelhorst 2018; Yang 2016; Hao, Wang, and Ouyang 2011)","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392D34">
        <w:fldChar w:fldCharType="separate"/>
      </w:r>
      <w:r w:rsidR="00971534" w:rsidRPr="00971534">
        <w:rPr>
          <w:rFonts w:ascii="Calibri" w:hAnsi="Calibri" w:cs="Calibri"/>
        </w:rPr>
        <w:t>(Wappelhorst 2018; Yang 2016; Hao, Wang, and Ouyang 2011)</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02E75024"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974488">
        <w:t>EV costs are dropping and widespread adoption can have numerous benefits,</w:t>
      </w:r>
      <w:r w:rsidR="00EA5F54">
        <w:t xml:space="preserve"> such as reducing direct transport emissions, </w:t>
      </w:r>
      <w:r w:rsidR="00971534">
        <w:t>conserving fuel,</w:t>
      </w:r>
      <w:r w:rsidR="00EA5F54">
        <w:t xml:space="preserve"> and lowering </w:t>
      </w:r>
      <w:r w:rsidR="007F200E">
        <w:t>the</w:t>
      </w:r>
      <w:r w:rsidR="00EA5F54">
        <w:t xml:space="preserve"> cost</w:t>
      </w:r>
      <w:r w:rsidR="007F200E">
        <w:t xml:space="preserve"> </w:t>
      </w:r>
      <w:r w:rsidR="00EA5F54">
        <w:t xml:space="preserve">of </w:t>
      </w:r>
      <w:r w:rsidR="007F200E">
        <w:t xml:space="preserve">achieving </w:t>
      </w:r>
      <w:r w:rsidR="00EA5F54">
        <w:t xml:space="preserve">climate stabilization targets </w:t>
      </w:r>
      <w:r w:rsidR="00EA5F54">
        <w:fldChar w:fldCharType="begin"/>
      </w:r>
      <w:r w:rsidR="00971534">
        <w:instrText xml:space="preserve"> ADDIN ZOTERO_ITEM CSL_CITATION {"citationID":"w84i6a5E","properties":{"formattedCitation":"(Zhang and Fujimori 2020b; McCollum et al. 2013; Kyle and Kim 2011; Hao, Wang, and Ouyang 2011)","plainCitation":"(Zhang and Fujimori 2020b; McCollum et al. 2013; Kyle and Kim 2011; Hao, Wang, and Ouyang 2011)","noteIndex":0},"citationItems":[{"id":96,"uris":["http://zotero.org/users/local/GpkrhFR0/items/VLXADJFJ"],"uri":["http://zotero.org/users/local/GpkrhFR0/items/VLXADJFJ"],"itemData":{"id":96,"type":"article-journal","abstract":"Electrification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EA5F54">
        <w:fldChar w:fldCharType="separate"/>
      </w:r>
      <w:r w:rsidR="00971534" w:rsidRPr="00971534">
        <w:rPr>
          <w:rFonts w:ascii="Calibri" w:hAnsi="Calibri" w:cs="Calibri"/>
        </w:rPr>
        <w:t>(Zhang and Fujimori 2020b; McCollum et al. 2013; Kyle and Kim 2011; Hao, Wang, and Ouyang 2011)</w:t>
      </w:r>
      <w:r w:rsidR="00EA5F54">
        <w:fldChar w:fldCharType="end"/>
      </w:r>
      <w:r w:rsidR="00EA5F54">
        <w:t xml:space="preserve">. However, large-scale transport electrification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 xml:space="preserve">(Wang, </w:t>
      </w:r>
      <w:r w:rsidR="00974488" w:rsidRPr="00974488">
        <w:rPr>
          <w:rFonts w:ascii="Calibri" w:hAnsi="Calibri" w:cs="Calibri"/>
          <w:szCs w:val="24"/>
        </w:rPr>
        <w:lastRenderedPageBreak/>
        <w:t>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EA5F54">
        <w:t xml:space="preserve"> improvements</w:t>
      </w:r>
      <w:r w:rsidR="004615E0">
        <w:t>, increase</w:t>
      </w:r>
      <w:r w:rsidR="00EA5F54">
        <w:t xml:space="preserve">d </w:t>
      </w:r>
      <w:r w:rsidR="004615E0">
        <w:t>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48323269" w14:textId="77777777" w:rsidR="00195BFF" w:rsidRPr="00996FD4" w:rsidRDefault="00B922D1" w:rsidP="00996FD4">
      <w:pPr>
        <w:spacing w:after="0"/>
        <w:rPr>
          <w:highlight w:val="yellow"/>
        </w:rPr>
      </w:pPr>
      <w:r w:rsidRPr="00996FD4">
        <w:rPr>
          <w:highlight w:val="yellow"/>
        </w:rPr>
        <w:t>[</w:t>
      </w:r>
      <w:r w:rsidR="003F31E2" w:rsidRPr="00996FD4">
        <w:rPr>
          <w:highlight w:val="yellow"/>
        </w:rPr>
        <w:t xml:space="preserve">Add </w:t>
      </w:r>
      <w:r w:rsidRPr="00996FD4">
        <w:rPr>
          <w:highlight w:val="yellow"/>
        </w:rPr>
        <w:t>a paragraph on EV and system-level impact</w:t>
      </w:r>
      <w:r w:rsidR="003F31E2" w:rsidRPr="00996FD4">
        <w:rPr>
          <w:highlight w:val="yellow"/>
        </w:rPr>
        <w:t xml:space="preserve">s: </w:t>
      </w:r>
    </w:p>
    <w:p w14:paraId="3CA77382" w14:textId="4F22246D" w:rsidR="00195BFF" w:rsidRPr="00996FD4" w:rsidRDefault="003F31E2" w:rsidP="00996FD4">
      <w:pPr>
        <w:spacing w:after="0"/>
        <w:rPr>
          <w:highlight w:val="yellow"/>
        </w:rPr>
      </w:pPr>
      <w:r w:rsidRPr="00996FD4">
        <w:rPr>
          <w:highlight w:val="yellow"/>
        </w:rPr>
        <w:t>1. EV</w:t>
      </w:r>
      <w:r w:rsidR="007C68D5">
        <w:rPr>
          <w:highlight w:val="yellow"/>
        </w:rPr>
        <w:t xml:space="preserve"> and</w:t>
      </w:r>
      <w:r w:rsidRPr="00996FD4">
        <w:rPr>
          <w:highlight w:val="yellow"/>
        </w:rPr>
        <w:t xml:space="preserve"> overall emission implications; </w:t>
      </w:r>
    </w:p>
    <w:p w14:paraId="376BD28F" w14:textId="29D54302" w:rsidR="00B922D1" w:rsidRDefault="003F31E2" w:rsidP="00300937">
      <w:r w:rsidRPr="00996FD4">
        <w:rPr>
          <w:highlight w:val="yellow"/>
        </w:rPr>
        <w:t>2. EV and changes in electricity demand and load curve</w:t>
      </w:r>
      <w:r w:rsidR="00996FD4" w:rsidRPr="00996FD4">
        <w:rPr>
          <w:highlight w:val="yellow"/>
        </w:rPr>
        <w:t>.</w:t>
      </w:r>
      <w:r w:rsidR="00B922D1" w:rsidRPr="00996FD4">
        <w:rPr>
          <w:highlight w:val="yellow"/>
        </w:rPr>
        <w:t>]</w:t>
      </w:r>
    </w:p>
    <w:p w14:paraId="75785C25" w14:textId="5D228400" w:rsidR="00D84A78" w:rsidRDefault="00D84A78" w:rsidP="00300937">
      <w:r w:rsidRPr="00DB7D94">
        <w:rPr>
          <w:highlight w:val="yellow"/>
        </w:rPr>
        <w:t xml:space="preserve">While EVs increase </w:t>
      </w:r>
      <w:r w:rsidR="00E12034" w:rsidRPr="00DB7D94">
        <w:rPr>
          <w:highlight w:val="yellow"/>
        </w:rPr>
        <w:t xml:space="preserve">demand for electricity, </w:t>
      </w:r>
      <w:r w:rsidRPr="00DB7D94">
        <w:rPr>
          <w:highlight w:val="yellow"/>
        </w:rPr>
        <w:t xml:space="preserve">they also provide an opportunity to </w:t>
      </w:r>
      <w:r w:rsidR="004C5E67" w:rsidRPr="00DB7D94">
        <w:rPr>
          <w:highlight w:val="yellow"/>
        </w:rPr>
        <w:t>balance</w:t>
      </w:r>
      <w:r w:rsidRPr="00DB7D94">
        <w:rPr>
          <w:highlight w:val="yellow"/>
        </w:rPr>
        <w:t xml:space="preserve"> the load curve</w:t>
      </w:r>
      <w:r w:rsidR="004C5E67" w:rsidRPr="00DB7D94">
        <w:rPr>
          <w:highlight w:val="yellow"/>
        </w:rPr>
        <w:t>, which is particularly valuable for integrating use of intermittent renewable sources like wind and solar</w:t>
      </w:r>
      <w:r w:rsidR="00E12034" w:rsidRPr="00DB7D94">
        <w:rPr>
          <w:highlight w:val="yellow"/>
        </w:rPr>
        <w:t xml:space="preserve"> into the grid</w:t>
      </w:r>
      <w:r w:rsidR="004C5E67" w:rsidRPr="00DB7D94">
        <w:rPr>
          <w:highlight w:val="yellow"/>
        </w:rPr>
        <w:t xml:space="preserve"> </w:t>
      </w:r>
      <w:r w:rsidR="004C5E67" w:rsidRPr="00DB7D94">
        <w:rPr>
          <w:highlight w:val="yellow"/>
        </w:rPr>
        <w:fldChar w:fldCharType="begin"/>
      </w:r>
      <w:r w:rsidR="009D6E59" w:rsidRPr="00DB7D94">
        <w:rPr>
          <w:highlight w:val="yellow"/>
        </w:rPr>
        <w:instrText xml:space="preserve"> ADDIN ZOTERO_ITEM CSL_CITATION {"citationID":"ZNJcPU2P","properties":{"formattedCitation":"(Hu et al. 2016; Richardson 2013)","plainCitation":"(Hu et al. 2016; Richardson 2013)","noteIndex":0},"citationItems":[{"id":139,"uris":["http://zotero.org/users/local/GpkrhFR0/items/GX6RU6SU"],"uri":["http://zotero.org/users/local/GpkrhFR0/items/GX6RU6SU"],"itemData":{"id":139,"type":"article-journal","abstract":"Electric vehicles can become integral parts of a smart grid, since they are capable of providing valuable services to power systems other than just consuming power. On the transmission system level, electric vehicles are regarded as an important means of balancing the intermittent renewable energy resources such as wind power. This is because electric vehicles can be used to absorb the energy during the period of high electricity penetration and feed the electricity back into the grid when the demand is high or in situations of insufﬁcient electricity generation. However, on the distribution system level, the extra loads created by the increasing number of electric vehicles may have adverse impacts on grid. These factors bring new challenges to the power system operators. To coordinate the interests and solve the conﬂicts, electric vehicle ﬂeet operators are proposed both by academics and industries. This paper presents a review and classiﬁcation of methods for smart charging (including power to vehicle and vehicle-to-grid) of electric vehicles for ﬂeet operators. The study ﬁrstly presents service relationships between ﬂeet operators and other four actors in smart grids; then, modeling of battery dynamics and driving patterns of electric vehicles, charging and communications standards are introduced; after that, three control strategies and their commonly used algorithms are described; ﬁnally, conclusion and recommendations are made.","container-title":"Renewable and Sustainable Energy Reviews","DOI":"10.1016/j.rser.2015.12.014","ISSN":"13640321","journalAbbreviation":"Renewable and Sustainable Energy Reviews","language":"en","page":"1207-1226","source":"DOI.org (Crossref)","title":"Electric vehicle fleet management in smart grids: A review of services, optimization and control aspects","title-short":"Electric vehicle fleet management in smart grids","volume":"56","author":[{"family":"Hu","given":"Junjie"},{"family":"Morais","given":"Hugo"},{"family":"Sousa","given":"Tiago"},{"family":"Lind","given":"Morten"}],"issued":{"date-parts":[["2016",4]]}}},{"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4C5E67" w:rsidRPr="00DB7D94">
        <w:rPr>
          <w:highlight w:val="yellow"/>
        </w:rPr>
        <w:fldChar w:fldCharType="separate"/>
      </w:r>
      <w:r w:rsidR="009D6E59" w:rsidRPr="00DB7D94">
        <w:rPr>
          <w:rFonts w:ascii="Calibri" w:hAnsi="Calibri" w:cs="Calibri"/>
          <w:highlight w:val="yellow"/>
        </w:rPr>
        <w:t>(Hu et al. 2016; Richardson 2013)</w:t>
      </w:r>
      <w:r w:rsidR="004C5E67" w:rsidRPr="00DB7D94">
        <w:rPr>
          <w:highlight w:val="yellow"/>
        </w:rPr>
        <w:fldChar w:fldCharType="end"/>
      </w:r>
      <w:r w:rsidR="004C5E67" w:rsidRPr="00DB7D94">
        <w:rPr>
          <w:highlight w:val="yellow"/>
        </w:rPr>
        <w:t>. EVs can charge</w:t>
      </w:r>
      <w:r w:rsidRPr="00DB7D94">
        <w:rPr>
          <w:highlight w:val="yellow"/>
        </w:rPr>
        <w:t xml:space="preserve"> when excess electricity is available </w:t>
      </w:r>
      <w:r w:rsidR="004C5E67" w:rsidRPr="00DB7D94">
        <w:rPr>
          <w:highlight w:val="yellow"/>
        </w:rPr>
        <w:t>and provide</w:t>
      </w:r>
      <w:r w:rsidRPr="00DB7D94">
        <w:rPr>
          <w:highlight w:val="yellow"/>
        </w:rPr>
        <w:t xml:space="preserve"> electricity back to the grid when</w:t>
      </w:r>
      <w:r w:rsidR="004C5E67" w:rsidRPr="00DB7D94">
        <w:rPr>
          <w:highlight w:val="yellow"/>
        </w:rPr>
        <w:t xml:space="preserve"> generation is insufficient to meet demand</w:t>
      </w:r>
      <w:r w:rsidRPr="00DB7D94">
        <w:rPr>
          <w:highlight w:val="yellow"/>
        </w:rPr>
        <w:t xml:space="preserve">. </w:t>
      </w:r>
      <w:r w:rsidR="009D6E59" w:rsidRPr="00DB7D94">
        <w:rPr>
          <w:highlight w:val="yellow"/>
        </w:rPr>
        <w:t xml:space="preserve">However, this requires smart charging systems so that EVs can be utilized as a stabilizing force rather than additional </w:t>
      </w:r>
      <w:r w:rsidR="00E12034" w:rsidRPr="00DB7D94">
        <w:rPr>
          <w:highlight w:val="yellow"/>
        </w:rPr>
        <w:t>load</w:t>
      </w:r>
      <w:r w:rsidR="009D6E59" w:rsidRPr="00DB7D94">
        <w:rPr>
          <w:highlight w:val="yellow"/>
        </w:rPr>
        <w:t xml:space="preserve"> on the electric grid </w:t>
      </w:r>
      <w:r w:rsidR="009D6E59" w:rsidRPr="00DB7D94">
        <w:rPr>
          <w:highlight w:val="yellow"/>
        </w:rPr>
        <w:fldChar w:fldCharType="begin"/>
      </w:r>
      <w:r w:rsidR="009D6E59" w:rsidRPr="00DB7D94">
        <w:rPr>
          <w:highlight w:val="yellow"/>
        </w:rPr>
        <w:instrText xml:space="preserve"> ADDIN ZOTERO_ITEM CSL_CITATION {"citationID":"0Pm8wlM1","properties":{"formattedCitation":"(Hu et al. 2016; Tan, Ramachandaramurthy, and Yong 2016)","plainCitation":"(Hu et al. 2016; Tan, Ramachandaramurthy, and Yong 2016)","noteIndex":0},"citationItems":[{"id":139,"uris":["http://zotero.org/users/local/GpkrhFR0/items/GX6RU6SU"],"uri":["http://zotero.org/users/local/GpkrhFR0/items/GX6RU6SU"],"itemData":{"id":139,"type":"article-journal","abstract":"Electric vehicles can become integral parts of a smart grid, since they are capable of providing valuable services to power systems other than just consuming power. On the transmission system level, electric vehicles are regarded as an important means of balancing the intermittent renewable energy resources such as wind power. This is because electric vehicles can be used to absorb the energy during the period of high electricity penetration and feed the electricity back into the grid when the demand is high or in situations of insufﬁcient electricity generation. However, on the distribution system level, the extra loads created by the increasing number of electric vehicles may have adverse impacts on grid. These factors bring new challenges to the power system operators. To coordinate the interests and solve the conﬂicts, electric vehicle ﬂeet operators are proposed both by academics and industries. This paper presents a review and classiﬁcation of methods for smart charging (including power to vehicle and vehicle-to-grid) of electric vehicles for ﬂeet operators. The study ﬁrstly presents service relationships between ﬂeet operators and other four actors in smart grids; then, modeling of battery dynamics and driving patterns of electric vehicles, charging and communications standards are introduced; after that, three control strategies and their commonly used algorithms are described; ﬁnally, conclusion and recommendations are made.","container-title":"Renewable and Sustainable Energy Reviews","DOI":"10.1016/j.rser.2015.12.014","ISSN":"13640321","journalAbbreviation":"Renewable and Sustainable Energy Reviews","language":"en","page":"1207-1226","source":"DOI.org (Crossref)","title":"Electric vehicle fleet management in smart grids: A review of services, optimization and control aspects","title-short":"Electric vehicle fleet management in smart grids","volume":"56","author":[{"family":"Hu","given":"Junjie"},{"family":"Morais","given":"Hugo"},{"family":"Sousa","given":"Tiago"},{"family":"Lind","given":"Morten"}],"issued":{"date-parts":[["2016",4]]}}},{"id":137,"uris":["http://zotero.org/users/local/GpkrhFR0/items/MGCFBCTR"],"uri":["http://zotero.org/users/local/GpkrhFR0/items/MGCFBCTR"],"itemData":{"id":137,"type":"article-journal","abstract":"Energy crisis and environmental issues have encouraged the adoption of electric vehicle as an alternative transportation option to the conventional internal combustion engine vehicle. Recently, the development of smart grid concept in power grid has advanced the role of electric vehicles in the form of vehicle to grid technology. Vehicle to grid technology allows bidirectional energy exchange between electric vehicles and the power grid, which offers numerous services to the power grid, such as power grid regulation, spinning reserve, peak load shaving, load leveling and reactive power compensation. As the implementation of vehicle to grid technology is a complicated unit commitment problem with different conﬂicting objectives and constraints, optimization techniques are usually utilized. This paper reviews the framework, beneﬁts and challenges of vehicle to grid technology. This paper also summarizes the main optimization techniques to achieve different vehicle to grid objectives while satisfying multiple constraints.","container-title":"Renewable and Sustainable Energy Reviews","DOI":"10.1016/j.rser.2015.09.012","ISSN":"13640321","journalAbbreviation":"Renewable and Sustainable Energy Reviews","language":"en","page":"720-732","source":"DOI.org (Crossref)","title":"Integration of electric vehicles in smart grid: A review on vehicle to grid technologies and optimization techniques","title-short":"Integration of electric vehicles in smart grid","volume":"53","author":[{"family":"Tan","given":"Kang Miao"},{"family":"Ramachandaramurthy","given":"Vigna K."},{"family":"Yong","given":"Jia Ying"}],"issued":{"date-parts":[["2016",1]]}}}],"schema":"https://github.com/citation-style-language/schema/raw/master/csl-citation.json"} </w:instrText>
      </w:r>
      <w:r w:rsidR="009D6E59" w:rsidRPr="00DB7D94">
        <w:rPr>
          <w:highlight w:val="yellow"/>
        </w:rPr>
        <w:fldChar w:fldCharType="separate"/>
      </w:r>
      <w:r w:rsidR="009D6E59" w:rsidRPr="00DB7D94">
        <w:rPr>
          <w:rFonts w:ascii="Calibri" w:hAnsi="Calibri" w:cs="Calibri"/>
          <w:highlight w:val="yellow"/>
        </w:rPr>
        <w:t>(Hu et al. 2016; Tan, Ramachandaramurthy, and Yong 2016)</w:t>
      </w:r>
      <w:r w:rsidR="009D6E59" w:rsidRPr="00DB7D94">
        <w:rPr>
          <w:highlight w:val="yellow"/>
        </w:rPr>
        <w:fldChar w:fldCharType="end"/>
      </w:r>
      <w:r w:rsidR="009D6E59" w:rsidRPr="00DB7D94">
        <w:rPr>
          <w:highlight w:val="yellow"/>
        </w:rPr>
        <w:t>.</w:t>
      </w:r>
    </w:p>
    <w:p w14:paraId="696694BB" w14:textId="5F1570AC"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w:t>
      </w:r>
      <w:r w:rsidR="00B922D1">
        <w:t xml:space="preserve">and electricity sector transformation </w:t>
      </w:r>
      <w:r>
        <w:t>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bookmarkEnd w:id="5"/>
    <w:p w14:paraId="37BA4337" w14:textId="77777777" w:rsidR="00B922D1" w:rsidRDefault="00B922D1" w:rsidP="00996FD4">
      <w:pPr>
        <w:pStyle w:val="Heading1"/>
        <w:numPr>
          <w:ilvl w:val="1"/>
          <w:numId w:val="20"/>
        </w:numPr>
      </w:pPr>
      <w:r>
        <w:t>Research Question</w:t>
      </w:r>
    </w:p>
    <w:p w14:paraId="50424CC9" w14:textId="04C81EFF" w:rsidR="00A57ADE" w:rsidRPr="00A57ADE" w:rsidRDefault="00B922D1" w:rsidP="00E96633">
      <w:pPr>
        <w:pStyle w:val="Bibliography"/>
        <w:ind w:left="0" w:firstLine="0"/>
        <w:jc w:val="both"/>
      </w:pPr>
      <w:r>
        <w:t>Questions addressed in this analysis:</w:t>
      </w:r>
    </w:p>
    <w:p w14:paraId="7E19657D" w14:textId="62918F5A" w:rsidR="00827DE4" w:rsidRDefault="00827DE4" w:rsidP="00A57ADE">
      <w:pPr>
        <w:pStyle w:val="ListParagraph"/>
        <w:numPr>
          <w:ilvl w:val="0"/>
          <w:numId w:val="33"/>
        </w:numPr>
      </w:pPr>
      <w:r>
        <w:t>How effective are</w:t>
      </w:r>
      <w:r>
        <w:t xml:space="preserve"> various policy instruments</w:t>
      </w:r>
      <w:r>
        <w:t xml:space="preserve"> in incentivizing EV adoption</w:t>
      </w:r>
      <w:r>
        <w:t xml:space="preserve"> compared to a “no-policy” reference?</w:t>
      </w:r>
    </w:p>
    <w:p w14:paraId="3E387C4A" w14:textId="5DA42B2E" w:rsidR="00A57ADE" w:rsidRDefault="00A57ADE" w:rsidP="00A57ADE">
      <w:pPr>
        <w:pStyle w:val="ListParagraph"/>
        <w:numPr>
          <w:ilvl w:val="0"/>
          <w:numId w:val="33"/>
        </w:numPr>
      </w:pPr>
      <w:r>
        <w:t>What are the</w:t>
      </w:r>
      <w:r w:rsidR="00B922D1">
        <w:t xml:space="preserve"> economic and energy</w:t>
      </w:r>
      <w:r>
        <w:t xml:space="preserve"> impacts of incentives on EV penetration? </w:t>
      </w:r>
    </w:p>
    <w:p w14:paraId="6F1D7D6E" w14:textId="77589566" w:rsidR="00A57ADE" w:rsidRDefault="00A57ADE" w:rsidP="00A57ADE">
      <w:pPr>
        <w:pStyle w:val="ListParagraph"/>
        <w:numPr>
          <w:ilvl w:val="0"/>
          <w:numId w:val="33"/>
        </w:numPr>
      </w:pPr>
      <w:r>
        <w:lastRenderedPageBreak/>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165E1969" w:rsidR="00A57ADE" w:rsidRDefault="00A57ADE" w:rsidP="00A57ADE">
      <w:pPr>
        <w:pStyle w:val="ListParagraph"/>
        <w:numPr>
          <w:ilvl w:val="0"/>
          <w:numId w:val="33"/>
        </w:numPr>
      </w:pPr>
      <w:r>
        <w:t>What are the impacts on vehicular and power sector emissions?</w:t>
      </w:r>
    </w:p>
    <w:p w14:paraId="33018BD1" w14:textId="52CFE4CF" w:rsidR="00827DE4" w:rsidRDefault="00827DE4" w:rsidP="00A57ADE">
      <w:pPr>
        <w:pStyle w:val="ListParagraph"/>
        <w:numPr>
          <w:ilvl w:val="0"/>
          <w:numId w:val="33"/>
        </w:numPr>
      </w:pPr>
      <w:r>
        <w:t xml:space="preserve">What </w:t>
      </w:r>
      <w:r>
        <w:t>is the overall cost to the Government of Pakistan</w:t>
      </w:r>
      <w:r>
        <w:t xml:space="preserve">? How does foregone </w:t>
      </w:r>
      <w:r>
        <w:t xml:space="preserve">revenue to incentivize EV adoption </w:t>
      </w:r>
      <w:r>
        <w:t xml:space="preserve">compare to savings on </w:t>
      </w:r>
      <w:r>
        <w:t>fuel imports and other downstream costs (healthcare, productivity, etc</w:t>
      </w:r>
      <w:r>
        <w:t>.</w:t>
      </w:r>
      <w:r>
        <w:t>) due to lower emissions?</w:t>
      </w:r>
    </w:p>
    <w:p w14:paraId="4E9EC5CB" w14:textId="0956A3C6" w:rsidR="00195BFF" w:rsidRPr="00D654DA" w:rsidRDefault="00195BFF" w:rsidP="00EA5F54">
      <w:pPr>
        <w:pStyle w:val="Heading1"/>
        <w:numPr>
          <w:ilvl w:val="1"/>
          <w:numId w:val="20"/>
        </w:numPr>
        <w:rPr>
          <w:highlight w:val="yellow"/>
        </w:rPr>
      </w:pPr>
      <w:r w:rsidRPr="00D654DA">
        <w:rPr>
          <w:highlight w:val="yellow"/>
        </w:rPr>
        <w:t>Energy and transportation policies in Pakistan</w:t>
      </w:r>
    </w:p>
    <w:p w14:paraId="5BD59641" w14:textId="6A311C7D" w:rsidR="00195BFF" w:rsidRPr="00D654DA" w:rsidRDefault="00996FD4" w:rsidP="00996FD4">
      <w:pPr>
        <w:rPr>
          <w:highlight w:val="yellow"/>
        </w:rPr>
      </w:pPr>
      <w:r w:rsidRPr="00D654DA">
        <w:rPr>
          <w:highlight w:val="yellow"/>
        </w:rPr>
        <w:t xml:space="preserve">This section discusses energy and EV policies in Pakistan and potential policy implications of increasing EV penetration. </w:t>
      </w:r>
    </w:p>
    <w:p w14:paraId="791EDCAB" w14:textId="01C97ED8" w:rsidR="00996FD4" w:rsidRPr="00D654DA" w:rsidRDefault="00996FD4" w:rsidP="00996FD4">
      <w:pPr>
        <w:pStyle w:val="ListParagraph"/>
        <w:numPr>
          <w:ilvl w:val="0"/>
          <w:numId w:val="33"/>
        </w:numPr>
        <w:rPr>
          <w:highlight w:val="yellow"/>
        </w:rPr>
      </w:pPr>
      <w:r w:rsidRPr="00D654DA">
        <w:rPr>
          <w:highlight w:val="yellow"/>
        </w:rPr>
        <w:t>Energy security and oil imports</w:t>
      </w:r>
    </w:p>
    <w:p w14:paraId="2A13DB9E" w14:textId="6D5AEEDC" w:rsidR="00996FD4" w:rsidRPr="00D654DA" w:rsidRDefault="00996FD4" w:rsidP="00996FD4">
      <w:pPr>
        <w:pStyle w:val="ListParagraph"/>
        <w:numPr>
          <w:ilvl w:val="0"/>
          <w:numId w:val="33"/>
        </w:numPr>
        <w:rPr>
          <w:highlight w:val="yellow"/>
        </w:rPr>
      </w:pPr>
      <w:r w:rsidRPr="00D654DA">
        <w:rPr>
          <w:highlight w:val="yellow"/>
        </w:rPr>
        <w:t xml:space="preserve">NEVP and transportation sector policies </w:t>
      </w:r>
    </w:p>
    <w:p w14:paraId="47E04BE1" w14:textId="548A521A" w:rsidR="00996FD4" w:rsidRPr="00D654DA" w:rsidRDefault="00996FD4" w:rsidP="00996FD4">
      <w:pPr>
        <w:pStyle w:val="ListParagraph"/>
        <w:numPr>
          <w:ilvl w:val="0"/>
          <w:numId w:val="33"/>
        </w:numPr>
        <w:rPr>
          <w:highlight w:val="yellow"/>
        </w:rPr>
      </w:pPr>
      <w:r w:rsidRPr="00D654DA">
        <w:rPr>
          <w:highlight w:val="yellow"/>
        </w:rPr>
        <w:t xml:space="preserve">Electricity sector policies </w:t>
      </w:r>
    </w:p>
    <w:p w14:paraId="597C83BD" w14:textId="73562B25" w:rsidR="00996FD4" w:rsidRPr="00D654DA" w:rsidRDefault="00996FD4" w:rsidP="00996FD4">
      <w:pPr>
        <w:pStyle w:val="ListParagraph"/>
        <w:numPr>
          <w:ilvl w:val="0"/>
          <w:numId w:val="33"/>
        </w:numPr>
        <w:rPr>
          <w:highlight w:val="yellow"/>
        </w:rPr>
      </w:pPr>
      <w:r w:rsidRPr="00D654DA">
        <w:rPr>
          <w:highlight w:val="yellow"/>
        </w:rPr>
        <w:t>Economic</w:t>
      </w:r>
      <w:r w:rsidR="00D654DA">
        <w:rPr>
          <w:highlight w:val="yellow"/>
        </w:rPr>
        <w:t>/financial</w:t>
      </w:r>
      <w:r w:rsidRPr="00D654DA">
        <w:rPr>
          <w:highlight w:val="yellow"/>
        </w:rPr>
        <w:t xml:space="preserve"> implications (TBD)</w:t>
      </w:r>
    </w:p>
    <w:p w14:paraId="1B217FC9" w14:textId="29C4629B" w:rsidR="00863375" w:rsidRPr="00A97700" w:rsidRDefault="004D3CF4" w:rsidP="00996FD4">
      <w:pPr>
        <w:pStyle w:val="Heading1"/>
        <w:numPr>
          <w:ilvl w:val="0"/>
          <w:numId w:val="20"/>
        </w:numPr>
      </w:pPr>
      <w:bookmarkStart w:id="6" w:name="_Toc36643831"/>
      <w:r w:rsidRPr="00A97700">
        <w:t>Methodology</w:t>
      </w:r>
      <w:bookmarkEnd w:id="6"/>
    </w:p>
    <w:p w14:paraId="30AD916A" w14:textId="7B14FE63" w:rsidR="00D17230" w:rsidRDefault="00BC2D73" w:rsidP="00996FD4">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52D25C98" w:rsidR="003C6A7D" w:rsidRDefault="008027F4" w:rsidP="003C6A7D">
      <w:r>
        <w:t>Several models are used in tandem for this analysis</w:t>
      </w:r>
      <w:r w:rsidR="00996FD4">
        <w:t xml:space="preserve"> (Figure X)</w:t>
      </w:r>
      <w:r>
        <w:t>.</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50F2BF78" w14:textId="0367DABD" w:rsidR="00B922D1" w:rsidRDefault="00B922D1" w:rsidP="003C6A7D">
      <w:r>
        <w:t>Figure X.</w:t>
      </w:r>
      <w:r w:rsidR="003F31E2">
        <w:t xml:space="preserve"> Integrated EV Analysis</w:t>
      </w:r>
    </w:p>
    <w:p w14:paraId="0A99B906" w14:textId="0523AC8D" w:rsidR="00DE703E" w:rsidRDefault="00DE703E" w:rsidP="003C6A7D">
      <w:r>
        <w:rPr>
          <w:noProof/>
        </w:rPr>
        <w:lastRenderedPageBreak/>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05AAB1CE" w14:textId="02E1A29C" w:rsidR="003B3416" w:rsidRDefault="00DE703E" w:rsidP="003B3416">
      <w:pPr>
        <w:pStyle w:val="Caption"/>
      </w:pPr>
      <w:r>
        <w:t>Source: Sustainable Energy for Pakistan (SEP) Project.</w:t>
      </w:r>
    </w:p>
    <w:p w14:paraId="79BDA10C" w14:textId="18FD490C" w:rsidR="003B3416" w:rsidRPr="003B3416" w:rsidRDefault="003B3416" w:rsidP="003B3416">
      <w:r w:rsidRPr="003B3416">
        <w:t>To check the validity of these model linkages, we performed cross-calibration exercises on several impactful variables such as electricity generation, fuel</w:t>
      </w:r>
      <w:r>
        <w:t xml:space="preserve"> breakdown</w:t>
      </w:r>
      <w:r w:rsidRPr="003B3416">
        <w:t>, crude oil prices</w:t>
      </w:r>
      <w:r>
        <w:t xml:space="preserve">, and </w:t>
      </w:r>
      <w:r w:rsidRPr="003B3416">
        <w:t xml:space="preserve">service output by </w:t>
      </w:r>
      <w:r>
        <w:t>vehicle class.</w:t>
      </w:r>
    </w:p>
    <w:p w14:paraId="6E07AAA0" w14:textId="198B39C0" w:rsidR="004D3CF4" w:rsidRDefault="004D3CF4" w:rsidP="00996FD4">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6FD4">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w:t>
      </w:r>
      <w:r>
        <w:lastRenderedPageBreak/>
        <w:t xml:space="preserve">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996FD4">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w:t>
      </w:r>
      <w:r>
        <w:lastRenderedPageBreak/>
        <w:t xml:space="preserve">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03AADD3E" w:rsidR="00016545" w:rsidRDefault="00016545" w:rsidP="00016545">
      <w:r>
        <w:t>The government of Pakistan (</w:t>
      </w:r>
      <w:proofErr w:type="spellStart"/>
      <w:r>
        <w:t>GoP</w:t>
      </w:r>
      <w:proofErr w:type="spellEnd"/>
      <w:r>
        <w:t xml:space="preserve">) recently approved targets for EV penetration under the National Electric Vehicle Policy (NEVP). </w:t>
      </w:r>
      <w:r w:rsidR="00832F8F">
        <w:t>The targets for EV penetration as defined in the draft EV policy</w:t>
      </w:r>
      <w:r w:rsidR="00832F8F">
        <w:t xml:space="preserve"> are summarized in the table below.</w:t>
      </w:r>
      <w:r w:rsidR="00832F8F">
        <w:t xml:space="preserve"> </w:t>
      </w:r>
      <w:r w:rsidR="00832F8F">
        <w:t xml:space="preserve">However, there is currently </w:t>
      </w:r>
      <w:r w:rsidR="00832F8F" w:rsidRPr="00832F8F">
        <w:t xml:space="preserve">significant activity underway to </w:t>
      </w:r>
      <w:r w:rsidR="00832F8F">
        <w:t>finalize</w:t>
      </w:r>
      <w:r w:rsidR="00832F8F" w:rsidRPr="00832F8F">
        <w:t xml:space="preserve"> this policy, including a contentious negotiation of incentives</w:t>
      </w:r>
      <w:r w:rsidR="00832F8F">
        <w:t>, so these may be subject to change in the future.</w:t>
      </w:r>
    </w:p>
    <w:p w14:paraId="684DB74D" w14:textId="3105391E" w:rsidR="00016545" w:rsidRDefault="00016545" w:rsidP="00016545">
      <w:r w:rsidRPr="00E175C9">
        <w:rPr>
          <w:noProof/>
        </w:rPr>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lastRenderedPageBreak/>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996FD4">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996FD4">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996FD4">
      <w:pPr>
        <w:pStyle w:val="Heading1"/>
        <w:numPr>
          <w:ilvl w:val="0"/>
          <w:numId w:val="20"/>
        </w:numPr>
      </w:pPr>
      <w:bookmarkStart w:id="13" w:name="_Toc36643838"/>
      <w:r>
        <w:t>Results</w:t>
      </w:r>
      <w:bookmarkEnd w:id="13"/>
    </w:p>
    <w:p w14:paraId="6E4DC8EA" w14:textId="1589F1F3" w:rsidR="004D3CF4" w:rsidRDefault="003F5E37" w:rsidP="00996FD4">
      <w:pPr>
        <w:pStyle w:val="Heading1"/>
        <w:numPr>
          <w:ilvl w:val="1"/>
          <w:numId w:val="20"/>
        </w:numPr>
      </w:pPr>
      <w:bookmarkStart w:id="14" w:name="_Toc36643839"/>
      <w:r>
        <w:t xml:space="preserve">GCAM </w:t>
      </w:r>
      <w:r w:rsidR="00AD688B">
        <w:t>Baseline</w:t>
      </w:r>
      <w:r w:rsidR="004D3CF4">
        <w:t xml:space="preserve"> Results</w:t>
      </w:r>
      <w:bookmarkEnd w:id="14"/>
    </w:p>
    <w:p w14:paraId="5BFE1575" w14:textId="4E368263" w:rsidR="007C68D5" w:rsidRDefault="007C68D5" w:rsidP="00F31537">
      <w:r w:rsidRPr="007C68D5">
        <w:rPr>
          <w:highlight w:val="yellow"/>
        </w:rPr>
        <w:t>[Placeholder for paragraphs/figures on energy system in Pakistan]</w:t>
      </w:r>
    </w:p>
    <w:p w14:paraId="0C5D87C7" w14:textId="34DA699A"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 xml:space="preserve">The largest share of passenger service demand, about 70%, is met by buses, and this share remains relatively </w:t>
      </w:r>
      <w:r w:rsidR="00D04F7D">
        <w:lastRenderedPageBreak/>
        <w:t>constant over the time frame considered</w:t>
      </w:r>
      <w:r w:rsidR="00A715A6">
        <w:rPr>
          <w:rStyle w:val="FootnoteReference"/>
        </w:rPr>
        <w:footnoteReference w:id="4"/>
      </w:r>
      <w:r w:rsidR="00D04F7D">
        <w:t xml:space="preserve">.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0711B90C" w:rsidR="00245D6E" w:rsidRPr="00245D6E" w:rsidRDefault="00245D6E" w:rsidP="00451D20">
      <w:r>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5"/>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w:t>
      </w:r>
      <w:r w:rsidR="006E47E9">
        <w:t>. N</w:t>
      </w:r>
      <w:r w:rsidR="00C147E3">
        <w:t xml:space="preserve">atural gas </w:t>
      </w:r>
      <w:r w:rsidR="006E47E9">
        <w:t>makes</w:t>
      </w:r>
      <w:r w:rsidR="00C147E3">
        <w:t xml:space="preserve"> up the next largest share</w:t>
      </w:r>
      <w:r w:rsidR="006E47E9">
        <w:t xml:space="preserve"> with </w:t>
      </w:r>
      <w:r w:rsidR="0082756C">
        <w:t>15-20</w:t>
      </w:r>
      <w:r w:rsidR="00C147E3">
        <w:t>%</w:t>
      </w:r>
      <w:r w:rsidR="006E47E9">
        <w:t xml:space="preserve"> of transport final energy, mainly consumed by buses</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996FD4">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lastRenderedPageBreak/>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Accelerated localization, which further decreases duties, increases penetration in 2030 by an additional 15-20 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Both exogenous technology advancement and policies impact emissions.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D4C3223"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transport secto</w:t>
      </w:r>
      <w:r w:rsidR="000D5EDE">
        <w:t xml:space="preserve">r. </w:t>
      </w:r>
      <w:r w:rsidR="00083686">
        <w:t>R</w:t>
      </w:r>
      <w:r w:rsidR="00FF5A69">
        <w:t>apid advancement with no policy reduces particulate matter emissions (approximated by</w:t>
      </w:r>
      <w:r w:rsidR="005C6420">
        <w:t xml:space="preserve"> summing</w:t>
      </w:r>
      <w:r w:rsidR="00FF5A69">
        <w:t xml:space="preserve"> BC </w:t>
      </w:r>
      <w:r w:rsidR="005C6420">
        <w:t>and</w:t>
      </w:r>
      <w:r w:rsidR="00FF5A69">
        <w:t xml:space="preserve"> OC) by about 10% per year by 2050 compared to slow advancement with no policy, while </w:t>
      </w:r>
      <w:r w:rsidR="00FF5A69">
        <w:lastRenderedPageBreak/>
        <w:t>NEVP incentives plus accelerated localization reduce PM emissions by an additional 1% (slow advancement) to 5% (rapid advancement) annually by 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6"/>
      </w:r>
    </w:p>
    <w:p w14:paraId="55012FAC" w14:textId="6BF6400C" w:rsidR="0054368A" w:rsidRPr="000F478A" w:rsidRDefault="0054368A" w:rsidP="000F478A"/>
    <w:p w14:paraId="5B0DF92F" w14:textId="1CE2E0CE" w:rsidR="003F5E37" w:rsidRPr="003F5E37" w:rsidRDefault="003F5E37" w:rsidP="00996FD4">
      <w:pPr>
        <w:pStyle w:val="Heading1"/>
        <w:numPr>
          <w:ilvl w:val="1"/>
          <w:numId w:val="20"/>
        </w:numPr>
      </w:pPr>
      <w:bookmarkStart w:id="16" w:name="_Toc36643841"/>
      <w:r>
        <w:t>PLEXOS Results – power demand, infrastructure needs</w:t>
      </w:r>
      <w:bookmarkEnd w:id="16"/>
    </w:p>
    <w:p w14:paraId="1DF0120C" w14:textId="2DC596DA" w:rsidR="003F5E37" w:rsidRDefault="003F5E37" w:rsidP="00996FD4">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996FD4">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401B632E" w:rsidR="00F37E41" w:rsidRDefault="008E1077" w:rsidP="0051151C">
      <w:pPr>
        <w:pStyle w:val="ListParagraph"/>
        <w:numPr>
          <w:ilvl w:val="0"/>
          <w:numId w:val="5"/>
        </w:numPr>
      </w:pPr>
      <w:r>
        <w:t>Local policies versus external forces</w:t>
      </w:r>
    </w:p>
    <w:p w14:paraId="75B8C236" w14:textId="4CA88E8F" w:rsidR="00832F8F" w:rsidRDefault="00832F8F" w:rsidP="00832F8F">
      <w:pPr>
        <w:pStyle w:val="ListParagraph"/>
        <w:numPr>
          <w:ilvl w:val="1"/>
          <w:numId w:val="5"/>
        </w:numPr>
      </w:pPr>
      <w:r>
        <w:t>Discuss this point from Travis: “</w:t>
      </w:r>
      <w:r w:rsidRPr="00832F8F">
        <w:t xml:space="preserve">This is a key part of the story. The NEVP is artificially manipulating EV costs and the sensitivity to technology cost convergence is clear. It is entirely possibly that ICEV-comparable EVs become so cheap that the NEVP isn’t even needed. One could argue that maybe this is justified, particularly given the carbon-heavy generation mix and lots of other things for </w:t>
      </w:r>
      <w:proofErr w:type="spellStart"/>
      <w:r w:rsidRPr="00832F8F">
        <w:t>GoP</w:t>
      </w:r>
      <w:proofErr w:type="spellEnd"/>
      <w:r w:rsidRPr="00832F8F">
        <w:t xml:space="preserve"> to fund.</w:t>
      </w:r>
      <w:r>
        <w:t>”</w:t>
      </w:r>
    </w:p>
    <w:p w14:paraId="51E87CB0" w14:textId="2CB550C7" w:rsidR="004B6C44" w:rsidRDefault="004B6C44" w:rsidP="004B6C44">
      <w:pPr>
        <w:pStyle w:val="Heading1"/>
        <w:numPr>
          <w:ilvl w:val="0"/>
          <w:numId w:val="0"/>
        </w:numPr>
        <w:ind w:left="432" w:hanging="432"/>
      </w:pPr>
      <w:bookmarkStart w:id="19" w:name="_Toc36643844"/>
      <w:r>
        <w:t>References</w:t>
      </w:r>
      <w:bookmarkEnd w:id="19"/>
    </w:p>
    <w:p w14:paraId="39393E1C" w14:textId="77777777" w:rsidR="009D6E59" w:rsidRPr="009D6E59" w:rsidRDefault="00300937" w:rsidP="009D6E59">
      <w:pPr>
        <w:pStyle w:val="Bibliography"/>
        <w:rPr>
          <w:rFonts w:ascii="Calibri" w:hAnsi="Calibri" w:cs="Calibri"/>
        </w:rPr>
      </w:pPr>
      <w:r w:rsidRPr="008B3B9D">
        <w:rPr>
          <w:rFonts w:ascii="Calibri" w:hAnsi="Calibri" w:cs="Calibri"/>
        </w:rPr>
        <w:fldChar w:fldCharType="begin"/>
      </w:r>
      <w:r w:rsidR="00846F66">
        <w:rPr>
          <w:rFonts w:ascii="Calibri" w:hAnsi="Calibri" w:cs="Calibri"/>
        </w:rPr>
        <w:instrText xml:space="preserve"> ADDIN ZOTERO_BIBL {"uncited":[],"omitted":[],"custom":[]} CSL_BIBLIOGRAPHY </w:instrText>
      </w:r>
      <w:r w:rsidRPr="008B3B9D">
        <w:rPr>
          <w:rFonts w:ascii="Calibri" w:hAnsi="Calibri" w:cs="Calibri"/>
        </w:rPr>
        <w:fldChar w:fldCharType="separate"/>
      </w:r>
      <w:r w:rsidR="009D6E59" w:rsidRPr="009D6E59">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641093F5" w14:textId="77777777" w:rsidR="009D6E59" w:rsidRPr="009D6E59" w:rsidRDefault="009D6E59" w:rsidP="009D6E59">
      <w:pPr>
        <w:pStyle w:val="Bibliography"/>
        <w:rPr>
          <w:rFonts w:ascii="Calibri" w:hAnsi="Calibri" w:cs="Calibri"/>
        </w:rPr>
      </w:pPr>
      <w:r w:rsidRPr="009D6E59">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9D6E59">
        <w:rPr>
          <w:rFonts w:ascii="Calibri" w:hAnsi="Calibri" w:cs="Calibri"/>
          <w:i/>
          <w:iCs/>
        </w:rPr>
        <w:t>Energies</w:t>
      </w:r>
      <w:r w:rsidRPr="009D6E59">
        <w:rPr>
          <w:rFonts w:ascii="Calibri" w:hAnsi="Calibri" w:cs="Calibri"/>
        </w:rPr>
        <w:t xml:space="preserve"> 10 (9): 1314. https://doi.org/10.3390/en10091314.</w:t>
      </w:r>
    </w:p>
    <w:p w14:paraId="6B090B66" w14:textId="77777777" w:rsidR="009D6E59" w:rsidRPr="009D6E59" w:rsidRDefault="009D6E59" w:rsidP="009D6E59">
      <w:pPr>
        <w:pStyle w:val="Bibliography"/>
        <w:rPr>
          <w:rFonts w:ascii="Calibri" w:hAnsi="Calibri" w:cs="Calibri"/>
        </w:rPr>
      </w:pPr>
      <w:r w:rsidRPr="009D6E59">
        <w:rPr>
          <w:rFonts w:ascii="Calibri" w:hAnsi="Calibri" w:cs="Calibri"/>
        </w:rPr>
        <w:t xml:space="preserve">“BYD K9.” 2020. In </w:t>
      </w:r>
      <w:r w:rsidRPr="009D6E59">
        <w:rPr>
          <w:rFonts w:ascii="Calibri" w:hAnsi="Calibri" w:cs="Calibri"/>
          <w:i/>
          <w:iCs/>
        </w:rPr>
        <w:t>Wikipedia</w:t>
      </w:r>
      <w:r w:rsidRPr="009D6E59">
        <w:rPr>
          <w:rFonts w:ascii="Calibri" w:hAnsi="Calibri" w:cs="Calibri"/>
        </w:rPr>
        <w:t>. https://en.wikipedia.org/w/index.php?title=BYD_K9&amp;oldid=941473263.</w:t>
      </w:r>
    </w:p>
    <w:p w14:paraId="55072963" w14:textId="77777777" w:rsidR="009D6E59" w:rsidRPr="009D6E59" w:rsidRDefault="009D6E59" w:rsidP="009D6E59">
      <w:pPr>
        <w:pStyle w:val="Bibliography"/>
        <w:rPr>
          <w:rFonts w:ascii="Calibri" w:hAnsi="Calibri" w:cs="Calibri"/>
        </w:rPr>
      </w:pPr>
      <w:r w:rsidRPr="009D6E59">
        <w:rPr>
          <w:rFonts w:ascii="Calibri" w:hAnsi="Calibri" w:cs="Calibri"/>
        </w:rPr>
        <w:lastRenderedPageBreak/>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0ECB9302" w14:textId="77777777" w:rsidR="009D6E59" w:rsidRPr="009D6E59" w:rsidRDefault="009D6E59" w:rsidP="009D6E59">
      <w:pPr>
        <w:pStyle w:val="Bibliography"/>
        <w:rPr>
          <w:rFonts w:ascii="Calibri" w:hAnsi="Calibri" w:cs="Calibri"/>
        </w:rPr>
      </w:pPr>
      <w:r w:rsidRPr="009D6E59">
        <w:rPr>
          <w:rFonts w:ascii="Calibri" w:hAnsi="Calibri" w:cs="Calibri"/>
        </w:rPr>
        <w:t xml:space="preserve">Dargay, Joyce, Dermot Gately, and Martin Sommer. 2007. “Vehicle Ownership and Income Growth, Worldwide: 1960-2030.” </w:t>
      </w:r>
      <w:r w:rsidRPr="009D6E59">
        <w:rPr>
          <w:rFonts w:ascii="Calibri" w:hAnsi="Calibri" w:cs="Calibri"/>
          <w:i/>
          <w:iCs/>
        </w:rPr>
        <w:t>The Energy Journal</w:t>
      </w:r>
      <w:r w:rsidRPr="009D6E59">
        <w:rPr>
          <w:rFonts w:ascii="Calibri" w:hAnsi="Calibri" w:cs="Calibri"/>
        </w:rPr>
        <w:t xml:space="preserve"> 28 (4). https://doi.org/10.5547/ISSN0195-6574-EJ-Vol28-No4-7.</w:t>
      </w:r>
    </w:p>
    <w:p w14:paraId="32D3779D" w14:textId="77777777" w:rsidR="009D6E59" w:rsidRPr="009D6E59" w:rsidRDefault="009D6E59" w:rsidP="009D6E59">
      <w:pPr>
        <w:pStyle w:val="Bibliography"/>
        <w:rPr>
          <w:rFonts w:ascii="Calibri" w:hAnsi="Calibri" w:cs="Calibri"/>
        </w:rPr>
      </w:pPr>
      <w:r w:rsidRPr="009D6E59">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9D6E59">
        <w:rPr>
          <w:rFonts w:ascii="Calibri" w:hAnsi="Calibri" w:cs="Calibri"/>
          <w:i/>
          <w:iCs/>
        </w:rPr>
        <w:t>Transportation Research Part D: Transport and Environment</w:t>
      </w:r>
      <w:r w:rsidRPr="009D6E59">
        <w:rPr>
          <w:rFonts w:ascii="Calibri" w:hAnsi="Calibri" w:cs="Calibri"/>
        </w:rPr>
        <w:t xml:space="preserve"> 55 (August): 281–93. https://doi.org/10.1016/j.trd.2016.07.003.</w:t>
      </w:r>
    </w:p>
    <w:p w14:paraId="75A08B3D" w14:textId="77777777" w:rsidR="009D6E59" w:rsidRPr="009D6E59" w:rsidRDefault="009D6E59" w:rsidP="009D6E59">
      <w:pPr>
        <w:pStyle w:val="Bibliography"/>
        <w:rPr>
          <w:rFonts w:ascii="Calibri" w:hAnsi="Calibri" w:cs="Calibri"/>
        </w:rPr>
      </w:pPr>
      <w:r w:rsidRPr="009D6E59">
        <w:rPr>
          <w:rFonts w:ascii="Calibri" w:hAnsi="Calibri" w:cs="Calibri"/>
        </w:rPr>
        <w:t xml:space="preserve">Egnér, Filippa, and Lina Trosvik. 2018. “Electric Vehicle Adoption in Sweden and the Impact of Local Policy Instruments.” </w:t>
      </w:r>
      <w:r w:rsidRPr="009D6E59">
        <w:rPr>
          <w:rFonts w:ascii="Calibri" w:hAnsi="Calibri" w:cs="Calibri"/>
          <w:i/>
          <w:iCs/>
        </w:rPr>
        <w:t>Energy Policy</w:t>
      </w:r>
      <w:r w:rsidRPr="009D6E59">
        <w:rPr>
          <w:rFonts w:ascii="Calibri" w:hAnsi="Calibri" w:cs="Calibri"/>
        </w:rPr>
        <w:t xml:space="preserve"> 121 (October): 584–96. https://doi.org/10.1016/j.enpol.2018.06.040.</w:t>
      </w:r>
    </w:p>
    <w:p w14:paraId="2B0A8EC2" w14:textId="77777777" w:rsidR="009D6E59" w:rsidRPr="009D6E59" w:rsidRDefault="009D6E59" w:rsidP="009D6E59">
      <w:pPr>
        <w:pStyle w:val="Bibliography"/>
        <w:rPr>
          <w:rFonts w:ascii="Calibri" w:hAnsi="Calibri" w:cs="Calibri"/>
        </w:rPr>
      </w:pPr>
      <w:r w:rsidRPr="009D6E59">
        <w:rPr>
          <w:rFonts w:ascii="Calibri" w:hAnsi="Calibri" w:cs="Calibri"/>
        </w:rPr>
        <w:t xml:space="preserve">Gallagher, Kelly Sims, and Erich Muehlegger. 2011. “Giving Green to Get Green? Incentives and Consumer Adoption of Hybrid Vehicle Technology.” </w:t>
      </w:r>
      <w:r w:rsidRPr="009D6E59">
        <w:rPr>
          <w:rFonts w:ascii="Calibri" w:hAnsi="Calibri" w:cs="Calibri"/>
          <w:i/>
          <w:iCs/>
        </w:rPr>
        <w:t>Journal of Environmental Economics and Management</w:t>
      </w:r>
      <w:r w:rsidRPr="009D6E59">
        <w:rPr>
          <w:rFonts w:ascii="Calibri" w:hAnsi="Calibri" w:cs="Calibri"/>
        </w:rPr>
        <w:t xml:space="preserve"> 61 (1): 1–15. https://doi.org/10.1016/j.jeem.2010.05.004.</w:t>
      </w:r>
    </w:p>
    <w:p w14:paraId="4F137C05" w14:textId="77777777" w:rsidR="009D6E59" w:rsidRPr="009D6E59" w:rsidRDefault="009D6E59" w:rsidP="009D6E59">
      <w:pPr>
        <w:pStyle w:val="Bibliography"/>
        <w:rPr>
          <w:rFonts w:ascii="Calibri" w:hAnsi="Calibri" w:cs="Calibri"/>
        </w:rPr>
      </w:pPr>
      <w:r w:rsidRPr="009D6E59">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9D6E59">
        <w:rPr>
          <w:rFonts w:ascii="Calibri" w:hAnsi="Calibri" w:cs="Calibri"/>
          <w:i/>
          <w:iCs/>
        </w:rPr>
        <w:t>Applied Energy</w:t>
      </w:r>
      <w:r w:rsidRPr="009D6E59">
        <w:rPr>
          <w:rFonts w:ascii="Calibri" w:hAnsi="Calibri" w:cs="Calibri"/>
        </w:rPr>
        <w:t xml:space="preserve"> 123 (June): 129–42. https://doi.org/10.1016/j.apenergy.2014.02.059.</w:t>
      </w:r>
    </w:p>
    <w:p w14:paraId="3989B9F6" w14:textId="77777777" w:rsidR="009D6E59" w:rsidRPr="009D6E59" w:rsidRDefault="009D6E59" w:rsidP="009D6E59">
      <w:pPr>
        <w:pStyle w:val="Bibliography"/>
        <w:rPr>
          <w:rFonts w:ascii="Calibri" w:hAnsi="Calibri" w:cs="Calibri"/>
        </w:rPr>
      </w:pPr>
      <w:r w:rsidRPr="009D6E59">
        <w:rPr>
          <w:rFonts w:ascii="Calibri" w:hAnsi="Calibri" w:cs="Calibri"/>
        </w:rPr>
        <w:t xml:space="preserve">Hao, Han, Hewu Wang, and Minggao Ouyang. 2011. “Fuel Conservation and GHG (Greenhouse Gas) Emissions Mitigation Scenarios for China’s Passenger Vehicle Fleet.” </w:t>
      </w:r>
      <w:r w:rsidRPr="009D6E59">
        <w:rPr>
          <w:rFonts w:ascii="Calibri" w:hAnsi="Calibri" w:cs="Calibri"/>
          <w:i/>
          <w:iCs/>
        </w:rPr>
        <w:t>Energy</w:t>
      </w:r>
      <w:r w:rsidRPr="009D6E59">
        <w:rPr>
          <w:rFonts w:ascii="Calibri" w:hAnsi="Calibri" w:cs="Calibri"/>
        </w:rPr>
        <w:t xml:space="preserve"> 36 (11): 6520–28. https://doi.org/10.1016/j.energy.2011.09.014.</w:t>
      </w:r>
    </w:p>
    <w:p w14:paraId="73AFECA7" w14:textId="77777777" w:rsidR="009D6E59" w:rsidRPr="009D6E59" w:rsidRDefault="009D6E59" w:rsidP="009D6E59">
      <w:pPr>
        <w:pStyle w:val="Bibliography"/>
        <w:rPr>
          <w:rFonts w:ascii="Calibri" w:hAnsi="Calibri" w:cs="Calibri"/>
        </w:rPr>
      </w:pPr>
      <w:r w:rsidRPr="009D6E59">
        <w:rPr>
          <w:rFonts w:ascii="Calibri" w:hAnsi="Calibri" w:cs="Calibri"/>
        </w:rPr>
        <w:t xml:space="preserve">Hawkins, Troy R., Bhawna Singh, Guillaume Majeau‐Bettez, and Anders Hammer Strømman. 2013. “Comparative Environmental Life Cycle Assessment of Conventional and Electric Vehicles.” </w:t>
      </w:r>
      <w:r w:rsidRPr="009D6E59">
        <w:rPr>
          <w:rFonts w:ascii="Calibri" w:hAnsi="Calibri" w:cs="Calibri"/>
          <w:i/>
          <w:iCs/>
        </w:rPr>
        <w:t>Journal of Industrial Ecology</w:t>
      </w:r>
      <w:r w:rsidRPr="009D6E59">
        <w:rPr>
          <w:rFonts w:ascii="Calibri" w:hAnsi="Calibri" w:cs="Calibri"/>
        </w:rPr>
        <w:t xml:space="preserve"> 17 (1): 53–64. https://doi.org/10.1111/j.1530-9290.2012.00532.x.</w:t>
      </w:r>
    </w:p>
    <w:p w14:paraId="3F16BE26" w14:textId="77777777" w:rsidR="009D6E59" w:rsidRPr="009D6E59" w:rsidRDefault="009D6E59" w:rsidP="009D6E59">
      <w:pPr>
        <w:pStyle w:val="Bibliography"/>
        <w:rPr>
          <w:rFonts w:ascii="Calibri" w:hAnsi="Calibri" w:cs="Calibri"/>
        </w:rPr>
      </w:pPr>
      <w:r w:rsidRPr="009D6E59">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6899ED4" w14:textId="77777777" w:rsidR="009D6E59" w:rsidRPr="009D6E59" w:rsidRDefault="009D6E59" w:rsidP="009D6E59">
      <w:pPr>
        <w:pStyle w:val="Bibliography"/>
        <w:rPr>
          <w:rFonts w:ascii="Calibri" w:hAnsi="Calibri" w:cs="Calibri"/>
        </w:rPr>
      </w:pPr>
      <w:r w:rsidRPr="009D6E59">
        <w:rPr>
          <w:rFonts w:ascii="Calibri" w:hAnsi="Calibri" w:cs="Calibri"/>
        </w:rPr>
        <w:t xml:space="preserve">Hu, Junjie, Hugo Morais, Tiago Sousa, and Morten Lind. 2016. “Electric Vehicle Fleet Management in Smart Grids: A Review of Services, Optimization and Control Aspects.” </w:t>
      </w:r>
      <w:r w:rsidRPr="009D6E59">
        <w:rPr>
          <w:rFonts w:ascii="Calibri" w:hAnsi="Calibri" w:cs="Calibri"/>
          <w:i/>
          <w:iCs/>
        </w:rPr>
        <w:t>Renewable and Sustainable Energy Reviews</w:t>
      </w:r>
      <w:r w:rsidRPr="009D6E59">
        <w:rPr>
          <w:rFonts w:ascii="Calibri" w:hAnsi="Calibri" w:cs="Calibri"/>
        </w:rPr>
        <w:t xml:space="preserve"> 56 (April): 1207–26. https://doi.org/10.1016/j.rser.2015.12.014.</w:t>
      </w:r>
    </w:p>
    <w:p w14:paraId="489F21DA" w14:textId="77777777" w:rsidR="009D6E59" w:rsidRPr="009D6E59" w:rsidRDefault="009D6E59" w:rsidP="009D6E59">
      <w:pPr>
        <w:pStyle w:val="Bibliography"/>
        <w:rPr>
          <w:rFonts w:ascii="Calibri" w:hAnsi="Calibri" w:cs="Calibri"/>
        </w:rPr>
      </w:pPr>
      <w:r w:rsidRPr="009D6E59">
        <w:rPr>
          <w:rFonts w:ascii="Calibri" w:hAnsi="Calibri" w:cs="Calibri"/>
        </w:rPr>
        <w:t xml:space="preserve">Ilyas, S. Z. 2007. “A Review of Transport and Urban Air Pollution in Pakistan.” </w:t>
      </w:r>
      <w:r w:rsidRPr="009D6E59">
        <w:rPr>
          <w:rFonts w:ascii="Calibri" w:hAnsi="Calibri" w:cs="Calibri"/>
          <w:i/>
          <w:iCs/>
        </w:rPr>
        <w:t>Journal of Applied Sciences and Environmental Management</w:t>
      </w:r>
      <w:r w:rsidRPr="009D6E59">
        <w:rPr>
          <w:rFonts w:ascii="Calibri" w:hAnsi="Calibri" w:cs="Calibri"/>
        </w:rPr>
        <w:t xml:space="preserve"> 11 (2). https://doi.org/10.4314/jasem.v11i2.55004.</w:t>
      </w:r>
    </w:p>
    <w:p w14:paraId="1BE2852F" w14:textId="77777777" w:rsidR="009D6E59" w:rsidRPr="009D6E59" w:rsidRDefault="009D6E59" w:rsidP="009D6E59">
      <w:pPr>
        <w:pStyle w:val="Bibliography"/>
        <w:rPr>
          <w:rFonts w:ascii="Calibri" w:hAnsi="Calibri" w:cs="Calibri"/>
        </w:rPr>
      </w:pPr>
      <w:r w:rsidRPr="009D6E59">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5C1C1F82" w14:textId="77777777" w:rsidR="009D6E59" w:rsidRPr="009D6E59" w:rsidRDefault="009D6E59" w:rsidP="009D6E59">
      <w:pPr>
        <w:pStyle w:val="Bibliography"/>
        <w:rPr>
          <w:rFonts w:ascii="Calibri" w:hAnsi="Calibri" w:cs="Calibri"/>
        </w:rPr>
      </w:pPr>
      <w:r w:rsidRPr="009D6E59">
        <w:rPr>
          <w:rFonts w:ascii="Calibri" w:hAnsi="Calibri" w:cs="Calibri"/>
        </w:rPr>
        <w:t xml:space="preserve">Kittner, Noah, Felix Lill, and Daniel M. Kammen. 2017. “Energy Storage Deployment and Innovation for the Clean Energy Transition.” </w:t>
      </w:r>
      <w:r w:rsidRPr="009D6E59">
        <w:rPr>
          <w:rFonts w:ascii="Calibri" w:hAnsi="Calibri" w:cs="Calibri"/>
          <w:i/>
          <w:iCs/>
        </w:rPr>
        <w:t>Nature Energy</w:t>
      </w:r>
      <w:r w:rsidRPr="009D6E59">
        <w:rPr>
          <w:rFonts w:ascii="Calibri" w:hAnsi="Calibri" w:cs="Calibri"/>
        </w:rPr>
        <w:t xml:space="preserve"> 2 (9): 1–6. https://doi.org/10.1038/nenergy.2017.125.</w:t>
      </w:r>
    </w:p>
    <w:p w14:paraId="3DF1AA59" w14:textId="77777777" w:rsidR="009D6E59" w:rsidRPr="009D6E59" w:rsidRDefault="009D6E59" w:rsidP="009D6E59">
      <w:pPr>
        <w:pStyle w:val="Bibliography"/>
        <w:rPr>
          <w:rFonts w:ascii="Calibri" w:hAnsi="Calibri" w:cs="Calibri"/>
        </w:rPr>
      </w:pPr>
      <w:r w:rsidRPr="009D6E59">
        <w:rPr>
          <w:rFonts w:ascii="Calibri" w:hAnsi="Calibri" w:cs="Calibri"/>
        </w:rPr>
        <w:t xml:space="preserve">Kyle, Page, and Son H. Kim. 2011. “Long-Term Implications of Alternative Light-Duty Vehicle Technologies for Global Greenhouse Gas Emissions and Primary Energy Demands.” </w:t>
      </w:r>
      <w:r w:rsidRPr="009D6E59">
        <w:rPr>
          <w:rFonts w:ascii="Calibri" w:hAnsi="Calibri" w:cs="Calibri"/>
          <w:i/>
          <w:iCs/>
        </w:rPr>
        <w:t>Energy Policy</w:t>
      </w:r>
      <w:r w:rsidRPr="009D6E59">
        <w:rPr>
          <w:rFonts w:ascii="Calibri" w:hAnsi="Calibri" w:cs="Calibri"/>
        </w:rPr>
        <w:t xml:space="preserve"> 39 (5): 3012–24. https://doi.org/10.1016/j.enpol.2011.03.016.</w:t>
      </w:r>
    </w:p>
    <w:p w14:paraId="7B20F64A" w14:textId="77777777" w:rsidR="009D6E59" w:rsidRPr="009D6E59" w:rsidRDefault="009D6E59" w:rsidP="009D6E59">
      <w:pPr>
        <w:pStyle w:val="Bibliography"/>
        <w:rPr>
          <w:rFonts w:ascii="Calibri" w:hAnsi="Calibri" w:cs="Calibri"/>
        </w:rPr>
      </w:pPr>
      <w:r w:rsidRPr="009D6E59">
        <w:rPr>
          <w:rFonts w:ascii="Calibri" w:hAnsi="Calibri" w:cs="Calibri"/>
        </w:rPr>
        <w:lastRenderedPageBreak/>
        <w:t xml:space="preserve">Lee, Henry, and Grant Lovellette. 2011. “Will Electric Cars Transform the U.S. Market?” </w:t>
      </w:r>
      <w:r w:rsidRPr="009D6E59">
        <w:rPr>
          <w:rFonts w:ascii="Calibri" w:hAnsi="Calibri" w:cs="Calibri"/>
          <w:i/>
          <w:iCs/>
        </w:rPr>
        <w:t>SSRN Electronic Journal</w:t>
      </w:r>
      <w:r w:rsidRPr="009D6E59">
        <w:rPr>
          <w:rFonts w:ascii="Calibri" w:hAnsi="Calibri" w:cs="Calibri"/>
        </w:rPr>
        <w:t>. https://doi.org/10.2139/ssrn.1927351.</w:t>
      </w:r>
    </w:p>
    <w:p w14:paraId="3A956C8B" w14:textId="77777777" w:rsidR="009D6E59" w:rsidRPr="009D6E59" w:rsidRDefault="009D6E59" w:rsidP="009D6E59">
      <w:pPr>
        <w:pStyle w:val="Bibliography"/>
        <w:rPr>
          <w:rFonts w:ascii="Calibri" w:hAnsi="Calibri" w:cs="Calibri"/>
        </w:rPr>
      </w:pPr>
      <w:r w:rsidRPr="009D6E59">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9D6E59">
        <w:rPr>
          <w:rFonts w:ascii="Calibri" w:hAnsi="Calibri" w:cs="Calibri"/>
          <w:i/>
          <w:iCs/>
        </w:rPr>
        <w:t>Energy Policy</w:t>
      </w:r>
      <w:r w:rsidRPr="009D6E59">
        <w:rPr>
          <w:rFonts w:ascii="Calibri" w:hAnsi="Calibri" w:cs="Calibri"/>
        </w:rPr>
        <w:t xml:space="preserve"> 105 (June): 524–33. https://doi.org/10.1016/j.enpol.2017.02.054.</w:t>
      </w:r>
    </w:p>
    <w:p w14:paraId="1171ED7C" w14:textId="77777777" w:rsidR="009D6E59" w:rsidRPr="009D6E59" w:rsidRDefault="009D6E59" w:rsidP="009D6E59">
      <w:pPr>
        <w:pStyle w:val="Bibliography"/>
        <w:rPr>
          <w:rFonts w:ascii="Calibri" w:hAnsi="Calibri" w:cs="Calibri"/>
        </w:rPr>
      </w:pPr>
      <w:r w:rsidRPr="009D6E59">
        <w:rPr>
          <w:rFonts w:ascii="Calibri" w:hAnsi="Calibri" w:cs="Calibri"/>
        </w:rPr>
        <w:t xml:space="preserve">McCollum, David, Volker Krey, Peter Kolp, Yu Nagai, and Keywan Riahi. 2013. “Transport Electrification: A Key Element for Energy System Transformation and Climate Stabilization.” </w:t>
      </w:r>
      <w:r w:rsidRPr="009D6E59">
        <w:rPr>
          <w:rFonts w:ascii="Calibri" w:hAnsi="Calibri" w:cs="Calibri"/>
          <w:i/>
          <w:iCs/>
        </w:rPr>
        <w:t>Climatic Change</w:t>
      </w:r>
      <w:r w:rsidRPr="009D6E59">
        <w:rPr>
          <w:rFonts w:ascii="Calibri" w:hAnsi="Calibri" w:cs="Calibri"/>
        </w:rPr>
        <w:t xml:space="preserve"> 123 (3–4): 651–64. https://doi.org/10.1007/s10584-013-0969-z.</w:t>
      </w:r>
    </w:p>
    <w:p w14:paraId="5AB0717B" w14:textId="77777777" w:rsidR="009D6E59" w:rsidRPr="009D6E59" w:rsidRDefault="009D6E59" w:rsidP="009D6E59">
      <w:pPr>
        <w:pStyle w:val="Bibliography"/>
        <w:rPr>
          <w:rFonts w:ascii="Calibri" w:hAnsi="Calibri" w:cs="Calibri"/>
        </w:rPr>
      </w:pPr>
      <w:r w:rsidRPr="009D6E59">
        <w:rPr>
          <w:rFonts w:ascii="Calibri" w:hAnsi="Calibri" w:cs="Calibri"/>
        </w:rPr>
        <w:t xml:space="preserve">Mersky, Avi Chaim, Frances Sprei, Constantine Samaras, and Zhen (Sean) Qian. 2016. “Effectiveness of Incentives on Electric Vehicle Adoption in Norway.” </w:t>
      </w:r>
      <w:r w:rsidRPr="009D6E59">
        <w:rPr>
          <w:rFonts w:ascii="Calibri" w:hAnsi="Calibri" w:cs="Calibri"/>
          <w:i/>
          <w:iCs/>
        </w:rPr>
        <w:t>Transportation Research Part D: Transport and Environment</w:t>
      </w:r>
      <w:r w:rsidRPr="009D6E59">
        <w:rPr>
          <w:rFonts w:ascii="Calibri" w:hAnsi="Calibri" w:cs="Calibri"/>
        </w:rPr>
        <w:t xml:space="preserve"> 46 (July): 56–68. https://doi.org/10.1016/j.trd.2016.03.011.</w:t>
      </w:r>
    </w:p>
    <w:p w14:paraId="3DFE67CE" w14:textId="77777777" w:rsidR="009D6E59" w:rsidRPr="009D6E59" w:rsidRDefault="009D6E59" w:rsidP="009D6E59">
      <w:pPr>
        <w:pStyle w:val="Bibliography"/>
        <w:rPr>
          <w:rFonts w:ascii="Calibri" w:hAnsi="Calibri" w:cs="Calibri"/>
        </w:rPr>
      </w:pPr>
      <w:r w:rsidRPr="009D6E59">
        <w:rPr>
          <w:rFonts w:ascii="Calibri" w:hAnsi="Calibri" w:cs="Calibri"/>
        </w:rPr>
        <w:t xml:space="preserve">Mittal, Shivika, Hancheng Dai, Shinichiro Fujimori, Tatsuya Hanaoka, and Runsen Zhang. 2017. “Key Factors Influencing the Global Passenger Transport Dynamics Using the AIM/Transport Model.” </w:t>
      </w:r>
      <w:r w:rsidRPr="009D6E59">
        <w:rPr>
          <w:rFonts w:ascii="Calibri" w:hAnsi="Calibri" w:cs="Calibri"/>
          <w:i/>
          <w:iCs/>
        </w:rPr>
        <w:t>Transportation Research Part D: Transport and Environment</w:t>
      </w:r>
      <w:r w:rsidRPr="009D6E59">
        <w:rPr>
          <w:rFonts w:ascii="Calibri" w:hAnsi="Calibri" w:cs="Calibri"/>
        </w:rPr>
        <w:t xml:space="preserve"> 55 (August): 373–88. https://doi.org/10.1016/j.trd.2016.10.006.</w:t>
      </w:r>
    </w:p>
    <w:p w14:paraId="63E127CB" w14:textId="77777777" w:rsidR="009D6E59" w:rsidRPr="009D6E59" w:rsidRDefault="009D6E59" w:rsidP="009D6E59">
      <w:pPr>
        <w:pStyle w:val="Bibliography"/>
        <w:rPr>
          <w:rFonts w:ascii="Calibri" w:hAnsi="Calibri" w:cs="Calibri"/>
        </w:rPr>
      </w:pPr>
      <w:r w:rsidRPr="009D6E59">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4FC08E68" w14:textId="77777777" w:rsidR="009D6E59" w:rsidRPr="009D6E59" w:rsidRDefault="009D6E59" w:rsidP="009D6E59">
      <w:pPr>
        <w:pStyle w:val="Bibliography"/>
        <w:rPr>
          <w:rFonts w:ascii="Calibri" w:hAnsi="Calibri" w:cs="Calibri"/>
        </w:rPr>
      </w:pPr>
      <w:r w:rsidRPr="009D6E59">
        <w:rPr>
          <w:rFonts w:ascii="Calibri" w:hAnsi="Calibri" w:cs="Calibri"/>
        </w:rPr>
        <w:t xml:space="preserve">Nykvist, Björn, and Måns Nilsson. 2015. “Rapidly Falling Costs of Battery Packs for Electric Vehicles.” </w:t>
      </w:r>
      <w:r w:rsidRPr="009D6E59">
        <w:rPr>
          <w:rFonts w:ascii="Calibri" w:hAnsi="Calibri" w:cs="Calibri"/>
          <w:i/>
          <w:iCs/>
        </w:rPr>
        <w:t>Nature Climate Change</w:t>
      </w:r>
      <w:r w:rsidRPr="009D6E59">
        <w:rPr>
          <w:rFonts w:ascii="Calibri" w:hAnsi="Calibri" w:cs="Calibri"/>
        </w:rPr>
        <w:t xml:space="preserve"> 5 (4): 329–32. https://doi.org/10.1038/nclimate2564.</w:t>
      </w:r>
    </w:p>
    <w:p w14:paraId="292408B2" w14:textId="77777777" w:rsidR="009D6E59" w:rsidRPr="009D6E59" w:rsidRDefault="009D6E59" w:rsidP="009D6E59">
      <w:pPr>
        <w:pStyle w:val="Bibliography"/>
        <w:rPr>
          <w:rFonts w:ascii="Calibri" w:hAnsi="Calibri" w:cs="Calibri"/>
        </w:rPr>
      </w:pPr>
      <w:r w:rsidRPr="009D6E59">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666E5121" w14:textId="77777777" w:rsidR="009D6E59" w:rsidRPr="009D6E59" w:rsidRDefault="009D6E59" w:rsidP="009D6E59">
      <w:pPr>
        <w:pStyle w:val="Bibliography"/>
        <w:rPr>
          <w:rFonts w:ascii="Calibri" w:hAnsi="Calibri" w:cs="Calibri"/>
        </w:rPr>
      </w:pPr>
      <w:r w:rsidRPr="009D6E59">
        <w:rPr>
          <w:rFonts w:ascii="Calibri" w:hAnsi="Calibri" w:cs="Calibri"/>
        </w:rPr>
        <w:t>Parik, Gunjan. 2016. “C40: Cities Are Leading An Electric Bus Revolution.” C40. September 9, 2016. https://www.c40.org/blog_posts/cities-are-leading-an-electric-bus-revolution.</w:t>
      </w:r>
    </w:p>
    <w:p w14:paraId="312B4F3B" w14:textId="77777777" w:rsidR="009D6E59" w:rsidRPr="009D6E59" w:rsidRDefault="009D6E59" w:rsidP="009D6E59">
      <w:pPr>
        <w:pStyle w:val="Bibliography"/>
        <w:rPr>
          <w:rFonts w:ascii="Calibri" w:hAnsi="Calibri" w:cs="Calibri"/>
        </w:rPr>
      </w:pPr>
      <w:r w:rsidRPr="009D6E59">
        <w:rPr>
          <w:rFonts w:ascii="Calibri" w:hAnsi="Calibri" w:cs="Calibri"/>
        </w:rPr>
        <w:t>Poon, Linda. 2019. “The Electric Bus Is Running Late.” CityLab. July 20, 2019. https://www.citylab.com/transportation/2019/06/electric-bus-china-grid-ev-charging-infrastructure-battery/591655/.</w:t>
      </w:r>
    </w:p>
    <w:p w14:paraId="658B6804" w14:textId="77777777" w:rsidR="009D6E59" w:rsidRPr="009D6E59" w:rsidRDefault="009D6E59" w:rsidP="009D6E59">
      <w:pPr>
        <w:pStyle w:val="Bibliography"/>
        <w:rPr>
          <w:rFonts w:ascii="Calibri" w:hAnsi="Calibri" w:cs="Calibri"/>
        </w:rPr>
      </w:pPr>
      <w:r w:rsidRPr="009D6E59">
        <w:rPr>
          <w:rFonts w:ascii="Calibri" w:hAnsi="Calibri" w:cs="Calibri"/>
        </w:rPr>
        <w:t>“Proterra: US Record for Electric Bus Battery Capacity - Sustainable Bus.” 2019. March 23, 2019. https://www.sustainable-bus.com/news/proterra-set-a-new-us-record-for-electric-bus-battery-capacity/.</w:t>
      </w:r>
    </w:p>
    <w:p w14:paraId="30225CA3" w14:textId="77777777" w:rsidR="009D6E59" w:rsidRPr="009D6E59" w:rsidRDefault="009D6E59" w:rsidP="009D6E59">
      <w:pPr>
        <w:pStyle w:val="Bibliography"/>
        <w:rPr>
          <w:rFonts w:ascii="Calibri" w:hAnsi="Calibri" w:cs="Calibri"/>
        </w:rPr>
      </w:pPr>
      <w:r w:rsidRPr="009D6E59">
        <w:rPr>
          <w:rFonts w:ascii="Calibri" w:hAnsi="Calibri" w:cs="Calibri"/>
        </w:rPr>
        <w:t xml:space="preserve">Richardson, David B. 2013. “Electric Vehicles and the Electric Grid: A Review of Modeling Approaches, Impacts, and Renewable Energy Integration.” </w:t>
      </w:r>
      <w:r w:rsidRPr="009D6E59">
        <w:rPr>
          <w:rFonts w:ascii="Calibri" w:hAnsi="Calibri" w:cs="Calibri"/>
          <w:i/>
          <w:iCs/>
        </w:rPr>
        <w:t>Renewable and Sustainable Energy Reviews</w:t>
      </w:r>
      <w:r w:rsidRPr="009D6E59">
        <w:rPr>
          <w:rFonts w:ascii="Calibri" w:hAnsi="Calibri" w:cs="Calibri"/>
        </w:rPr>
        <w:t xml:space="preserve"> 19 (March): 247–54. https://doi.org/10.1016/j.rser.2012.11.042.</w:t>
      </w:r>
    </w:p>
    <w:p w14:paraId="3148A45F" w14:textId="77777777" w:rsidR="009D6E59" w:rsidRPr="009D6E59" w:rsidRDefault="009D6E59" w:rsidP="009D6E59">
      <w:pPr>
        <w:pStyle w:val="Bibliography"/>
        <w:rPr>
          <w:rFonts w:ascii="Calibri" w:hAnsi="Calibri" w:cs="Calibri"/>
        </w:rPr>
      </w:pPr>
      <w:r w:rsidRPr="009D6E59">
        <w:rPr>
          <w:rFonts w:ascii="Calibri" w:hAnsi="Calibri" w:cs="Calibri"/>
        </w:rPr>
        <w:t xml:space="preserve">Schmidt, O., A. Hawkes, A. Gambhir, and I. Staffell. 2017. “The Future Cost of Electrical Energy Storage Based on Experience Rates.” </w:t>
      </w:r>
      <w:r w:rsidRPr="009D6E59">
        <w:rPr>
          <w:rFonts w:ascii="Calibri" w:hAnsi="Calibri" w:cs="Calibri"/>
          <w:i/>
          <w:iCs/>
        </w:rPr>
        <w:t>Nature Energy</w:t>
      </w:r>
      <w:r w:rsidRPr="009D6E59">
        <w:rPr>
          <w:rFonts w:ascii="Calibri" w:hAnsi="Calibri" w:cs="Calibri"/>
        </w:rPr>
        <w:t xml:space="preserve"> 2 (8): 17110. https://doi.org/10.1038/nenergy.2017.110.</w:t>
      </w:r>
    </w:p>
    <w:p w14:paraId="4AD68B1B" w14:textId="77777777" w:rsidR="009D6E59" w:rsidRPr="009D6E59" w:rsidRDefault="009D6E59" w:rsidP="009D6E59">
      <w:pPr>
        <w:pStyle w:val="Bibliography"/>
        <w:rPr>
          <w:rFonts w:ascii="Calibri" w:hAnsi="Calibri" w:cs="Calibri"/>
        </w:rPr>
      </w:pPr>
      <w:r w:rsidRPr="009D6E59">
        <w:rPr>
          <w:rFonts w:ascii="Calibri" w:hAnsi="Calibri" w:cs="Calibri"/>
        </w:rPr>
        <w:t xml:space="preserve">Seixas, J., S. Simões, L. Dias, A. Kanudia, P. Fortes, and M. Gargiulo. 2015. “Assessing the Cost-Effectiveness of Electric Vehicles in European Countries Using Integrated Modeling.” </w:t>
      </w:r>
      <w:r w:rsidRPr="009D6E59">
        <w:rPr>
          <w:rFonts w:ascii="Calibri" w:hAnsi="Calibri" w:cs="Calibri"/>
          <w:i/>
          <w:iCs/>
        </w:rPr>
        <w:t>Energy Policy</w:t>
      </w:r>
      <w:r w:rsidRPr="009D6E59">
        <w:rPr>
          <w:rFonts w:ascii="Calibri" w:hAnsi="Calibri" w:cs="Calibri"/>
        </w:rPr>
        <w:t xml:space="preserve"> 80 (May): 165–76. https://doi.org/10.1016/j.enpol.2015.01.032.</w:t>
      </w:r>
    </w:p>
    <w:p w14:paraId="23A3664C" w14:textId="77777777" w:rsidR="009D6E59" w:rsidRPr="009D6E59" w:rsidRDefault="009D6E59" w:rsidP="009D6E59">
      <w:pPr>
        <w:pStyle w:val="Bibliography"/>
        <w:rPr>
          <w:rFonts w:ascii="Calibri" w:hAnsi="Calibri" w:cs="Calibri"/>
        </w:rPr>
      </w:pPr>
      <w:r w:rsidRPr="009D6E59">
        <w:rPr>
          <w:rFonts w:ascii="Calibri" w:hAnsi="Calibri" w:cs="Calibri"/>
        </w:rPr>
        <w:t xml:space="preserve">Sierzchula, William, Sjoerd Bakker, Kees Maat, and Bert van Wee. 2014. “The Influence of Financial Incentives and Other Socio-Economic Factors on Electric Vehicle Adoption.” </w:t>
      </w:r>
      <w:r w:rsidRPr="009D6E59">
        <w:rPr>
          <w:rFonts w:ascii="Calibri" w:hAnsi="Calibri" w:cs="Calibri"/>
          <w:i/>
          <w:iCs/>
        </w:rPr>
        <w:t>Energy Policy</w:t>
      </w:r>
      <w:r w:rsidRPr="009D6E59">
        <w:rPr>
          <w:rFonts w:ascii="Calibri" w:hAnsi="Calibri" w:cs="Calibri"/>
        </w:rPr>
        <w:t xml:space="preserve"> 68 (May): 183–94. https://doi.org/10.1016/j.enpol.2014.01.043.</w:t>
      </w:r>
    </w:p>
    <w:p w14:paraId="4E984321" w14:textId="77777777" w:rsidR="009D6E59" w:rsidRPr="009D6E59" w:rsidRDefault="009D6E59" w:rsidP="009D6E59">
      <w:pPr>
        <w:pStyle w:val="Bibliography"/>
        <w:rPr>
          <w:rFonts w:ascii="Calibri" w:hAnsi="Calibri" w:cs="Calibri"/>
        </w:rPr>
      </w:pPr>
      <w:r w:rsidRPr="009D6E59">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42543ACE" w14:textId="77777777" w:rsidR="009D6E59" w:rsidRPr="009D6E59" w:rsidRDefault="009D6E59" w:rsidP="009D6E59">
      <w:pPr>
        <w:pStyle w:val="Bibliography"/>
        <w:rPr>
          <w:rFonts w:ascii="Calibri" w:hAnsi="Calibri" w:cs="Calibri"/>
        </w:rPr>
      </w:pPr>
      <w:r w:rsidRPr="009D6E59">
        <w:rPr>
          <w:rFonts w:ascii="Calibri" w:hAnsi="Calibri" w:cs="Calibri"/>
        </w:rPr>
        <w:lastRenderedPageBreak/>
        <w:t xml:space="preserve">Tan, Kang Miao, Vigna K. Ramachandaramurthy, and Jia Ying Yong. 2016. “Integration of Electric Vehicles in Smart Grid: A Review on Vehicle to Grid Technologies and Optimization Techniques.” </w:t>
      </w:r>
      <w:r w:rsidRPr="009D6E59">
        <w:rPr>
          <w:rFonts w:ascii="Calibri" w:hAnsi="Calibri" w:cs="Calibri"/>
          <w:i/>
          <w:iCs/>
        </w:rPr>
        <w:t>Renewable and Sustainable Energy Reviews</w:t>
      </w:r>
      <w:r w:rsidRPr="009D6E59">
        <w:rPr>
          <w:rFonts w:ascii="Calibri" w:hAnsi="Calibri" w:cs="Calibri"/>
        </w:rPr>
        <w:t xml:space="preserve"> 53 (January): 720–32. https://doi.org/10.1016/j.rser.2015.09.012.</w:t>
      </w:r>
    </w:p>
    <w:p w14:paraId="3460C74E" w14:textId="77777777" w:rsidR="009D6E59" w:rsidRPr="009D6E59" w:rsidRDefault="009D6E59" w:rsidP="009D6E59">
      <w:pPr>
        <w:pStyle w:val="Bibliography"/>
        <w:rPr>
          <w:rFonts w:ascii="Calibri" w:hAnsi="Calibri" w:cs="Calibri"/>
        </w:rPr>
      </w:pPr>
      <w:r w:rsidRPr="009D6E59">
        <w:rPr>
          <w:rFonts w:ascii="Calibri" w:hAnsi="Calibri" w:cs="Calibri"/>
        </w:rPr>
        <w:t>“Transport — IPCC.” 2014. 2014. https://www.ipcc.ch/report/ar5/wg3/transport/.</w:t>
      </w:r>
    </w:p>
    <w:p w14:paraId="7FCAC656" w14:textId="77777777" w:rsidR="009D6E59" w:rsidRPr="009D6E59" w:rsidRDefault="009D6E59" w:rsidP="009D6E59">
      <w:pPr>
        <w:pStyle w:val="Bibliography"/>
        <w:rPr>
          <w:rFonts w:ascii="Calibri" w:hAnsi="Calibri" w:cs="Calibri"/>
        </w:rPr>
      </w:pPr>
      <w:r w:rsidRPr="009D6E59">
        <w:rPr>
          <w:rFonts w:ascii="Calibri" w:hAnsi="Calibri" w:cs="Calibri"/>
        </w:rPr>
        <w:t xml:space="preserve">Wang, Ning, Linhao Tang, and Huizhong Pan. 2019. “A Global Comparison and Assessment of Incentive Policy on Electric Vehicle Promotion.” </w:t>
      </w:r>
      <w:r w:rsidRPr="009D6E59">
        <w:rPr>
          <w:rFonts w:ascii="Calibri" w:hAnsi="Calibri" w:cs="Calibri"/>
          <w:i/>
          <w:iCs/>
        </w:rPr>
        <w:t>Sustainable Cities and Society</w:t>
      </w:r>
      <w:r w:rsidRPr="009D6E59">
        <w:rPr>
          <w:rFonts w:ascii="Calibri" w:hAnsi="Calibri" w:cs="Calibri"/>
        </w:rPr>
        <w:t xml:space="preserve"> 44 (January): 597–603. https://doi.org/10.1016/j.scs.2018.10.024.</w:t>
      </w:r>
    </w:p>
    <w:p w14:paraId="2127CAA1" w14:textId="77777777" w:rsidR="009D6E59" w:rsidRPr="009D6E59" w:rsidRDefault="009D6E59" w:rsidP="009D6E59">
      <w:pPr>
        <w:pStyle w:val="Bibliography"/>
        <w:rPr>
          <w:rFonts w:ascii="Calibri" w:hAnsi="Calibri" w:cs="Calibri"/>
        </w:rPr>
      </w:pPr>
      <w:r w:rsidRPr="009D6E59">
        <w:rPr>
          <w:rFonts w:ascii="Calibri" w:hAnsi="Calibri" w:cs="Calibri"/>
        </w:rPr>
        <w:t>Wappelhorst, Sandra. 2018. “Using Vehicle Taxation Policy to Lower Transport Emissions: An Overview for Passenger Cars in Europe,” December, 54.</w:t>
      </w:r>
    </w:p>
    <w:p w14:paraId="0E953FDC" w14:textId="77777777" w:rsidR="009D6E59" w:rsidRPr="009D6E59" w:rsidRDefault="009D6E59" w:rsidP="009D6E59">
      <w:pPr>
        <w:pStyle w:val="Bibliography"/>
        <w:rPr>
          <w:rFonts w:ascii="Calibri" w:hAnsi="Calibri" w:cs="Calibri"/>
        </w:rPr>
      </w:pPr>
      <w:r w:rsidRPr="009D6E59">
        <w:rPr>
          <w:rFonts w:ascii="Calibri" w:hAnsi="Calibri" w:cs="Calibri"/>
        </w:rPr>
        <w:t xml:space="preserve">Wu, Ya, and Li Zhang. 2017. “Can the Development of Electric Vehicles Reduce the Emission of Air Pollutants and Greenhouse Gases in Developing Countries?” </w:t>
      </w:r>
      <w:r w:rsidRPr="009D6E59">
        <w:rPr>
          <w:rFonts w:ascii="Calibri" w:hAnsi="Calibri" w:cs="Calibri"/>
          <w:i/>
          <w:iCs/>
        </w:rPr>
        <w:t>Transportation Research Part D: Transport and Environment</w:t>
      </w:r>
      <w:r w:rsidRPr="009D6E59">
        <w:rPr>
          <w:rFonts w:ascii="Calibri" w:hAnsi="Calibri" w:cs="Calibri"/>
        </w:rPr>
        <w:t xml:space="preserve"> 51 (March): 129–45. https://doi.org/10.1016/j.trd.2016.12.007.</w:t>
      </w:r>
    </w:p>
    <w:p w14:paraId="0EBF8556" w14:textId="77777777" w:rsidR="009D6E59" w:rsidRPr="009D6E59" w:rsidRDefault="009D6E59" w:rsidP="009D6E59">
      <w:pPr>
        <w:pStyle w:val="Bibliography"/>
        <w:rPr>
          <w:rFonts w:ascii="Calibri" w:hAnsi="Calibri" w:cs="Calibri"/>
        </w:rPr>
      </w:pPr>
      <w:r w:rsidRPr="009D6E59">
        <w:rPr>
          <w:rFonts w:ascii="Calibri" w:hAnsi="Calibri" w:cs="Calibri"/>
        </w:rPr>
        <w:t>Yang, Zifei. 2016. “Principles for Effective Electric Vehicle Incentive Design,” June, 43.</w:t>
      </w:r>
    </w:p>
    <w:p w14:paraId="646AE060" w14:textId="77777777" w:rsidR="009D6E59" w:rsidRPr="009D6E59" w:rsidRDefault="009D6E59" w:rsidP="009D6E59">
      <w:pPr>
        <w:pStyle w:val="Bibliography"/>
        <w:rPr>
          <w:rFonts w:ascii="Calibri" w:hAnsi="Calibri" w:cs="Calibri"/>
        </w:rPr>
      </w:pPr>
      <w:r w:rsidRPr="009D6E59">
        <w:rPr>
          <w:rFonts w:ascii="Calibri" w:hAnsi="Calibri" w:cs="Calibri"/>
        </w:rPr>
        <w:t xml:space="preserve">Zhang, Runsen, and Shinichiro Fujimori. 2020a. “The Role of Transport Electrification in Global Climate Change Mitigation Scenarios.” </w:t>
      </w:r>
      <w:r w:rsidRPr="009D6E59">
        <w:rPr>
          <w:rFonts w:ascii="Calibri" w:hAnsi="Calibri" w:cs="Calibri"/>
          <w:i/>
          <w:iCs/>
        </w:rPr>
        <w:t>Environmental Research Letters</w:t>
      </w:r>
      <w:r w:rsidRPr="009D6E59">
        <w:rPr>
          <w:rFonts w:ascii="Calibri" w:hAnsi="Calibri" w:cs="Calibri"/>
        </w:rPr>
        <w:t xml:space="preserve"> 15 (3): 034019. https://doi.org/10.1088/1748-9326/ab6658.</w:t>
      </w:r>
    </w:p>
    <w:p w14:paraId="732E9C30" w14:textId="77777777" w:rsidR="009D6E59" w:rsidRPr="009D6E59" w:rsidRDefault="009D6E59" w:rsidP="009D6E59">
      <w:pPr>
        <w:pStyle w:val="Bibliography"/>
        <w:rPr>
          <w:rFonts w:ascii="Calibri" w:hAnsi="Calibri" w:cs="Calibri"/>
        </w:rPr>
      </w:pPr>
      <w:r w:rsidRPr="009D6E59">
        <w:rPr>
          <w:rFonts w:ascii="Calibri" w:hAnsi="Calibri" w:cs="Calibri"/>
        </w:rPr>
        <w:t xml:space="preserve">———. 2020b. “The Role of Transport Electrification in Global Climate Change Mitigation Scenarios.” </w:t>
      </w:r>
      <w:r w:rsidRPr="009D6E59">
        <w:rPr>
          <w:rFonts w:ascii="Calibri" w:hAnsi="Calibri" w:cs="Calibri"/>
          <w:i/>
          <w:iCs/>
        </w:rPr>
        <w:t>Environmental Research Letters</w:t>
      </w:r>
      <w:r w:rsidRPr="009D6E59">
        <w:rPr>
          <w:rFonts w:ascii="Calibri" w:hAnsi="Calibri" w:cs="Calibri"/>
        </w:rPr>
        <w:t xml:space="preserve"> 15 (3): 034019. https://doi.org/10.1088/1748-9326/ab6658.</w:t>
      </w:r>
    </w:p>
    <w:p w14:paraId="42E8BE74" w14:textId="2ABCCE66"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7"/>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4" w:name="_Toc36643848"/>
      <w:r w:rsidRPr="007C2950">
        <w:lastRenderedPageBreak/>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8"/>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lastRenderedPageBreak/>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9"/>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71EA9900" w:rsidR="005571B9" w:rsidRDefault="005571B9" w:rsidP="00C45DD4">
      <w:r>
        <w:t>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w:t>
      </w:r>
      <w:r w:rsidR="00D66498">
        <w:rPr>
          <w:rStyle w:val="FootnoteReference"/>
        </w:rPr>
        <w:footnoteReference w:id="10"/>
      </w:r>
      <w:r>
        <w:t xml:space="preserve">)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t xml:space="preserve">Battery cost curves update </w:t>
      </w:r>
      <w:bookmarkEnd w:id="33"/>
      <w:bookmarkEnd w:id="34"/>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w:t>
      </w:r>
      <w:bookmarkStart w:id="35" w:name="_GoBack"/>
      <w:bookmarkEnd w:id="35"/>
      <w:r>
        <w:t>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 xml:space="preserve">(Jadun et al. </w:t>
      </w:r>
      <w:r w:rsidR="00824F49" w:rsidRPr="00824F49">
        <w:rPr>
          <w:rFonts w:ascii="Calibri" w:hAnsi="Calibri" w:cs="Calibri"/>
        </w:rPr>
        <w:lastRenderedPageBreak/>
        <w:t>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11"/>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470C91C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w:t>
      </w:r>
      <w:r w:rsidR="00755228">
        <w:t xml:space="preserve"> and LUMS</w:t>
      </w:r>
      <w:r>
        <w:t>,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58C83C5B" w:rsidR="00FC3E5A" w:rsidRDefault="00FC3E5A" w:rsidP="00FC3E5A">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w:t>
      </w:r>
      <w:r w:rsidR="001E0630">
        <w:t xml:space="preserve"> </w:t>
      </w:r>
      <w:r w:rsidR="001E0630">
        <w:fldChar w:fldCharType="begin"/>
      </w:r>
      <w:r w:rsidR="001E0630">
        <w:instrText xml:space="preserve"> ADDIN ZOTERO_ITEM CSL_CITATION {"citationID":"3d2SDUEr","properties":{"formattedCitation":"(Ilyas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1E0630">
        <w:fldChar w:fldCharType="separate"/>
      </w:r>
      <w:r w:rsidR="001E0630" w:rsidRPr="001E0630">
        <w:rPr>
          <w:rFonts w:ascii="Calibri" w:hAnsi="Calibri" w:cs="Calibri"/>
        </w:rPr>
        <w:t>(Ilyas 2007)</w:t>
      </w:r>
      <w:r w:rsidR="001E0630">
        <w:fldChar w:fldCharType="end"/>
      </w:r>
      <w:r>
        <w:t xml:space="preserv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2"/>
      </w:r>
      <w:r>
        <w:t xml:space="preserve"> and average inflation of 5.5% over the past five years.</w:t>
      </w:r>
      <w:r>
        <w:rPr>
          <w:rStyle w:val="FootnoteReference"/>
        </w:rPr>
        <w:footnoteReference w:id="13"/>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60B6AB1E" w14:textId="77777777" w:rsidR="00F61E29"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p w14:paraId="6D317B34" w14:textId="08FF0286" w:rsidR="00135732" w:rsidRDefault="00F61E29" w:rsidP="005133FA">
      <w:r>
        <w:rPr>
          <w:noProof/>
        </w:rPr>
        <w:lastRenderedPageBreak/>
        <w:drawing>
          <wp:anchor distT="0" distB="0" distL="114300" distR="114300" simplePos="0" relativeHeight="251658240" behindDoc="0" locked="0" layoutInCell="1" allowOverlap="1" wp14:anchorId="345FF703" wp14:editId="60E5BD2B">
            <wp:simplePos x="0" y="0"/>
            <wp:positionH relativeFrom="column">
              <wp:posOffset>4285753</wp:posOffset>
            </wp:positionH>
            <wp:positionV relativeFrom="paragraph">
              <wp:posOffset>580</wp:posOffset>
            </wp:positionV>
            <wp:extent cx="3371215" cy="2520066"/>
            <wp:effectExtent l="0" t="0" r="635" b="13970"/>
            <wp:wrapSquare wrapText="bothSides"/>
            <wp:docPr id="6" name="Chart 6">
              <a:extLst xmlns:a="http://schemas.openxmlformats.org/drawingml/2006/main">
                <a:ext uri="{FF2B5EF4-FFF2-40B4-BE49-F238E27FC236}">
                  <a16:creationId xmlns:a16="http://schemas.microsoft.com/office/drawing/2014/main" id="{1B47BC76-B997-402D-A534-2C98C5B46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D565F">
        <w:rPr>
          <w:noProof/>
        </w:rPr>
        <w:drawing>
          <wp:anchor distT="0" distB="0" distL="114300" distR="114300" simplePos="0" relativeHeight="251660288" behindDoc="0" locked="0" layoutInCell="1" allowOverlap="1" wp14:anchorId="1CD54E07" wp14:editId="1B62C215">
            <wp:simplePos x="0" y="0"/>
            <wp:positionH relativeFrom="column">
              <wp:posOffset>4285615</wp:posOffset>
            </wp:positionH>
            <wp:positionV relativeFrom="paragraph">
              <wp:posOffset>3625215</wp:posOffset>
            </wp:positionV>
            <wp:extent cx="3371215" cy="2296160"/>
            <wp:effectExtent l="0" t="0" r="635" b="8890"/>
            <wp:wrapSquare wrapText="bothSides"/>
            <wp:docPr id="9" name="Chart 9">
              <a:extLst xmlns:a="http://schemas.openxmlformats.org/drawingml/2006/main">
                <a:ext uri="{FF2B5EF4-FFF2-40B4-BE49-F238E27FC236}">
                  <a16:creationId xmlns:a16="http://schemas.microsoft.com/office/drawing/2014/main" id="{673DFED4-6ED3-47C8-821E-43B5829DE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D565F">
        <w:rPr>
          <w:noProof/>
        </w:rPr>
        <w:drawing>
          <wp:anchor distT="0" distB="0" distL="114300" distR="114300" simplePos="0" relativeHeight="251659264" behindDoc="0" locked="0" layoutInCell="1" allowOverlap="1" wp14:anchorId="0F10D8F0" wp14:editId="59B2D9E1">
            <wp:simplePos x="0" y="0"/>
            <wp:positionH relativeFrom="column">
              <wp:posOffset>4285615</wp:posOffset>
            </wp:positionH>
            <wp:positionV relativeFrom="paragraph">
              <wp:posOffset>1772920</wp:posOffset>
            </wp:positionV>
            <wp:extent cx="3371215" cy="2559685"/>
            <wp:effectExtent l="0" t="0" r="635" b="12065"/>
            <wp:wrapSquare wrapText="bothSides"/>
            <wp:docPr id="7" name="Chart 7">
              <a:extLst xmlns:a="http://schemas.openxmlformats.org/drawingml/2006/main">
                <a:ext uri="{FF2B5EF4-FFF2-40B4-BE49-F238E27FC236}">
                  <a16:creationId xmlns:a16="http://schemas.microsoft.com/office/drawing/2014/main" id="{211F3777-C9C5-48FB-9638-DBCC7AE50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W w:w="5407" w:type="dxa"/>
        <w:tblLook w:val="04A0" w:firstRow="1" w:lastRow="0" w:firstColumn="1" w:lastColumn="0" w:noHBand="0" w:noVBand="1"/>
      </w:tblPr>
      <w:tblGrid>
        <w:gridCol w:w="2193"/>
        <w:gridCol w:w="803"/>
        <w:gridCol w:w="803"/>
        <w:gridCol w:w="803"/>
        <w:gridCol w:w="805"/>
      </w:tblGrid>
      <w:tr w:rsidR="005133FA" w:rsidRPr="0051193B" w14:paraId="42244F24" w14:textId="77777777" w:rsidTr="00135732">
        <w:trPr>
          <w:trHeight w:val="355"/>
        </w:trPr>
        <w:tc>
          <w:tcPr>
            <w:tcW w:w="2193" w:type="dxa"/>
            <w:tcBorders>
              <w:top w:val="nil"/>
              <w:left w:val="nil"/>
              <w:bottom w:val="nil"/>
              <w:right w:val="nil"/>
            </w:tcBorders>
            <w:shd w:val="clear" w:color="auto" w:fill="auto"/>
            <w:noWrap/>
            <w:vAlign w:val="bottom"/>
            <w:hideMark/>
          </w:tcPr>
          <w:p w14:paraId="5F7E029F" w14:textId="77777777" w:rsidR="00135732"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 xml:space="preserve">Base Case </w:t>
            </w:r>
          </w:p>
          <w:p w14:paraId="64F10105" w14:textId="13CDF6B4"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(no localization)</w:t>
            </w:r>
          </w:p>
        </w:tc>
        <w:tc>
          <w:tcPr>
            <w:tcW w:w="803"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803"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135732">
        <w:trPr>
          <w:trHeight w:val="308"/>
        </w:trPr>
        <w:tc>
          <w:tcPr>
            <w:tcW w:w="2193"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803"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803"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803"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0F9686C1" w14:textId="2753A185"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1CBC48CC" w14:textId="1B7EC1C0"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7E4173CD" w14:textId="710B015E"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single" w:sz="8" w:space="0" w:color="auto"/>
              <w:right w:val="nil"/>
            </w:tcBorders>
            <w:shd w:val="clear" w:color="auto" w:fill="auto"/>
            <w:noWrap/>
            <w:vAlign w:val="bottom"/>
            <w:hideMark/>
          </w:tcPr>
          <w:p w14:paraId="30047A6E" w14:textId="37632A7D"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803" w:type="dxa"/>
            <w:tcBorders>
              <w:top w:val="nil"/>
              <w:left w:val="nil"/>
              <w:bottom w:val="single" w:sz="8" w:space="0" w:color="auto"/>
              <w:right w:val="single" w:sz="8" w:space="0" w:color="auto"/>
            </w:tcBorders>
            <w:shd w:val="clear" w:color="auto" w:fill="auto"/>
            <w:noWrap/>
            <w:vAlign w:val="bottom"/>
            <w:hideMark/>
          </w:tcPr>
          <w:p w14:paraId="36D9AAA6" w14:textId="4B65D3C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135732">
        <w:trPr>
          <w:trHeight w:val="308"/>
        </w:trPr>
        <w:tc>
          <w:tcPr>
            <w:tcW w:w="2193"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803"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135732">
        <w:trPr>
          <w:trHeight w:val="355"/>
        </w:trPr>
        <w:tc>
          <w:tcPr>
            <w:tcW w:w="2193"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803"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803"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803"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803"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803"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803"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803"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803"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803"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803"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803"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803"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803"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135732">
        <w:trPr>
          <w:trHeight w:val="339"/>
        </w:trPr>
        <w:tc>
          <w:tcPr>
            <w:tcW w:w="2193"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803"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803"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135732">
        <w:trPr>
          <w:trHeight w:val="339"/>
        </w:trPr>
        <w:tc>
          <w:tcPr>
            <w:tcW w:w="2193"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214"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135732">
        <w:trPr>
          <w:trHeight w:val="308"/>
        </w:trPr>
        <w:tc>
          <w:tcPr>
            <w:tcW w:w="2193"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803"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803"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803"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803"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803"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803"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803"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803"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803"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803"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803"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803"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803"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803"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803"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803"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135732">
        <w:trPr>
          <w:trHeight w:val="339"/>
        </w:trPr>
        <w:tc>
          <w:tcPr>
            <w:tcW w:w="2193"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Buses</w:t>
            </w:r>
          </w:p>
        </w:tc>
        <w:tc>
          <w:tcPr>
            <w:tcW w:w="803"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803"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803"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135732">
        <w:trPr>
          <w:trHeight w:val="355"/>
        </w:trPr>
        <w:tc>
          <w:tcPr>
            <w:tcW w:w="2193"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803"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803"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803"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803"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lastRenderedPageBreak/>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75C7B" w14:textId="77777777" w:rsidR="000F5B26" w:rsidRDefault="000F5B26" w:rsidP="00F7514B">
      <w:pPr>
        <w:spacing w:after="0" w:line="240" w:lineRule="auto"/>
      </w:pPr>
      <w:r>
        <w:separator/>
      </w:r>
    </w:p>
  </w:endnote>
  <w:endnote w:type="continuationSeparator" w:id="0">
    <w:p w14:paraId="14FAF96E" w14:textId="77777777" w:rsidR="000F5B26" w:rsidRDefault="000F5B26"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A715A6"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A715A6" w:rsidRPr="00713220" w:rsidRDefault="00A715A6"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A715A6"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A715A6" w:rsidRPr="006440D5" w:rsidRDefault="00A715A6" w:rsidP="00843BE2">
            <w:pPr>
              <w:pStyle w:val="ListParagraph"/>
              <w:spacing w:after="0" w:line="240" w:lineRule="auto"/>
              <w:rPr>
                <w:rFonts w:eastAsia="Times New Roman" w:cstheme="minorHAnsi"/>
                <w:color w:val="000000"/>
                <w:sz w:val="20"/>
                <w:szCs w:val="20"/>
              </w:rPr>
            </w:pPr>
          </w:p>
        </w:tc>
      </w:tr>
      <w:tr w:rsidR="00A715A6"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A715A6" w:rsidRPr="006440D5" w:rsidRDefault="00A715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A715A6"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A715A6" w:rsidRPr="00D05018" w:rsidRDefault="00A715A6" w:rsidP="00D05018">
            <w:pPr>
              <w:spacing w:after="0" w:line="240" w:lineRule="auto"/>
              <w:rPr>
                <w:rFonts w:eastAsia="Times New Roman" w:cstheme="minorHAnsi"/>
                <w:color w:val="000000"/>
                <w:sz w:val="20"/>
                <w:szCs w:val="20"/>
              </w:rPr>
            </w:pPr>
          </w:p>
        </w:tc>
      </w:tr>
      <w:tr w:rsidR="00A715A6"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A715A6" w:rsidRPr="006440D5" w:rsidRDefault="00A715A6"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A715A6" w:rsidRPr="006440D5" w:rsidRDefault="00A715A6" w:rsidP="00315409">
      <w:pPr>
        <w:pStyle w:val="EndnoteText"/>
      </w:pPr>
    </w:p>
  </w:endnote>
  <w:endnote w:id="2">
    <w:p w14:paraId="21122BC2" w14:textId="77777777" w:rsidR="00A715A6" w:rsidRDefault="00A715A6"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A715A6" w:rsidRDefault="00A715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A715A6" w:rsidRDefault="00A7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BB4F0" w14:textId="77777777" w:rsidR="000F5B26" w:rsidRDefault="000F5B26" w:rsidP="00F7514B">
      <w:pPr>
        <w:spacing w:after="0" w:line="240" w:lineRule="auto"/>
      </w:pPr>
      <w:r>
        <w:separator/>
      </w:r>
    </w:p>
  </w:footnote>
  <w:footnote w:type="continuationSeparator" w:id="0">
    <w:p w14:paraId="320E86BC" w14:textId="77777777" w:rsidR="000F5B26" w:rsidRDefault="000F5B26" w:rsidP="00F7514B">
      <w:pPr>
        <w:spacing w:after="0" w:line="240" w:lineRule="auto"/>
      </w:pPr>
      <w:r>
        <w:continuationSeparator/>
      </w:r>
    </w:p>
  </w:footnote>
  <w:footnote w:id="1">
    <w:p w14:paraId="1EF90BC1" w14:textId="77777777" w:rsidR="00A715A6" w:rsidRDefault="00A715A6"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A715A6" w:rsidRDefault="00A715A6">
      <w:pPr>
        <w:pStyle w:val="FootnoteText"/>
      </w:pPr>
      <w:r>
        <w:rPr>
          <w:rStyle w:val="FootnoteReference"/>
        </w:rPr>
        <w:footnoteRef/>
      </w:r>
      <w:r>
        <w:t xml:space="preserve"> See appendix A.3 for details on updates to transportation assumptions.</w:t>
      </w:r>
    </w:p>
  </w:footnote>
  <w:footnote w:id="3">
    <w:p w14:paraId="45B9BE5B" w14:textId="28A62559" w:rsidR="00A715A6" w:rsidRDefault="00A715A6">
      <w:pPr>
        <w:pStyle w:val="FootnoteText"/>
      </w:pPr>
      <w:r>
        <w:rPr>
          <w:rStyle w:val="FootnoteReference"/>
        </w:rPr>
        <w:footnoteRef/>
      </w:r>
      <w:r>
        <w:t xml:space="preserve"> See Appendix B.1 for details.</w:t>
      </w:r>
    </w:p>
  </w:footnote>
  <w:footnote w:id="4">
    <w:p w14:paraId="3A120C57" w14:textId="16AF8EBC" w:rsidR="00A715A6" w:rsidRDefault="00A715A6">
      <w:pPr>
        <w:pStyle w:val="FootnoteText"/>
      </w:pPr>
      <w:r>
        <w:rPr>
          <w:rStyle w:val="FootnoteReference"/>
        </w:rPr>
        <w:footnoteRef/>
      </w:r>
      <w:r>
        <w:t xml:space="preserve"> We saw signs that intracity busing was significantly reduced in Pakistan compared to India and China, due to cultural preference.  While our data was not conclusive enough to modify share weights determining modal split, busing in some cities has been unreliable enough and 2 and 3 wheelers cheap enough that many have chosen that route.</w:t>
      </w:r>
      <w:r w:rsidR="00827DE4">
        <w:t xml:space="preserve"> </w:t>
      </w:r>
    </w:p>
  </w:footnote>
  <w:footnote w:id="5">
    <w:p w14:paraId="089B0111" w14:textId="4A087DC1" w:rsidR="00A715A6" w:rsidRDefault="00A715A6">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6">
    <w:p w14:paraId="64EB7F36" w14:textId="4084A34A" w:rsidR="00A715A6" w:rsidRDefault="00A715A6">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7">
    <w:p w14:paraId="294D9528" w14:textId="77777777" w:rsidR="00A715A6" w:rsidRDefault="00A715A6" w:rsidP="00E8474E">
      <w:pPr>
        <w:pStyle w:val="FootnoteText"/>
      </w:pPr>
      <w:r w:rsidRPr="00713D82">
        <w:rPr>
          <w:rStyle w:val="FootnoteReference"/>
          <w:highlight w:val="yellow"/>
        </w:rPr>
        <w:footnoteRef/>
      </w:r>
      <w:r w:rsidRPr="00713D82">
        <w:rPr>
          <w:highlight w:val="yellow"/>
        </w:rPr>
        <w:t xml:space="preserve"> Check the reasoning/sources behind these changes (and whether these should still be used as baseline assumptions in all scenarios).</w:t>
      </w:r>
    </w:p>
  </w:footnote>
  <w:footnote w:id="8">
    <w:p w14:paraId="3F44B139" w14:textId="77777777" w:rsidR="00A715A6" w:rsidRPr="00DA38D4" w:rsidRDefault="00A715A6"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A715A6" w:rsidRDefault="00A715A6" w:rsidP="00E8474E">
      <w:pPr>
        <w:pStyle w:val="FootnoteText"/>
      </w:pPr>
    </w:p>
  </w:footnote>
  <w:footnote w:id="9">
    <w:p w14:paraId="109E79B4" w14:textId="59C077CE" w:rsidR="00A715A6" w:rsidRDefault="00A715A6">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10">
    <w:p w14:paraId="4FFC9BDF" w14:textId="4A5DC3E2" w:rsidR="00D66498" w:rsidRDefault="00D66498">
      <w:pPr>
        <w:pStyle w:val="FootnoteText"/>
      </w:pPr>
      <w:r>
        <w:rPr>
          <w:rStyle w:val="FootnoteReference"/>
        </w:rPr>
        <w:footnoteRef/>
      </w:r>
      <w:r>
        <w:t xml:space="preserve"> Note that share weights do not include consumer behaviors like a higher discount rate applied to future costs savings, which persists even with mature technologies. For this reason, we perform a separate sensitivity to model higher perceived costs of EVs (see appendix B.2).</w:t>
      </w:r>
    </w:p>
  </w:footnote>
  <w:footnote w:id="11">
    <w:p w14:paraId="0A2C1632" w14:textId="5EB66F09" w:rsidR="00A715A6" w:rsidRPr="008D7301" w:rsidRDefault="00A715A6"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2020)","noteIndex":9},"citationItems":[{"id":78,"uris":["http://zotero.org/users/local/GpkrhFR0/items/PUGXZ3XF"],"uri":["http://zotero.org/users/local/GpkrhFR0/items/PUGXZ3XF"],"itemData":{"id":78,"type":"entry-encyclopedia","abstract":"The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2019)","noteIndex":9},"citationItems":[{"id":72,"uris":["http://zotero.org/users/local/GpkrhFR0/items/2RHPEV7D"],"uri":["http://zotero.org/users/local/GpkrhFR0/items/2RHPEV7D"],"itemData":{"id":72,"type":"webpage","abstract":"Two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2019)","noteIndex":9},"citationItems":[{"id":74,"uris":["http://zotero.org/users/local/GpkrhFR0/items/J7ALMW66"],"uri":["http://zotero.org/users/local/GpkrhFR0/items/J7ALMW66"],"itemData":{"id":74,"type":"webpage","title":"Proterra: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2019)","noteIndex":9},"citationItems":[{"id":76,"uris":["http://zotero.org/users/local/GpkrhFR0/items/SACK379X"],"uri":["http://zotero.org/users/local/GpkrhFR0/items/SACK379X"],"itemData":{"id":76,"type":"webpage","abstract":"U.S.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A715A6" w:rsidRDefault="00A715A6">
      <w:pPr>
        <w:pStyle w:val="FootnoteText"/>
      </w:pPr>
    </w:p>
  </w:footnote>
  <w:footnote w:id="12">
    <w:p w14:paraId="01FD0366" w14:textId="77777777" w:rsidR="00A715A6" w:rsidRDefault="00A715A6"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3">
    <w:p w14:paraId="6278110E" w14:textId="77777777" w:rsidR="00A715A6" w:rsidRDefault="00A715A6"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A715A6" w:rsidRPr="00F7514B" w:rsidRDefault="00A715A6"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2"/>
  </w:num>
  <w:num w:numId="3">
    <w:abstractNumId w:val="16"/>
  </w:num>
  <w:num w:numId="4">
    <w:abstractNumId w:val="17"/>
  </w:num>
  <w:num w:numId="5">
    <w:abstractNumId w:val="1"/>
  </w:num>
  <w:num w:numId="6">
    <w:abstractNumId w:val="6"/>
  </w:num>
  <w:num w:numId="7">
    <w:abstractNumId w:val="15"/>
  </w:num>
  <w:num w:numId="8">
    <w:abstractNumId w:val="7"/>
  </w:num>
  <w:num w:numId="9">
    <w:abstractNumId w:val="19"/>
  </w:num>
  <w:num w:numId="10">
    <w:abstractNumId w:val="9"/>
  </w:num>
  <w:num w:numId="11">
    <w:abstractNumId w:val="11"/>
  </w:num>
  <w:num w:numId="12">
    <w:abstractNumId w:val="18"/>
  </w:num>
  <w:num w:numId="13">
    <w:abstractNumId w:val="22"/>
  </w:num>
  <w:num w:numId="14">
    <w:abstractNumId w:val="21"/>
  </w:num>
  <w:num w:numId="15">
    <w:abstractNumId w:val="28"/>
  </w:num>
  <w:num w:numId="16">
    <w:abstractNumId w:val="10"/>
  </w:num>
  <w:num w:numId="17">
    <w:abstractNumId w:val="20"/>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0"/>
  </w:num>
  <w:num w:numId="21">
    <w:abstractNumId w:val="14"/>
  </w:num>
  <w:num w:numId="22">
    <w:abstractNumId w:val="14"/>
  </w:num>
  <w:num w:numId="23">
    <w:abstractNumId w:val="27"/>
  </w:num>
  <w:num w:numId="24">
    <w:abstractNumId w:val="24"/>
  </w:num>
  <w:num w:numId="25">
    <w:abstractNumId w:val="14"/>
  </w:num>
  <w:num w:numId="26">
    <w:abstractNumId w:val="14"/>
  </w:num>
  <w:num w:numId="27">
    <w:abstractNumId w:val="14"/>
  </w:num>
  <w:num w:numId="28">
    <w:abstractNumId w:val="14"/>
  </w:num>
  <w:num w:numId="29">
    <w:abstractNumId w:val="13"/>
  </w:num>
  <w:num w:numId="30">
    <w:abstractNumId w:val="14"/>
  </w:num>
  <w:num w:numId="31">
    <w:abstractNumId w:val="26"/>
  </w:num>
  <w:num w:numId="32">
    <w:abstractNumId w:val="23"/>
  </w:num>
  <w:num w:numId="33">
    <w:abstractNumId w:val="2"/>
  </w:num>
  <w:num w:numId="34">
    <w:abstractNumId w:val="25"/>
  </w:num>
  <w:num w:numId="35">
    <w:abstractNumId w:val="3"/>
  </w:num>
  <w:num w:numId="36">
    <w:abstractNumId w:val="8"/>
  </w:num>
  <w:num w:numId="37">
    <w:abstractNumId w:val="4"/>
  </w:num>
  <w:num w:numId="38">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1881"/>
    <w:rsid w:val="0006211A"/>
    <w:rsid w:val="0006309C"/>
    <w:rsid w:val="00063892"/>
    <w:rsid w:val="00063C02"/>
    <w:rsid w:val="00066F3F"/>
    <w:rsid w:val="00070802"/>
    <w:rsid w:val="00072ED7"/>
    <w:rsid w:val="00074464"/>
    <w:rsid w:val="000759E9"/>
    <w:rsid w:val="00076D6B"/>
    <w:rsid w:val="0008195D"/>
    <w:rsid w:val="000823DC"/>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5B26"/>
    <w:rsid w:val="000F7256"/>
    <w:rsid w:val="00102E7E"/>
    <w:rsid w:val="00103C29"/>
    <w:rsid w:val="001103E1"/>
    <w:rsid w:val="001127C7"/>
    <w:rsid w:val="00112CEB"/>
    <w:rsid w:val="001160A3"/>
    <w:rsid w:val="00120D8E"/>
    <w:rsid w:val="00122D0B"/>
    <w:rsid w:val="00126E84"/>
    <w:rsid w:val="001332E3"/>
    <w:rsid w:val="00133EC8"/>
    <w:rsid w:val="00135732"/>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95BFF"/>
    <w:rsid w:val="001A1884"/>
    <w:rsid w:val="001B37B9"/>
    <w:rsid w:val="001B4039"/>
    <w:rsid w:val="001B4CB4"/>
    <w:rsid w:val="001C240F"/>
    <w:rsid w:val="001C6294"/>
    <w:rsid w:val="001D437E"/>
    <w:rsid w:val="001D6264"/>
    <w:rsid w:val="001D6D1F"/>
    <w:rsid w:val="001E0630"/>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B66D6"/>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5CDE"/>
    <w:rsid w:val="003566F0"/>
    <w:rsid w:val="003568E7"/>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3416"/>
    <w:rsid w:val="003B4120"/>
    <w:rsid w:val="003B4E7A"/>
    <w:rsid w:val="003B57C5"/>
    <w:rsid w:val="003C4840"/>
    <w:rsid w:val="003C6A7D"/>
    <w:rsid w:val="003C6A8B"/>
    <w:rsid w:val="003D25B1"/>
    <w:rsid w:val="003D565F"/>
    <w:rsid w:val="003D62BC"/>
    <w:rsid w:val="003E02C5"/>
    <w:rsid w:val="003E2431"/>
    <w:rsid w:val="003E4000"/>
    <w:rsid w:val="003E5385"/>
    <w:rsid w:val="003F0074"/>
    <w:rsid w:val="003F31E2"/>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41E7"/>
    <w:rsid w:val="004B6C44"/>
    <w:rsid w:val="004B70AE"/>
    <w:rsid w:val="004C56DA"/>
    <w:rsid w:val="004C591D"/>
    <w:rsid w:val="004C5E67"/>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C642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7E9"/>
    <w:rsid w:val="006E4F94"/>
    <w:rsid w:val="006F262D"/>
    <w:rsid w:val="007025B8"/>
    <w:rsid w:val="00702AD6"/>
    <w:rsid w:val="00704B3F"/>
    <w:rsid w:val="007078CD"/>
    <w:rsid w:val="007120B7"/>
    <w:rsid w:val="00713D82"/>
    <w:rsid w:val="00713E77"/>
    <w:rsid w:val="007166DE"/>
    <w:rsid w:val="0071680C"/>
    <w:rsid w:val="00717DF7"/>
    <w:rsid w:val="00717EEE"/>
    <w:rsid w:val="00722185"/>
    <w:rsid w:val="007249F4"/>
    <w:rsid w:val="0072652E"/>
    <w:rsid w:val="0073119F"/>
    <w:rsid w:val="00735238"/>
    <w:rsid w:val="007354C6"/>
    <w:rsid w:val="00737AE5"/>
    <w:rsid w:val="00745451"/>
    <w:rsid w:val="00751211"/>
    <w:rsid w:val="00751BB4"/>
    <w:rsid w:val="00752A30"/>
    <w:rsid w:val="00752FC3"/>
    <w:rsid w:val="007537DC"/>
    <w:rsid w:val="007544DF"/>
    <w:rsid w:val="00755228"/>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68D5"/>
    <w:rsid w:val="007C78C7"/>
    <w:rsid w:val="007D0ADC"/>
    <w:rsid w:val="007D1B1D"/>
    <w:rsid w:val="007D2C75"/>
    <w:rsid w:val="007D4AE7"/>
    <w:rsid w:val="007D7E67"/>
    <w:rsid w:val="007E2862"/>
    <w:rsid w:val="007E2C0F"/>
    <w:rsid w:val="007E49FA"/>
    <w:rsid w:val="007F200E"/>
    <w:rsid w:val="007F28B7"/>
    <w:rsid w:val="008027F4"/>
    <w:rsid w:val="00803BC8"/>
    <w:rsid w:val="00805EE4"/>
    <w:rsid w:val="00810DBC"/>
    <w:rsid w:val="00811136"/>
    <w:rsid w:val="00817653"/>
    <w:rsid w:val="00820500"/>
    <w:rsid w:val="0082403E"/>
    <w:rsid w:val="00824F49"/>
    <w:rsid w:val="0082568E"/>
    <w:rsid w:val="00826E59"/>
    <w:rsid w:val="0082756C"/>
    <w:rsid w:val="00827DE4"/>
    <w:rsid w:val="008316A1"/>
    <w:rsid w:val="008324E2"/>
    <w:rsid w:val="00832F8F"/>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1F06"/>
    <w:rsid w:val="00922CD6"/>
    <w:rsid w:val="0092631E"/>
    <w:rsid w:val="0093014F"/>
    <w:rsid w:val="00930D11"/>
    <w:rsid w:val="009321A4"/>
    <w:rsid w:val="0093288B"/>
    <w:rsid w:val="009335D4"/>
    <w:rsid w:val="00934F3C"/>
    <w:rsid w:val="009433C8"/>
    <w:rsid w:val="009444EF"/>
    <w:rsid w:val="009479E9"/>
    <w:rsid w:val="00950A67"/>
    <w:rsid w:val="009517BB"/>
    <w:rsid w:val="0096045E"/>
    <w:rsid w:val="0096332E"/>
    <w:rsid w:val="00964D0B"/>
    <w:rsid w:val="00965EFA"/>
    <w:rsid w:val="009709CD"/>
    <w:rsid w:val="00971534"/>
    <w:rsid w:val="00974488"/>
    <w:rsid w:val="00977443"/>
    <w:rsid w:val="009803F8"/>
    <w:rsid w:val="0099184B"/>
    <w:rsid w:val="00996FD4"/>
    <w:rsid w:val="00997C3B"/>
    <w:rsid w:val="009B0722"/>
    <w:rsid w:val="009B2654"/>
    <w:rsid w:val="009B2AD4"/>
    <w:rsid w:val="009B4D33"/>
    <w:rsid w:val="009B6874"/>
    <w:rsid w:val="009C2CD2"/>
    <w:rsid w:val="009C3DFD"/>
    <w:rsid w:val="009C4683"/>
    <w:rsid w:val="009D6E59"/>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15A6"/>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3C3"/>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2D1"/>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1F8"/>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4F11"/>
    <w:rsid w:val="00C85374"/>
    <w:rsid w:val="00C87B95"/>
    <w:rsid w:val="00C91BC2"/>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E5AD8"/>
    <w:rsid w:val="00CF6F84"/>
    <w:rsid w:val="00D04F7D"/>
    <w:rsid w:val="00D05018"/>
    <w:rsid w:val="00D12C26"/>
    <w:rsid w:val="00D14490"/>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4DA"/>
    <w:rsid w:val="00D65ACA"/>
    <w:rsid w:val="00D66498"/>
    <w:rsid w:val="00D7139B"/>
    <w:rsid w:val="00D72DE8"/>
    <w:rsid w:val="00D751CB"/>
    <w:rsid w:val="00D770AD"/>
    <w:rsid w:val="00D82E2E"/>
    <w:rsid w:val="00D83713"/>
    <w:rsid w:val="00D84A78"/>
    <w:rsid w:val="00D87EDF"/>
    <w:rsid w:val="00D91F98"/>
    <w:rsid w:val="00D92AAF"/>
    <w:rsid w:val="00DA2F64"/>
    <w:rsid w:val="00DA2F8C"/>
    <w:rsid w:val="00DA300E"/>
    <w:rsid w:val="00DA35EE"/>
    <w:rsid w:val="00DA6269"/>
    <w:rsid w:val="00DB2274"/>
    <w:rsid w:val="00DB74D0"/>
    <w:rsid w:val="00DB7D94"/>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2034"/>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0AA0"/>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A5F54"/>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61E29"/>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r398\Documents\pakistan_project\EVs\cost_analysis\NEVP_taxes_loc_scenari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fees'!$A$3</c:f>
              <c:strCache>
                <c:ptCount val="1"/>
                <c:pt idx="0">
                  <c:v>Two-wheelers</c:v>
                </c:pt>
              </c:strCache>
            </c:strRef>
          </c:tx>
          <c:spPr>
            <a:ln w="28575" cap="rnd">
              <a:solidFill>
                <a:schemeClr val="accent1"/>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fees'!$B$3:$E$3</c:f>
              <c:numCache>
                <c:formatCode>0%</c:formatCode>
                <c:ptCount val="4"/>
                <c:pt idx="0">
                  <c:v>3.1404534247729821E-2</c:v>
                </c:pt>
                <c:pt idx="1">
                  <c:v>0.18516072966328223</c:v>
                </c:pt>
                <c:pt idx="2">
                  <c:v>0.34935999999999989</c:v>
                </c:pt>
                <c:pt idx="3">
                  <c:v>0.58066273599999996</c:v>
                </c:pt>
              </c:numCache>
            </c:numRef>
          </c:val>
          <c:smooth val="0"/>
          <c:extLst>
            <c:ext xmlns:c16="http://schemas.microsoft.com/office/drawing/2014/chart" uri="{C3380CC4-5D6E-409C-BE32-E72D297353CC}">
              <c16:uniqueId val="{00000000-6EB8-4A5C-9FBF-14AAD12B84E2}"/>
            </c:ext>
          </c:extLst>
        </c:ser>
        <c:ser>
          <c:idx val="1"/>
          <c:order val="1"/>
          <c:tx>
            <c:strRef>
              <c:f>'taxes, duties, fees'!$A$4</c:f>
              <c:strCache>
                <c:ptCount val="1"/>
                <c:pt idx="0">
                  <c:v>Three-wheelers</c:v>
                </c:pt>
              </c:strCache>
            </c:strRef>
          </c:tx>
          <c:spPr>
            <a:ln w="28575" cap="rnd">
              <a:solidFill>
                <a:schemeClr val="accent2"/>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fees'!$B$4:$E$4</c:f>
              <c:numCache>
                <c:formatCode>0%</c:formatCode>
                <c:ptCount val="4"/>
                <c:pt idx="0">
                  <c:v>3.1404534247729821E-2</c:v>
                </c:pt>
                <c:pt idx="1">
                  <c:v>0.18516072966328223</c:v>
                </c:pt>
                <c:pt idx="2">
                  <c:v>0.34935999999999989</c:v>
                </c:pt>
                <c:pt idx="3">
                  <c:v>0.58066273599999996</c:v>
                </c:pt>
              </c:numCache>
            </c:numRef>
          </c:val>
          <c:smooth val="0"/>
          <c:extLst>
            <c:ext xmlns:c16="http://schemas.microsoft.com/office/drawing/2014/chart" uri="{C3380CC4-5D6E-409C-BE32-E72D297353CC}">
              <c16:uniqueId val="{00000001-6EB8-4A5C-9FBF-14AAD12B84E2}"/>
            </c:ext>
          </c:extLst>
        </c:ser>
        <c:ser>
          <c:idx val="2"/>
          <c:order val="2"/>
          <c:tx>
            <c:strRef>
              <c:f>'taxes, duties, fees'!$A$5</c:f>
              <c:strCache>
                <c:ptCount val="1"/>
                <c:pt idx="0">
                  <c:v>Cars</c:v>
                </c:pt>
              </c:strCache>
            </c:strRef>
          </c:tx>
          <c:spPr>
            <a:ln w="28575" cap="rnd">
              <a:solidFill>
                <a:schemeClr val="accent3"/>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fees'!$B$5:$E$5</c:f>
              <c:numCache>
                <c:formatCode>0%</c:formatCode>
                <c:ptCount val="4"/>
                <c:pt idx="0">
                  <c:v>3.1404534247729821E-2</c:v>
                </c:pt>
                <c:pt idx="1">
                  <c:v>0.18516072966328223</c:v>
                </c:pt>
                <c:pt idx="2">
                  <c:v>0.34935999999999989</c:v>
                </c:pt>
                <c:pt idx="3">
                  <c:v>0.63139140441600006</c:v>
                </c:pt>
              </c:numCache>
            </c:numRef>
          </c:val>
          <c:smooth val="0"/>
          <c:extLst>
            <c:ext xmlns:c16="http://schemas.microsoft.com/office/drawing/2014/chart" uri="{C3380CC4-5D6E-409C-BE32-E72D297353CC}">
              <c16:uniqueId val="{00000002-6EB8-4A5C-9FBF-14AAD12B84E2}"/>
            </c:ext>
          </c:extLst>
        </c:ser>
        <c:ser>
          <c:idx val="3"/>
          <c:order val="3"/>
          <c:tx>
            <c:strRef>
              <c:f>'taxes, duties, fees'!$A$6</c:f>
              <c:strCache>
                <c:ptCount val="1"/>
                <c:pt idx="0">
                  <c:v>Buses</c:v>
                </c:pt>
              </c:strCache>
            </c:strRef>
          </c:tx>
          <c:spPr>
            <a:ln w="28575" cap="rnd">
              <a:solidFill>
                <a:schemeClr val="accent4"/>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fees'!$B$6:$E$6</c:f>
              <c:numCache>
                <c:formatCode>0%</c:formatCode>
                <c:ptCount val="4"/>
                <c:pt idx="0">
                  <c:v>1.7069999999999919E-2</c:v>
                </c:pt>
                <c:pt idx="1">
                  <c:v>0.18674999999999997</c:v>
                </c:pt>
                <c:pt idx="2">
                  <c:v>0.36350000000000016</c:v>
                </c:pt>
                <c:pt idx="3">
                  <c:v>0.60362070000000001</c:v>
                </c:pt>
              </c:numCache>
            </c:numRef>
          </c:val>
          <c:smooth val="0"/>
          <c:extLst>
            <c:ext xmlns:c16="http://schemas.microsoft.com/office/drawing/2014/chart" uri="{C3380CC4-5D6E-409C-BE32-E72D297353CC}">
              <c16:uniqueId val="{00000003-6EB8-4A5C-9FBF-14AAD12B84E2}"/>
            </c:ext>
          </c:extLst>
        </c:ser>
        <c:ser>
          <c:idx val="4"/>
          <c:order val="4"/>
          <c:tx>
            <c:strRef>
              <c:f>'taxes, duties, fees'!$A$7</c:f>
              <c:strCache>
                <c:ptCount val="1"/>
                <c:pt idx="0">
                  <c:v>Trucks</c:v>
                </c:pt>
              </c:strCache>
            </c:strRef>
          </c:tx>
          <c:spPr>
            <a:ln w="28575" cap="rnd">
              <a:solidFill>
                <a:schemeClr val="accent5"/>
              </a:solidFill>
              <a:round/>
            </a:ln>
            <a:effectLst/>
          </c:spPr>
          <c:marker>
            <c:symbol val="none"/>
          </c:marker>
          <c:cat>
            <c:numRef>
              <c:f>'taxes, duties, fees'!$B$2:$E$2</c:f>
              <c:numCache>
                <c:formatCode>General</c:formatCode>
                <c:ptCount val="4"/>
                <c:pt idx="0">
                  <c:v>2020</c:v>
                </c:pt>
                <c:pt idx="1">
                  <c:v>2025</c:v>
                </c:pt>
                <c:pt idx="2">
                  <c:v>2030</c:v>
                </c:pt>
                <c:pt idx="3">
                  <c:v>2035</c:v>
                </c:pt>
              </c:numCache>
            </c:numRef>
          </c:cat>
          <c:val>
            <c:numRef>
              <c:f>'taxes, duties, fees'!$B$7:$E$7</c:f>
              <c:numCache>
                <c:formatCode>0%</c:formatCode>
                <c:ptCount val="4"/>
                <c:pt idx="0">
                  <c:v>1.7069999999999919E-2</c:v>
                </c:pt>
                <c:pt idx="1">
                  <c:v>0.18674999999999997</c:v>
                </c:pt>
                <c:pt idx="2">
                  <c:v>0.36350000000000016</c:v>
                </c:pt>
                <c:pt idx="3">
                  <c:v>0.60362070000000001</c:v>
                </c:pt>
              </c:numCache>
            </c:numRef>
          </c:val>
          <c:smooth val="0"/>
          <c:extLst>
            <c:ext xmlns:c16="http://schemas.microsoft.com/office/drawing/2014/chart" uri="{C3380CC4-5D6E-409C-BE32-E72D297353CC}">
              <c16:uniqueId val="{00000004-6EB8-4A5C-9FBF-14AAD12B84E2}"/>
            </c:ext>
          </c:extLst>
        </c:ser>
        <c:dLbls>
          <c:showLegendKey val="0"/>
          <c:showVal val="0"/>
          <c:showCatName val="0"/>
          <c:showSerName val="0"/>
          <c:showPercent val="0"/>
          <c:showBubbleSize val="0"/>
        </c:dLbls>
        <c:smooth val="0"/>
        <c:axId val="454744736"/>
        <c:axId val="358318112"/>
      </c:lineChart>
      <c:catAx>
        <c:axId val="45474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18112"/>
        <c:crosses val="autoZero"/>
        <c:auto val="1"/>
        <c:lblAlgn val="ctr"/>
        <c:lblOffset val="100"/>
        <c:noMultiLvlLbl val="0"/>
      </c:catAx>
      <c:valAx>
        <c:axId val="358318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4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Accelerated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fees'!$A$19</c:f>
              <c:strCache>
                <c:ptCount val="1"/>
                <c:pt idx="0">
                  <c:v>Two-wheelers</c:v>
                </c:pt>
              </c:strCache>
            </c:strRef>
          </c:tx>
          <c:spPr>
            <a:ln w="28575" cap="rnd">
              <a:solidFill>
                <a:schemeClr val="accent1"/>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fees'!$B$19:$E$19</c:f>
              <c:numCache>
                <c:formatCode>0%</c:formatCode>
                <c:ptCount val="4"/>
                <c:pt idx="0">
                  <c:v>9.3290178655170974E-2</c:v>
                </c:pt>
                <c:pt idx="1">
                  <c:v>0.13203599629481122</c:v>
                </c:pt>
                <c:pt idx="2">
                  <c:v>9.6112599999999881E-2</c:v>
                </c:pt>
                <c:pt idx="3">
                  <c:v>0.27547429425999986</c:v>
                </c:pt>
              </c:numCache>
            </c:numRef>
          </c:val>
          <c:smooth val="0"/>
          <c:extLst>
            <c:ext xmlns:c16="http://schemas.microsoft.com/office/drawing/2014/chart" uri="{C3380CC4-5D6E-409C-BE32-E72D297353CC}">
              <c16:uniqueId val="{00000000-12BA-448F-BE06-5D76FA4F4675}"/>
            </c:ext>
          </c:extLst>
        </c:ser>
        <c:ser>
          <c:idx val="1"/>
          <c:order val="1"/>
          <c:tx>
            <c:strRef>
              <c:f>'taxes, duties, fees'!$A$20</c:f>
              <c:strCache>
                <c:ptCount val="1"/>
                <c:pt idx="0">
                  <c:v>Three-wheelers</c:v>
                </c:pt>
              </c:strCache>
            </c:strRef>
          </c:tx>
          <c:spPr>
            <a:ln w="28575" cap="rnd">
              <a:solidFill>
                <a:schemeClr val="accent2"/>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fees'!$B$20:$E$20</c:f>
              <c:numCache>
                <c:formatCode>0%</c:formatCode>
                <c:ptCount val="4"/>
                <c:pt idx="0">
                  <c:v>9.3290178655170974E-2</c:v>
                </c:pt>
                <c:pt idx="1">
                  <c:v>0.13203599629481122</c:v>
                </c:pt>
                <c:pt idx="2">
                  <c:v>9.6112599999999881E-2</c:v>
                </c:pt>
                <c:pt idx="3">
                  <c:v>0.27547429425999986</c:v>
                </c:pt>
              </c:numCache>
            </c:numRef>
          </c:val>
          <c:smooth val="0"/>
          <c:extLst>
            <c:ext xmlns:c16="http://schemas.microsoft.com/office/drawing/2014/chart" uri="{C3380CC4-5D6E-409C-BE32-E72D297353CC}">
              <c16:uniqueId val="{00000001-12BA-448F-BE06-5D76FA4F4675}"/>
            </c:ext>
          </c:extLst>
        </c:ser>
        <c:ser>
          <c:idx val="2"/>
          <c:order val="2"/>
          <c:tx>
            <c:strRef>
              <c:f>'taxes, duties, fees'!$A$21</c:f>
              <c:strCache>
                <c:ptCount val="1"/>
                <c:pt idx="0">
                  <c:v>Cars</c:v>
                </c:pt>
              </c:strCache>
            </c:strRef>
          </c:tx>
          <c:spPr>
            <a:ln w="28575" cap="rnd">
              <a:solidFill>
                <a:schemeClr val="accent3"/>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fees'!$B$21:$E$21</c:f>
              <c:numCache>
                <c:formatCode>0%</c:formatCode>
                <c:ptCount val="4"/>
                <c:pt idx="0">
                  <c:v>7.9449938691845245E-2</c:v>
                </c:pt>
                <c:pt idx="1">
                  <c:v>0.13495183555465751</c:v>
                </c:pt>
                <c:pt idx="2">
                  <c:v>0.14277459999999986</c:v>
                </c:pt>
                <c:pt idx="3">
                  <c:v>0.37293063997775988</c:v>
                </c:pt>
              </c:numCache>
            </c:numRef>
          </c:val>
          <c:smooth val="0"/>
          <c:extLst>
            <c:ext xmlns:c16="http://schemas.microsoft.com/office/drawing/2014/chart" uri="{C3380CC4-5D6E-409C-BE32-E72D297353CC}">
              <c16:uniqueId val="{00000002-12BA-448F-BE06-5D76FA4F4675}"/>
            </c:ext>
          </c:extLst>
        </c:ser>
        <c:ser>
          <c:idx val="3"/>
          <c:order val="3"/>
          <c:tx>
            <c:strRef>
              <c:f>'taxes, duties, fees'!$A$22</c:f>
              <c:strCache>
                <c:ptCount val="1"/>
                <c:pt idx="0">
                  <c:v>Buses</c:v>
                </c:pt>
              </c:strCache>
            </c:strRef>
          </c:tx>
          <c:spPr>
            <a:ln w="28575" cap="rnd">
              <a:solidFill>
                <a:schemeClr val="accent4"/>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fees'!$B$22:$E$22</c:f>
              <c:numCache>
                <c:formatCode>0%</c:formatCode>
                <c:ptCount val="4"/>
                <c:pt idx="0">
                  <c:v>2.1670235661943815E-2</c:v>
                </c:pt>
                <c:pt idx="1">
                  <c:v>0.16719101203629805</c:v>
                </c:pt>
                <c:pt idx="2">
                  <c:v>0.28742679999999998</c:v>
                </c:pt>
                <c:pt idx="3">
                  <c:v>0.51103720535999997</c:v>
                </c:pt>
              </c:numCache>
            </c:numRef>
          </c:val>
          <c:smooth val="0"/>
          <c:extLst>
            <c:ext xmlns:c16="http://schemas.microsoft.com/office/drawing/2014/chart" uri="{C3380CC4-5D6E-409C-BE32-E72D297353CC}">
              <c16:uniqueId val="{00000003-12BA-448F-BE06-5D76FA4F4675}"/>
            </c:ext>
          </c:extLst>
        </c:ser>
        <c:ser>
          <c:idx val="4"/>
          <c:order val="4"/>
          <c:tx>
            <c:strRef>
              <c:f>'taxes, duties, fees'!$A$23</c:f>
              <c:strCache>
                <c:ptCount val="1"/>
                <c:pt idx="0">
                  <c:v>Trucks</c:v>
                </c:pt>
              </c:strCache>
            </c:strRef>
          </c:tx>
          <c:spPr>
            <a:ln w="28575" cap="rnd">
              <a:solidFill>
                <a:schemeClr val="accent5"/>
              </a:solidFill>
              <a:round/>
            </a:ln>
            <a:effectLst/>
          </c:spPr>
          <c:marker>
            <c:symbol val="none"/>
          </c:marker>
          <c:cat>
            <c:numRef>
              <c:f>'taxes, duties, fees'!$B$18:$E$18</c:f>
              <c:numCache>
                <c:formatCode>General</c:formatCode>
                <c:ptCount val="4"/>
                <c:pt idx="0">
                  <c:v>2020</c:v>
                </c:pt>
                <c:pt idx="1">
                  <c:v>2025</c:v>
                </c:pt>
                <c:pt idx="2">
                  <c:v>2030</c:v>
                </c:pt>
                <c:pt idx="3">
                  <c:v>2035</c:v>
                </c:pt>
              </c:numCache>
            </c:numRef>
          </c:cat>
          <c:val>
            <c:numRef>
              <c:f>'taxes, duties, fees'!$B$23:$E$23</c:f>
              <c:numCache>
                <c:formatCode>0%</c:formatCode>
                <c:ptCount val="4"/>
                <c:pt idx="0">
                  <c:v>2.1670235661943815E-2</c:v>
                </c:pt>
                <c:pt idx="1">
                  <c:v>0.16057749064306148</c:v>
                </c:pt>
                <c:pt idx="2">
                  <c:v>0.25292520000000018</c:v>
                </c:pt>
                <c:pt idx="3">
                  <c:v>0.46904766503999984</c:v>
                </c:pt>
              </c:numCache>
            </c:numRef>
          </c:val>
          <c:smooth val="0"/>
          <c:extLst>
            <c:ext xmlns:c16="http://schemas.microsoft.com/office/drawing/2014/chart" uri="{C3380CC4-5D6E-409C-BE32-E72D297353CC}">
              <c16:uniqueId val="{00000004-12BA-448F-BE06-5D76FA4F4675}"/>
            </c:ext>
          </c:extLst>
        </c:ser>
        <c:dLbls>
          <c:showLegendKey val="0"/>
          <c:showVal val="0"/>
          <c:showCatName val="0"/>
          <c:showSerName val="0"/>
          <c:showPercent val="0"/>
          <c:showBubbleSize val="0"/>
        </c:dLbls>
        <c:smooth val="0"/>
        <c:axId val="351314224"/>
        <c:axId val="448389712"/>
      </c:lineChart>
      <c:catAx>
        <c:axId val="35131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89712"/>
        <c:crosses val="autoZero"/>
        <c:auto val="1"/>
        <c:lblAlgn val="ctr"/>
        <c:lblOffset val="100"/>
        <c:noMultiLvlLbl val="0"/>
      </c:catAx>
      <c:valAx>
        <c:axId val="448389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31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Gradual Localization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'taxes, duties, fees'!$A$11</c:f>
              <c:strCache>
                <c:ptCount val="1"/>
                <c:pt idx="0">
                  <c:v>Two-wheelers</c:v>
                </c:pt>
              </c:strCache>
            </c:strRef>
          </c:tx>
          <c:spPr>
            <a:ln w="28575" cap="rnd">
              <a:solidFill>
                <a:schemeClr val="accent1"/>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fees'!$B$11:$E$11</c:f>
              <c:numCache>
                <c:formatCode>0%</c:formatCode>
                <c:ptCount val="4"/>
                <c:pt idx="0">
                  <c:v>4.0845555079855433E-2</c:v>
                </c:pt>
                <c:pt idx="1">
                  <c:v>0.14889303789454411</c:v>
                </c:pt>
                <c:pt idx="2">
                  <c:v>0.18759839999999994</c:v>
                </c:pt>
                <c:pt idx="3">
                  <c:v>0.38572383184000003</c:v>
                </c:pt>
              </c:numCache>
            </c:numRef>
          </c:val>
          <c:smooth val="0"/>
          <c:extLst>
            <c:ext xmlns:c16="http://schemas.microsoft.com/office/drawing/2014/chart" uri="{C3380CC4-5D6E-409C-BE32-E72D297353CC}">
              <c16:uniqueId val="{00000000-0B39-4DD8-93BA-E8364CF82E8F}"/>
            </c:ext>
          </c:extLst>
        </c:ser>
        <c:ser>
          <c:idx val="1"/>
          <c:order val="1"/>
          <c:tx>
            <c:strRef>
              <c:f>'taxes, duties, fees'!$A$12</c:f>
              <c:strCache>
                <c:ptCount val="1"/>
                <c:pt idx="0">
                  <c:v>Three-wheelers</c:v>
                </c:pt>
              </c:strCache>
            </c:strRef>
          </c:tx>
          <c:spPr>
            <a:ln w="28575" cap="rnd">
              <a:solidFill>
                <a:schemeClr val="accent2"/>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fees'!$B$12:$E$12</c:f>
              <c:numCache>
                <c:formatCode>0%</c:formatCode>
                <c:ptCount val="4"/>
                <c:pt idx="0">
                  <c:v>4.0845555079855433E-2</c:v>
                </c:pt>
                <c:pt idx="1">
                  <c:v>0.14889303789454411</c:v>
                </c:pt>
                <c:pt idx="2">
                  <c:v>0.18759839999999994</c:v>
                </c:pt>
                <c:pt idx="3">
                  <c:v>0.38572383184000003</c:v>
                </c:pt>
              </c:numCache>
            </c:numRef>
          </c:val>
          <c:smooth val="0"/>
          <c:extLst>
            <c:ext xmlns:c16="http://schemas.microsoft.com/office/drawing/2014/chart" uri="{C3380CC4-5D6E-409C-BE32-E72D297353CC}">
              <c16:uniqueId val="{00000001-0B39-4DD8-93BA-E8364CF82E8F}"/>
            </c:ext>
          </c:extLst>
        </c:ser>
        <c:ser>
          <c:idx val="2"/>
          <c:order val="2"/>
          <c:tx>
            <c:strRef>
              <c:f>'taxes, duties, fees'!$A$13</c:f>
              <c:strCache>
                <c:ptCount val="1"/>
                <c:pt idx="0">
                  <c:v>Cars</c:v>
                </c:pt>
              </c:strCache>
            </c:strRef>
          </c:tx>
          <c:spPr>
            <a:ln w="28575" cap="rnd">
              <a:solidFill>
                <a:schemeClr val="accent3"/>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fees'!$B$13:$E$13</c:f>
              <c:numCache>
                <c:formatCode>0%</c:formatCode>
                <c:ptCount val="4"/>
                <c:pt idx="0">
                  <c:v>6.7240869867054576E-2</c:v>
                </c:pt>
                <c:pt idx="1">
                  <c:v>0.17620272420649274</c:v>
                </c:pt>
                <c:pt idx="2">
                  <c:v>0.30778839999999996</c:v>
                </c:pt>
                <c:pt idx="3">
                  <c:v>0.57938081937503993</c:v>
                </c:pt>
              </c:numCache>
            </c:numRef>
          </c:val>
          <c:smooth val="0"/>
          <c:extLst>
            <c:ext xmlns:c16="http://schemas.microsoft.com/office/drawing/2014/chart" uri="{C3380CC4-5D6E-409C-BE32-E72D297353CC}">
              <c16:uniqueId val="{00000002-0B39-4DD8-93BA-E8364CF82E8F}"/>
            </c:ext>
          </c:extLst>
        </c:ser>
        <c:ser>
          <c:idx val="3"/>
          <c:order val="3"/>
          <c:tx>
            <c:strRef>
              <c:f>'taxes, duties, fees'!$A$14</c:f>
              <c:strCache>
                <c:ptCount val="1"/>
                <c:pt idx="0">
                  <c:v>Buses</c:v>
                </c:pt>
              </c:strCache>
            </c:strRef>
          </c:tx>
          <c:spPr>
            <a:ln w="28575" cap="rnd">
              <a:solidFill>
                <a:schemeClr val="accent4"/>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fees'!$B$14:$E$14</c:f>
              <c:numCache>
                <c:formatCode>0%</c:formatCode>
                <c:ptCount val="4"/>
                <c:pt idx="0">
                  <c:v>1.9830141397166212E-2</c:v>
                </c:pt>
                <c:pt idx="1">
                  <c:v>0.17570411698270338</c:v>
                </c:pt>
                <c:pt idx="2">
                  <c:v>0.3219284</c:v>
                </c:pt>
                <c:pt idx="3">
                  <c:v>0.55302674567999999</c:v>
                </c:pt>
              </c:numCache>
            </c:numRef>
          </c:val>
          <c:smooth val="0"/>
          <c:extLst>
            <c:ext xmlns:c16="http://schemas.microsoft.com/office/drawing/2014/chart" uri="{C3380CC4-5D6E-409C-BE32-E72D297353CC}">
              <c16:uniqueId val="{00000003-0B39-4DD8-93BA-E8364CF82E8F}"/>
            </c:ext>
          </c:extLst>
        </c:ser>
        <c:ser>
          <c:idx val="4"/>
          <c:order val="4"/>
          <c:tx>
            <c:strRef>
              <c:f>'taxes, duties, fees'!$A$15</c:f>
              <c:strCache>
                <c:ptCount val="1"/>
                <c:pt idx="0">
                  <c:v>Trucks</c:v>
                </c:pt>
              </c:strCache>
            </c:strRef>
          </c:tx>
          <c:spPr>
            <a:ln w="28575" cap="rnd">
              <a:solidFill>
                <a:schemeClr val="accent5"/>
              </a:solidFill>
              <a:round/>
            </a:ln>
            <a:effectLst/>
          </c:spPr>
          <c:marker>
            <c:symbol val="none"/>
          </c:marker>
          <c:cat>
            <c:numRef>
              <c:f>'taxes, duties, fees'!$B$10:$E$10</c:f>
              <c:numCache>
                <c:formatCode>General</c:formatCode>
                <c:ptCount val="4"/>
                <c:pt idx="0">
                  <c:v>2020</c:v>
                </c:pt>
                <c:pt idx="1">
                  <c:v>2025</c:v>
                </c:pt>
                <c:pt idx="2">
                  <c:v>2030</c:v>
                </c:pt>
                <c:pt idx="3">
                  <c:v>2035</c:v>
                </c:pt>
              </c:numCache>
            </c:numRef>
          </c:cat>
          <c:val>
            <c:numRef>
              <c:f>'taxes, duties, fees'!$B$15:$E$15</c:f>
              <c:numCache>
                <c:formatCode>0%</c:formatCode>
                <c:ptCount val="4"/>
                <c:pt idx="0">
                  <c:v>1.9830141397166212E-2</c:v>
                </c:pt>
                <c:pt idx="1">
                  <c:v>0.1690905955894666</c:v>
                </c:pt>
                <c:pt idx="2">
                  <c:v>0.30821259999999984</c:v>
                </c:pt>
                <c:pt idx="3">
                  <c:v>0.53633418251999998</c:v>
                </c:pt>
              </c:numCache>
            </c:numRef>
          </c:val>
          <c:smooth val="0"/>
          <c:extLst>
            <c:ext xmlns:c16="http://schemas.microsoft.com/office/drawing/2014/chart" uri="{C3380CC4-5D6E-409C-BE32-E72D297353CC}">
              <c16:uniqueId val="{00000004-0B39-4DD8-93BA-E8364CF82E8F}"/>
            </c:ext>
          </c:extLst>
        </c:ser>
        <c:dLbls>
          <c:showLegendKey val="0"/>
          <c:showVal val="0"/>
          <c:showCatName val="0"/>
          <c:showSerName val="0"/>
          <c:showPercent val="0"/>
          <c:showBubbleSize val="0"/>
        </c:dLbls>
        <c:smooth val="0"/>
        <c:axId val="452272672"/>
        <c:axId val="454098672"/>
      </c:lineChart>
      <c:catAx>
        <c:axId val="45227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098672"/>
        <c:crosses val="autoZero"/>
        <c:auto val="1"/>
        <c:lblAlgn val="ctr"/>
        <c:lblOffset val="100"/>
        <c:noMultiLvlLbl val="0"/>
      </c:catAx>
      <c:valAx>
        <c:axId val="454098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27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5ECE15C-9E09-411B-BD2E-A1696523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37</Pages>
  <Words>24642</Words>
  <Characters>140462</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13</cp:revision>
  <cp:lastPrinted>2019-12-31T23:48:00Z</cp:lastPrinted>
  <dcterms:created xsi:type="dcterms:W3CDTF">2020-04-15T21:51:00Z</dcterms:created>
  <dcterms:modified xsi:type="dcterms:W3CDTF">2020-04-24T21:32:00Z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id="jjP21Vsg"/&gt;&lt;style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