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B471" w14:textId="599BA7D3" w:rsidR="00707C77" w:rsidRDefault="00AC579F" w:rsidP="00AC579F">
      <w:pPr>
        <w:pStyle w:val="Title"/>
      </w:pPr>
      <w:r>
        <w:t>Vulnerability Audit and Assessment: Results, Executive Summary, and Critical Reflection</w:t>
      </w:r>
    </w:p>
    <w:p w14:paraId="772D35AD" w14:textId="77777777" w:rsidR="00AC579F" w:rsidRDefault="00AC579F" w:rsidP="00AC579F"/>
    <w:p w14:paraId="3DEC2FDD" w14:textId="77777777" w:rsidR="00AC579F" w:rsidRDefault="00AC579F" w:rsidP="00AC579F"/>
    <w:p w14:paraId="5DCC645F" w14:textId="77777777" w:rsidR="00AC579F" w:rsidRDefault="00AC579F" w:rsidP="00AC579F"/>
    <w:p w14:paraId="212D68BD" w14:textId="77777777" w:rsidR="00AC579F" w:rsidRDefault="00AC579F" w:rsidP="00AC579F"/>
    <w:p w14:paraId="3E091B52" w14:textId="77777777" w:rsidR="00AC579F" w:rsidRDefault="00AC579F" w:rsidP="00AC579F"/>
    <w:p w14:paraId="42CCEDCE" w14:textId="77777777" w:rsidR="00AC579F" w:rsidRDefault="00AC579F" w:rsidP="00AC579F"/>
    <w:p w14:paraId="08996720" w14:textId="77777777" w:rsidR="00AC579F" w:rsidRDefault="00AC579F" w:rsidP="00AC579F"/>
    <w:p w14:paraId="65B122DF" w14:textId="77777777" w:rsidR="00AC579F" w:rsidRDefault="00AC579F" w:rsidP="00AC579F"/>
    <w:p w14:paraId="58330E9F" w14:textId="77777777" w:rsidR="00AC579F" w:rsidRDefault="00AC579F" w:rsidP="00AC579F"/>
    <w:p w14:paraId="4C010315" w14:textId="77777777" w:rsidR="00AC579F" w:rsidRDefault="00AC579F" w:rsidP="00AC579F"/>
    <w:p w14:paraId="7ADBB377" w14:textId="77777777" w:rsidR="00AC579F" w:rsidRDefault="00AC579F" w:rsidP="00AC579F"/>
    <w:p w14:paraId="40DD1154" w14:textId="77777777" w:rsidR="00AC579F" w:rsidRDefault="00AC579F" w:rsidP="00AC579F"/>
    <w:p w14:paraId="0BA762C7" w14:textId="77777777" w:rsidR="00AC579F" w:rsidRDefault="00AC579F" w:rsidP="00AC579F"/>
    <w:p w14:paraId="22290E58" w14:textId="77777777" w:rsidR="00AC579F" w:rsidRDefault="00AC579F" w:rsidP="00AC579F"/>
    <w:p w14:paraId="5F64951A" w14:textId="77777777" w:rsidR="00AC579F" w:rsidRDefault="00AC579F" w:rsidP="00AC579F"/>
    <w:p w14:paraId="409515C7" w14:textId="77777777" w:rsidR="00AC579F" w:rsidRDefault="00AC579F" w:rsidP="00AC579F"/>
    <w:p w14:paraId="3DCBB87E" w14:textId="77777777" w:rsidR="00AC579F" w:rsidRDefault="00AC579F" w:rsidP="00AC579F"/>
    <w:p w14:paraId="5E304B9A" w14:textId="77777777" w:rsidR="00AC579F" w:rsidRDefault="00AC579F" w:rsidP="00AC579F"/>
    <w:p w14:paraId="522B2108" w14:textId="77777777" w:rsidR="00AC579F" w:rsidRDefault="00AC579F" w:rsidP="00AC579F"/>
    <w:p w14:paraId="000C0D24" w14:textId="2DCB01C7" w:rsidR="00AC579F" w:rsidRDefault="00AC579F" w:rsidP="00AC579F">
      <w:r>
        <w:t>Molly Fraser</w:t>
      </w:r>
    </w:p>
    <w:p w14:paraId="65E2A352" w14:textId="2ABD55D8" w:rsidR="00AC579F" w:rsidRDefault="00917D11" w:rsidP="00AC579F">
      <w:r>
        <w:t>27</w:t>
      </w:r>
      <w:r w:rsidR="00AC579F">
        <w:t>/0</w:t>
      </w:r>
      <w:r>
        <w:t>5</w:t>
      </w:r>
      <w:r w:rsidR="00AC579F">
        <w:t>/2026</w:t>
      </w:r>
    </w:p>
    <w:p w14:paraId="5EED170B" w14:textId="31BAF61F" w:rsidR="007A1E37" w:rsidRDefault="007A1E37">
      <w:r>
        <w:t xml:space="preserve">Part A: </w:t>
      </w:r>
      <w:r w:rsidR="00481DEC">
        <w:t>886</w:t>
      </w:r>
      <w:r>
        <w:t xml:space="preserve"> Words</w:t>
      </w:r>
    </w:p>
    <w:p w14:paraId="0377C3C3" w14:textId="672466FF" w:rsidR="007A1E37" w:rsidRDefault="007A1E37">
      <w:r>
        <w:t xml:space="preserve">Part B: </w:t>
      </w:r>
      <w:r w:rsidR="00481DEC">
        <w:t>600</w:t>
      </w:r>
      <w:r>
        <w:t xml:space="preserve"> Words</w:t>
      </w:r>
    </w:p>
    <w:p w14:paraId="68CB9BA2" w14:textId="2DB92F22" w:rsidR="00AC579F" w:rsidRDefault="007A1E37">
      <w:r>
        <w:t xml:space="preserve">Total: </w:t>
      </w:r>
      <w:r w:rsidR="00481DEC">
        <w:t>1486</w:t>
      </w:r>
      <w:r>
        <w:t xml:space="preserve"> Words</w:t>
      </w:r>
      <w:r w:rsidR="00AC579F">
        <w:br w:type="page"/>
      </w:r>
    </w:p>
    <w:sdt>
      <w:sdtPr>
        <w:rPr>
          <w:rFonts w:asciiTheme="minorHAnsi" w:eastAsiaTheme="minorHAnsi" w:hAnsiTheme="minorHAnsi" w:cstheme="minorBidi"/>
          <w:b w:val="0"/>
          <w:bCs w:val="0"/>
          <w:color w:val="auto"/>
          <w:kern w:val="2"/>
          <w:sz w:val="24"/>
          <w:szCs w:val="24"/>
          <w:lang w:val="en-GB"/>
          <w14:ligatures w14:val="standardContextual"/>
        </w:rPr>
        <w:id w:val="-712807642"/>
        <w:docPartObj>
          <w:docPartGallery w:val="Table of Contents"/>
          <w:docPartUnique/>
        </w:docPartObj>
      </w:sdtPr>
      <w:sdtEndPr>
        <w:rPr>
          <w:noProof/>
        </w:rPr>
      </w:sdtEndPr>
      <w:sdtContent>
        <w:p w14:paraId="24FE5D3D" w14:textId="60796C5F" w:rsidR="00AC579F" w:rsidRDefault="00AC579F">
          <w:pPr>
            <w:pStyle w:val="TOCHeading"/>
          </w:pPr>
          <w:r>
            <w:t>Table of Contents</w:t>
          </w:r>
        </w:p>
        <w:p w14:paraId="0F77327B" w14:textId="15ECBCBA" w:rsidR="00652E20" w:rsidRDefault="00AC579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0761775" w:history="1">
            <w:r w:rsidR="00652E20" w:rsidRPr="0028118B">
              <w:rPr>
                <w:rStyle w:val="Hyperlink"/>
                <w:noProof/>
              </w:rPr>
              <w:t>Part A: Executive Summary and Recommendations</w:t>
            </w:r>
            <w:r w:rsidR="00652E20">
              <w:rPr>
                <w:noProof/>
                <w:webHidden/>
              </w:rPr>
              <w:tab/>
            </w:r>
            <w:r w:rsidR="00652E20">
              <w:rPr>
                <w:noProof/>
                <w:webHidden/>
              </w:rPr>
              <w:fldChar w:fldCharType="begin"/>
            </w:r>
            <w:r w:rsidR="00652E20">
              <w:rPr>
                <w:noProof/>
                <w:webHidden/>
              </w:rPr>
              <w:instrText xml:space="preserve"> PAGEREF _Toc230761775 \h </w:instrText>
            </w:r>
            <w:r w:rsidR="00652E20">
              <w:rPr>
                <w:noProof/>
                <w:webHidden/>
              </w:rPr>
            </w:r>
            <w:r w:rsidR="00652E20">
              <w:rPr>
                <w:noProof/>
                <w:webHidden/>
              </w:rPr>
              <w:fldChar w:fldCharType="separate"/>
            </w:r>
            <w:r w:rsidR="00652E20">
              <w:rPr>
                <w:noProof/>
                <w:webHidden/>
              </w:rPr>
              <w:t>3</w:t>
            </w:r>
            <w:r w:rsidR="00652E20">
              <w:rPr>
                <w:noProof/>
                <w:webHidden/>
              </w:rPr>
              <w:fldChar w:fldCharType="end"/>
            </w:r>
          </w:hyperlink>
        </w:p>
        <w:p w14:paraId="6AD857D9" w14:textId="4254C97E" w:rsidR="00652E20" w:rsidRDefault="00652E20">
          <w:pPr>
            <w:pStyle w:val="TOC2"/>
            <w:tabs>
              <w:tab w:val="right" w:leader="dot" w:pos="9016"/>
            </w:tabs>
            <w:rPr>
              <w:rFonts w:eastAsiaTheme="minorEastAsia"/>
              <w:b w:val="0"/>
              <w:bCs w:val="0"/>
              <w:noProof/>
              <w:sz w:val="24"/>
              <w:szCs w:val="24"/>
              <w:lang w:eastAsia="en-GB"/>
            </w:rPr>
          </w:pPr>
          <w:hyperlink w:anchor="_Toc230761776" w:history="1">
            <w:r w:rsidRPr="0028118B">
              <w:rPr>
                <w:rStyle w:val="Hyperlink"/>
                <w:noProof/>
              </w:rPr>
              <w:t>Introduction and Scope</w:t>
            </w:r>
            <w:r>
              <w:rPr>
                <w:noProof/>
                <w:webHidden/>
              </w:rPr>
              <w:tab/>
            </w:r>
            <w:r>
              <w:rPr>
                <w:noProof/>
                <w:webHidden/>
              </w:rPr>
              <w:fldChar w:fldCharType="begin"/>
            </w:r>
            <w:r>
              <w:rPr>
                <w:noProof/>
                <w:webHidden/>
              </w:rPr>
              <w:instrText xml:space="preserve"> PAGEREF _Toc230761776 \h </w:instrText>
            </w:r>
            <w:r>
              <w:rPr>
                <w:noProof/>
                <w:webHidden/>
              </w:rPr>
            </w:r>
            <w:r>
              <w:rPr>
                <w:noProof/>
                <w:webHidden/>
              </w:rPr>
              <w:fldChar w:fldCharType="separate"/>
            </w:r>
            <w:r>
              <w:rPr>
                <w:noProof/>
                <w:webHidden/>
              </w:rPr>
              <w:t>3</w:t>
            </w:r>
            <w:r>
              <w:rPr>
                <w:noProof/>
                <w:webHidden/>
              </w:rPr>
              <w:fldChar w:fldCharType="end"/>
            </w:r>
          </w:hyperlink>
        </w:p>
        <w:p w14:paraId="08AEFE65" w14:textId="51E7FBBD" w:rsidR="00652E20" w:rsidRDefault="00652E20">
          <w:pPr>
            <w:pStyle w:val="TOC2"/>
            <w:tabs>
              <w:tab w:val="right" w:leader="dot" w:pos="9016"/>
            </w:tabs>
            <w:rPr>
              <w:rFonts w:eastAsiaTheme="minorEastAsia"/>
              <w:b w:val="0"/>
              <w:bCs w:val="0"/>
              <w:noProof/>
              <w:sz w:val="24"/>
              <w:szCs w:val="24"/>
              <w:lang w:eastAsia="en-GB"/>
            </w:rPr>
          </w:pPr>
          <w:hyperlink w:anchor="_Toc230761777" w:history="1">
            <w:r w:rsidRPr="0028118B">
              <w:rPr>
                <w:rStyle w:val="Hyperlink"/>
                <w:noProof/>
              </w:rPr>
              <w:t>Synthesis of Technical Vulnerabilities and Business Impacts</w:t>
            </w:r>
            <w:r>
              <w:rPr>
                <w:noProof/>
                <w:webHidden/>
              </w:rPr>
              <w:tab/>
            </w:r>
            <w:r>
              <w:rPr>
                <w:noProof/>
                <w:webHidden/>
              </w:rPr>
              <w:fldChar w:fldCharType="begin"/>
            </w:r>
            <w:r>
              <w:rPr>
                <w:noProof/>
                <w:webHidden/>
              </w:rPr>
              <w:instrText xml:space="preserve"> PAGEREF _Toc230761777 \h </w:instrText>
            </w:r>
            <w:r>
              <w:rPr>
                <w:noProof/>
                <w:webHidden/>
              </w:rPr>
            </w:r>
            <w:r>
              <w:rPr>
                <w:noProof/>
                <w:webHidden/>
              </w:rPr>
              <w:fldChar w:fldCharType="separate"/>
            </w:r>
            <w:r>
              <w:rPr>
                <w:noProof/>
                <w:webHidden/>
              </w:rPr>
              <w:t>3</w:t>
            </w:r>
            <w:r>
              <w:rPr>
                <w:noProof/>
                <w:webHidden/>
              </w:rPr>
              <w:fldChar w:fldCharType="end"/>
            </w:r>
          </w:hyperlink>
        </w:p>
        <w:p w14:paraId="3C622502" w14:textId="6DA2D415" w:rsidR="00652E20" w:rsidRDefault="00652E20">
          <w:pPr>
            <w:pStyle w:val="TOC2"/>
            <w:tabs>
              <w:tab w:val="right" w:leader="dot" w:pos="9016"/>
            </w:tabs>
            <w:rPr>
              <w:rFonts w:eastAsiaTheme="minorEastAsia"/>
              <w:b w:val="0"/>
              <w:bCs w:val="0"/>
              <w:noProof/>
              <w:sz w:val="24"/>
              <w:szCs w:val="24"/>
              <w:lang w:eastAsia="en-GB"/>
            </w:rPr>
          </w:pPr>
          <w:hyperlink w:anchor="_Toc230761778" w:history="1">
            <w:r w:rsidRPr="0028118B">
              <w:rPr>
                <w:rStyle w:val="Hyperlink"/>
                <w:noProof/>
              </w:rPr>
              <w:t>Holistic Mitigation Roadmap</w:t>
            </w:r>
            <w:r>
              <w:rPr>
                <w:noProof/>
                <w:webHidden/>
              </w:rPr>
              <w:tab/>
            </w:r>
            <w:r>
              <w:rPr>
                <w:noProof/>
                <w:webHidden/>
              </w:rPr>
              <w:fldChar w:fldCharType="begin"/>
            </w:r>
            <w:r>
              <w:rPr>
                <w:noProof/>
                <w:webHidden/>
              </w:rPr>
              <w:instrText xml:space="preserve"> PAGEREF _Toc230761778 \h </w:instrText>
            </w:r>
            <w:r>
              <w:rPr>
                <w:noProof/>
                <w:webHidden/>
              </w:rPr>
            </w:r>
            <w:r>
              <w:rPr>
                <w:noProof/>
                <w:webHidden/>
              </w:rPr>
              <w:fldChar w:fldCharType="separate"/>
            </w:r>
            <w:r>
              <w:rPr>
                <w:noProof/>
                <w:webHidden/>
              </w:rPr>
              <w:t>5</w:t>
            </w:r>
            <w:r>
              <w:rPr>
                <w:noProof/>
                <w:webHidden/>
              </w:rPr>
              <w:fldChar w:fldCharType="end"/>
            </w:r>
          </w:hyperlink>
        </w:p>
        <w:p w14:paraId="1C32A009" w14:textId="4D4C1D78" w:rsidR="00652E20" w:rsidRDefault="00652E20">
          <w:pPr>
            <w:pStyle w:val="TOC3"/>
            <w:tabs>
              <w:tab w:val="right" w:leader="dot" w:pos="9016"/>
            </w:tabs>
            <w:rPr>
              <w:rFonts w:eastAsiaTheme="minorEastAsia"/>
              <w:noProof/>
              <w:sz w:val="24"/>
              <w:szCs w:val="24"/>
              <w:lang w:eastAsia="en-GB"/>
            </w:rPr>
          </w:pPr>
          <w:hyperlink w:anchor="_Toc230761779" w:history="1">
            <w:r w:rsidRPr="0028118B">
              <w:rPr>
                <w:rStyle w:val="Hyperlink"/>
                <w:noProof/>
              </w:rPr>
              <w:t>Technical Controls (In Order of Importance)</w:t>
            </w:r>
            <w:r>
              <w:rPr>
                <w:noProof/>
                <w:webHidden/>
              </w:rPr>
              <w:tab/>
            </w:r>
            <w:r>
              <w:rPr>
                <w:noProof/>
                <w:webHidden/>
              </w:rPr>
              <w:fldChar w:fldCharType="begin"/>
            </w:r>
            <w:r>
              <w:rPr>
                <w:noProof/>
                <w:webHidden/>
              </w:rPr>
              <w:instrText xml:space="preserve"> PAGEREF _Toc230761779 \h </w:instrText>
            </w:r>
            <w:r>
              <w:rPr>
                <w:noProof/>
                <w:webHidden/>
              </w:rPr>
            </w:r>
            <w:r>
              <w:rPr>
                <w:noProof/>
                <w:webHidden/>
              </w:rPr>
              <w:fldChar w:fldCharType="separate"/>
            </w:r>
            <w:r>
              <w:rPr>
                <w:noProof/>
                <w:webHidden/>
              </w:rPr>
              <w:t>5</w:t>
            </w:r>
            <w:r>
              <w:rPr>
                <w:noProof/>
                <w:webHidden/>
              </w:rPr>
              <w:fldChar w:fldCharType="end"/>
            </w:r>
          </w:hyperlink>
        </w:p>
        <w:p w14:paraId="5D3238BB" w14:textId="0FD825F4" w:rsidR="00652E20" w:rsidRDefault="00652E20">
          <w:pPr>
            <w:pStyle w:val="TOC3"/>
            <w:tabs>
              <w:tab w:val="right" w:leader="dot" w:pos="9016"/>
            </w:tabs>
            <w:rPr>
              <w:rFonts w:eastAsiaTheme="minorEastAsia"/>
              <w:noProof/>
              <w:sz w:val="24"/>
              <w:szCs w:val="24"/>
              <w:lang w:eastAsia="en-GB"/>
            </w:rPr>
          </w:pPr>
          <w:hyperlink w:anchor="_Toc230761780" w:history="1">
            <w:r w:rsidRPr="0028118B">
              <w:rPr>
                <w:rStyle w:val="Hyperlink"/>
                <w:noProof/>
              </w:rPr>
              <w:t>Policy and Procedural Changes</w:t>
            </w:r>
            <w:r>
              <w:rPr>
                <w:noProof/>
                <w:webHidden/>
              </w:rPr>
              <w:tab/>
            </w:r>
            <w:r>
              <w:rPr>
                <w:noProof/>
                <w:webHidden/>
              </w:rPr>
              <w:fldChar w:fldCharType="begin"/>
            </w:r>
            <w:r>
              <w:rPr>
                <w:noProof/>
                <w:webHidden/>
              </w:rPr>
              <w:instrText xml:space="preserve"> PAGEREF _Toc230761780 \h </w:instrText>
            </w:r>
            <w:r>
              <w:rPr>
                <w:noProof/>
                <w:webHidden/>
              </w:rPr>
            </w:r>
            <w:r>
              <w:rPr>
                <w:noProof/>
                <w:webHidden/>
              </w:rPr>
              <w:fldChar w:fldCharType="separate"/>
            </w:r>
            <w:r>
              <w:rPr>
                <w:noProof/>
                <w:webHidden/>
              </w:rPr>
              <w:t>5</w:t>
            </w:r>
            <w:r>
              <w:rPr>
                <w:noProof/>
                <w:webHidden/>
              </w:rPr>
              <w:fldChar w:fldCharType="end"/>
            </w:r>
          </w:hyperlink>
        </w:p>
        <w:p w14:paraId="6AB7585D" w14:textId="6D093B11" w:rsidR="00652E20" w:rsidRDefault="00652E20">
          <w:pPr>
            <w:pStyle w:val="TOC2"/>
            <w:tabs>
              <w:tab w:val="right" w:leader="dot" w:pos="9016"/>
            </w:tabs>
            <w:rPr>
              <w:rFonts w:eastAsiaTheme="minorEastAsia"/>
              <w:b w:val="0"/>
              <w:bCs w:val="0"/>
              <w:noProof/>
              <w:sz w:val="24"/>
              <w:szCs w:val="24"/>
              <w:lang w:eastAsia="en-GB"/>
            </w:rPr>
          </w:pPr>
          <w:hyperlink w:anchor="_Toc230761781" w:history="1">
            <w:r w:rsidRPr="0028118B">
              <w:rPr>
                <w:rStyle w:val="Hyperlink"/>
                <w:noProof/>
              </w:rPr>
              <w:t>Strategic Framing &amp; Compliance Governance</w:t>
            </w:r>
            <w:r>
              <w:rPr>
                <w:noProof/>
                <w:webHidden/>
              </w:rPr>
              <w:tab/>
            </w:r>
            <w:r>
              <w:rPr>
                <w:noProof/>
                <w:webHidden/>
              </w:rPr>
              <w:fldChar w:fldCharType="begin"/>
            </w:r>
            <w:r>
              <w:rPr>
                <w:noProof/>
                <w:webHidden/>
              </w:rPr>
              <w:instrText xml:space="preserve"> PAGEREF _Toc230761781 \h </w:instrText>
            </w:r>
            <w:r>
              <w:rPr>
                <w:noProof/>
                <w:webHidden/>
              </w:rPr>
            </w:r>
            <w:r>
              <w:rPr>
                <w:noProof/>
                <w:webHidden/>
              </w:rPr>
              <w:fldChar w:fldCharType="separate"/>
            </w:r>
            <w:r>
              <w:rPr>
                <w:noProof/>
                <w:webHidden/>
              </w:rPr>
              <w:t>6</w:t>
            </w:r>
            <w:r>
              <w:rPr>
                <w:noProof/>
                <w:webHidden/>
              </w:rPr>
              <w:fldChar w:fldCharType="end"/>
            </w:r>
          </w:hyperlink>
        </w:p>
        <w:p w14:paraId="16C5E059" w14:textId="2C4CB88B" w:rsidR="00652E20" w:rsidRDefault="00652E20">
          <w:pPr>
            <w:pStyle w:val="TOC3"/>
            <w:tabs>
              <w:tab w:val="right" w:leader="dot" w:pos="9016"/>
            </w:tabs>
            <w:rPr>
              <w:rFonts w:eastAsiaTheme="minorEastAsia"/>
              <w:noProof/>
              <w:sz w:val="24"/>
              <w:szCs w:val="24"/>
              <w:lang w:eastAsia="en-GB"/>
            </w:rPr>
          </w:pPr>
          <w:hyperlink w:anchor="_Toc230761782" w:history="1">
            <w:r w:rsidRPr="0028118B">
              <w:rPr>
                <w:rStyle w:val="Hyperlink"/>
                <w:noProof/>
              </w:rPr>
              <w:t>Legal Obligations</w:t>
            </w:r>
            <w:r>
              <w:rPr>
                <w:noProof/>
                <w:webHidden/>
              </w:rPr>
              <w:tab/>
            </w:r>
            <w:r>
              <w:rPr>
                <w:noProof/>
                <w:webHidden/>
              </w:rPr>
              <w:fldChar w:fldCharType="begin"/>
            </w:r>
            <w:r>
              <w:rPr>
                <w:noProof/>
                <w:webHidden/>
              </w:rPr>
              <w:instrText xml:space="preserve"> PAGEREF _Toc230761782 \h </w:instrText>
            </w:r>
            <w:r>
              <w:rPr>
                <w:noProof/>
                <w:webHidden/>
              </w:rPr>
            </w:r>
            <w:r>
              <w:rPr>
                <w:noProof/>
                <w:webHidden/>
              </w:rPr>
              <w:fldChar w:fldCharType="separate"/>
            </w:r>
            <w:r>
              <w:rPr>
                <w:noProof/>
                <w:webHidden/>
              </w:rPr>
              <w:t>6</w:t>
            </w:r>
            <w:r>
              <w:rPr>
                <w:noProof/>
                <w:webHidden/>
              </w:rPr>
              <w:fldChar w:fldCharType="end"/>
            </w:r>
          </w:hyperlink>
        </w:p>
        <w:p w14:paraId="403C73C6" w14:textId="29558D64" w:rsidR="00652E20" w:rsidRDefault="00652E20">
          <w:pPr>
            <w:pStyle w:val="TOC3"/>
            <w:tabs>
              <w:tab w:val="right" w:leader="dot" w:pos="9016"/>
            </w:tabs>
            <w:rPr>
              <w:rFonts w:eastAsiaTheme="minorEastAsia"/>
              <w:noProof/>
              <w:sz w:val="24"/>
              <w:szCs w:val="24"/>
              <w:lang w:eastAsia="en-GB"/>
            </w:rPr>
          </w:pPr>
          <w:hyperlink w:anchor="_Toc230761783" w:history="1">
            <w:r w:rsidRPr="0028118B">
              <w:rPr>
                <w:rStyle w:val="Hyperlink"/>
                <w:noProof/>
              </w:rPr>
              <w:t>Ethical Considerations</w:t>
            </w:r>
            <w:r>
              <w:rPr>
                <w:noProof/>
                <w:webHidden/>
              </w:rPr>
              <w:tab/>
            </w:r>
            <w:r>
              <w:rPr>
                <w:noProof/>
                <w:webHidden/>
              </w:rPr>
              <w:fldChar w:fldCharType="begin"/>
            </w:r>
            <w:r>
              <w:rPr>
                <w:noProof/>
                <w:webHidden/>
              </w:rPr>
              <w:instrText xml:space="preserve"> PAGEREF _Toc230761783 \h </w:instrText>
            </w:r>
            <w:r>
              <w:rPr>
                <w:noProof/>
                <w:webHidden/>
              </w:rPr>
            </w:r>
            <w:r>
              <w:rPr>
                <w:noProof/>
                <w:webHidden/>
              </w:rPr>
              <w:fldChar w:fldCharType="separate"/>
            </w:r>
            <w:r>
              <w:rPr>
                <w:noProof/>
                <w:webHidden/>
              </w:rPr>
              <w:t>6</w:t>
            </w:r>
            <w:r>
              <w:rPr>
                <w:noProof/>
                <w:webHidden/>
              </w:rPr>
              <w:fldChar w:fldCharType="end"/>
            </w:r>
          </w:hyperlink>
        </w:p>
        <w:p w14:paraId="6A324AAB" w14:textId="646FAADB" w:rsidR="00652E20" w:rsidRDefault="00652E20">
          <w:pPr>
            <w:pStyle w:val="TOC3"/>
            <w:tabs>
              <w:tab w:val="right" w:leader="dot" w:pos="9016"/>
            </w:tabs>
            <w:rPr>
              <w:rFonts w:eastAsiaTheme="minorEastAsia"/>
              <w:noProof/>
              <w:sz w:val="24"/>
              <w:szCs w:val="24"/>
              <w:lang w:eastAsia="en-GB"/>
            </w:rPr>
          </w:pPr>
          <w:hyperlink w:anchor="_Toc230761784" w:history="1">
            <w:r w:rsidRPr="0028118B">
              <w:rPr>
                <w:rStyle w:val="Hyperlink"/>
                <w:noProof/>
              </w:rPr>
              <w:t>Professional Standards and Codes of Conduct</w:t>
            </w:r>
            <w:r>
              <w:rPr>
                <w:noProof/>
                <w:webHidden/>
              </w:rPr>
              <w:tab/>
            </w:r>
            <w:r>
              <w:rPr>
                <w:noProof/>
                <w:webHidden/>
              </w:rPr>
              <w:fldChar w:fldCharType="begin"/>
            </w:r>
            <w:r>
              <w:rPr>
                <w:noProof/>
                <w:webHidden/>
              </w:rPr>
              <w:instrText xml:space="preserve"> PAGEREF _Toc230761784 \h </w:instrText>
            </w:r>
            <w:r>
              <w:rPr>
                <w:noProof/>
                <w:webHidden/>
              </w:rPr>
            </w:r>
            <w:r>
              <w:rPr>
                <w:noProof/>
                <w:webHidden/>
              </w:rPr>
              <w:fldChar w:fldCharType="separate"/>
            </w:r>
            <w:r>
              <w:rPr>
                <w:noProof/>
                <w:webHidden/>
              </w:rPr>
              <w:t>6</w:t>
            </w:r>
            <w:r>
              <w:rPr>
                <w:noProof/>
                <w:webHidden/>
              </w:rPr>
              <w:fldChar w:fldCharType="end"/>
            </w:r>
          </w:hyperlink>
        </w:p>
        <w:p w14:paraId="266776DC" w14:textId="64A84F33" w:rsidR="00652E20" w:rsidRDefault="00652E20">
          <w:pPr>
            <w:pStyle w:val="TOC3"/>
            <w:tabs>
              <w:tab w:val="right" w:leader="dot" w:pos="9016"/>
            </w:tabs>
            <w:rPr>
              <w:rFonts w:eastAsiaTheme="minorEastAsia"/>
              <w:noProof/>
              <w:sz w:val="24"/>
              <w:szCs w:val="24"/>
              <w:lang w:eastAsia="en-GB"/>
            </w:rPr>
          </w:pPr>
          <w:hyperlink w:anchor="_Toc230761785" w:history="1">
            <w:r w:rsidRPr="0028118B">
              <w:rPr>
                <w:rStyle w:val="Hyperlink"/>
                <w:noProof/>
              </w:rPr>
              <w:t>Wider Organisational Goals (EDI &amp; Sustainability)</w:t>
            </w:r>
            <w:r>
              <w:rPr>
                <w:noProof/>
                <w:webHidden/>
              </w:rPr>
              <w:tab/>
            </w:r>
            <w:r>
              <w:rPr>
                <w:noProof/>
                <w:webHidden/>
              </w:rPr>
              <w:fldChar w:fldCharType="begin"/>
            </w:r>
            <w:r>
              <w:rPr>
                <w:noProof/>
                <w:webHidden/>
              </w:rPr>
              <w:instrText xml:space="preserve"> PAGEREF _Toc230761785 \h </w:instrText>
            </w:r>
            <w:r>
              <w:rPr>
                <w:noProof/>
                <w:webHidden/>
              </w:rPr>
            </w:r>
            <w:r>
              <w:rPr>
                <w:noProof/>
                <w:webHidden/>
              </w:rPr>
              <w:fldChar w:fldCharType="separate"/>
            </w:r>
            <w:r>
              <w:rPr>
                <w:noProof/>
                <w:webHidden/>
              </w:rPr>
              <w:t>7</w:t>
            </w:r>
            <w:r>
              <w:rPr>
                <w:noProof/>
                <w:webHidden/>
              </w:rPr>
              <w:fldChar w:fldCharType="end"/>
            </w:r>
          </w:hyperlink>
        </w:p>
        <w:p w14:paraId="6A47AF9C" w14:textId="390A05B1" w:rsidR="00652E20" w:rsidRDefault="00652E20">
          <w:pPr>
            <w:pStyle w:val="TOC1"/>
            <w:tabs>
              <w:tab w:val="right" w:leader="dot" w:pos="9016"/>
            </w:tabs>
            <w:rPr>
              <w:rFonts w:eastAsiaTheme="minorEastAsia"/>
              <w:b w:val="0"/>
              <w:bCs w:val="0"/>
              <w:i w:val="0"/>
              <w:iCs w:val="0"/>
              <w:noProof/>
              <w:lang w:eastAsia="en-GB"/>
            </w:rPr>
          </w:pPr>
          <w:hyperlink w:anchor="_Toc230761786" w:history="1">
            <w:r w:rsidRPr="0028118B">
              <w:rPr>
                <w:rStyle w:val="Hyperlink"/>
                <w:noProof/>
              </w:rPr>
              <w:t>Part B: Critical Reflection</w:t>
            </w:r>
            <w:r>
              <w:rPr>
                <w:noProof/>
                <w:webHidden/>
              </w:rPr>
              <w:tab/>
            </w:r>
            <w:r>
              <w:rPr>
                <w:noProof/>
                <w:webHidden/>
              </w:rPr>
              <w:fldChar w:fldCharType="begin"/>
            </w:r>
            <w:r>
              <w:rPr>
                <w:noProof/>
                <w:webHidden/>
              </w:rPr>
              <w:instrText xml:space="preserve"> PAGEREF _Toc230761786 \h </w:instrText>
            </w:r>
            <w:r>
              <w:rPr>
                <w:noProof/>
                <w:webHidden/>
              </w:rPr>
            </w:r>
            <w:r>
              <w:rPr>
                <w:noProof/>
                <w:webHidden/>
              </w:rPr>
              <w:fldChar w:fldCharType="separate"/>
            </w:r>
            <w:r>
              <w:rPr>
                <w:noProof/>
                <w:webHidden/>
              </w:rPr>
              <w:t>8</w:t>
            </w:r>
            <w:r>
              <w:rPr>
                <w:noProof/>
                <w:webHidden/>
              </w:rPr>
              <w:fldChar w:fldCharType="end"/>
            </w:r>
          </w:hyperlink>
        </w:p>
        <w:p w14:paraId="5B28DDC5" w14:textId="36D94A29" w:rsidR="00652E20" w:rsidRDefault="00652E20">
          <w:pPr>
            <w:pStyle w:val="TOC2"/>
            <w:tabs>
              <w:tab w:val="right" w:leader="dot" w:pos="9016"/>
            </w:tabs>
            <w:rPr>
              <w:rFonts w:eastAsiaTheme="minorEastAsia"/>
              <w:b w:val="0"/>
              <w:bCs w:val="0"/>
              <w:noProof/>
              <w:sz w:val="24"/>
              <w:szCs w:val="24"/>
              <w:lang w:eastAsia="en-GB"/>
            </w:rPr>
          </w:pPr>
          <w:hyperlink w:anchor="_Toc230761787" w:history="1">
            <w:r w:rsidRPr="0028118B">
              <w:rPr>
                <w:rStyle w:val="Hyperlink"/>
                <w:noProof/>
              </w:rPr>
              <w:t>Description and Feelings</w:t>
            </w:r>
            <w:r>
              <w:rPr>
                <w:noProof/>
                <w:webHidden/>
              </w:rPr>
              <w:tab/>
            </w:r>
            <w:r>
              <w:rPr>
                <w:noProof/>
                <w:webHidden/>
              </w:rPr>
              <w:fldChar w:fldCharType="begin"/>
            </w:r>
            <w:r>
              <w:rPr>
                <w:noProof/>
                <w:webHidden/>
              </w:rPr>
              <w:instrText xml:space="preserve"> PAGEREF _Toc230761787 \h </w:instrText>
            </w:r>
            <w:r>
              <w:rPr>
                <w:noProof/>
                <w:webHidden/>
              </w:rPr>
            </w:r>
            <w:r>
              <w:rPr>
                <w:noProof/>
                <w:webHidden/>
              </w:rPr>
              <w:fldChar w:fldCharType="separate"/>
            </w:r>
            <w:r>
              <w:rPr>
                <w:noProof/>
                <w:webHidden/>
              </w:rPr>
              <w:t>8</w:t>
            </w:r>
            <w:r>
              <w:rPr>
                <w:noProof/>
                <w:webHidden/>
              </w:rPr>
              <w:fldChar w:fldCharType="end"/>
            </w:r>
          </w:hyperlink>
        </w:p>
        <w:p w14:paraId="49D0B033" w14:textId="74624514" w:rsidR="00652E20" w:rsidRDefault="00652E20">
          <w:pPr>
            <w:pStyle w:val="TOC2"/>
            <w:tabs>
              <w:tab w:val="right" w:leader="dot" w:pos="9016"/>
            </w:tabs>
            <w:rPr>
              <w:rFonts w:eastAsiaTheme="minorEastAsia"/>
              <w:b w:val="0"/>
              <w:bCs w:val="0"/>
              <w:noProof/>
              <w:sz w:val="24"/>
              <w:szCs w:val="24"/>
              <w:lang w:eastAsia="en-GB"/>
            </w:rPr>
          </w:pPr>
          <w:hyperlink w:anchor="_Toc230761788" w:history="1">
            <w:r w:rsidRPr="0028118B">
              <w:rPr>
                <w:rStyle w:val="Hyperlink"/>
                <w:noProof/>
              </w:rPr>
              <w:t>Evaluation and Analysis</w:t>
            </w:r>
            <w:r>
              <w:rPr>
                <w:noProof/>
                <w:webHidden/>
              </w:rPr>
              <w:tab/>
            </w:r>
            <w:r>
              <w:rPr>
                <w:noProof/>
                <w:webHidden/>
              </w:rPr>
              <w:fldChar w:fldCharType="begin"/>
            </w:r>
            <w:r>
              <w:rPr>
                <w:noProof/>
                <w:webHidden/>
              </w:rPr>
              <w:instrText xml:space="preserve"> PAGEREF _Toc230761788 \h </w:instrText>
            </w:r>
            <w:r>
              <w:rPr>
                <w:noProof/>
                <w:webHidden/>
              </w:rPr>
            </w:r>
            <w:r>
              <w:rPr>
                <w:noProof/>
                <w:webHidden/>
              </w:rPr>
              <w:fldChar w:fldCharType="separate"/>
            </w:r>
            <w:r>
              <w:rPr>
                <w:noProof/>
                <w:webHidden/>
              </w:rPr>
              <w:t>8</w:t>
            </w:r>
            <w:r>
              <w:rPr>
                <w:noProof/>
                <w:webHidden/>
              </w:rPr>
              <w:fldChar w:fldCharType="end"/>
            </w:r>
          </w:hyperlink>
        </w:p>
        <w:p w14:paraId="66046200" w14:textId="3849441F" w:rsidR="00652E20" w:rsidRDefault="00652E20">
          <w:pPr>
            <w:pStyle w:val="TOC2"/>
            <w:tabs>
              <w:tab w:val="right" w:leader="dot" w:pos="9016"/>
            </w:tabs>
            <w:rPr>
              <w:rFonts w:eastAsiaTheme="minorEastAsia"/>
              <w:b w:val="0"/>
              <w:bCs w:val="0"/>
              <w:noProof/>
              <w:sz w:val="24"/>
              <w:szCs w:val="24"/>
              <w:lang w:eastAsia="en-GB"/>
            </w:rPr>
          </w:pPr>
          <w:hyperlink w:anchor="_Toc230761789" w:history="1">
            <w:r w:rsidRPr="0028118B">
              <w:rPr>
                <w:rStyle w:val="Hyperlink"/>
                <w:noProof/>
              </w:rPr>
              <w:t>Conclusion and Action Plan</w:t>
            </w:r>
            <w:r>
              <w:rPr>
                <w:noProof/>
                <w:webHidden/>
              </w:rPr>
              <w:tab/>
            </w:r>
            <w:r>
              <w:rPr>
                <w:noProof/>
                <w:webHidden/>
              </w:rPr>
              <w:fldChar w:fldCharType="begin"/>
            </w:r>
            <w:r>
              <w:rPr>
                <w:noProof/>
                <w:webHidden/>
              </w:rPr>
              <w:instrText xml:space="preserve"> PAGEREF _Toc230761789 \h </w:instrText>
            </w:r>
            <w:r>
              <w:rPr>
                <w:noProof/>
                <w:webHidden/>
              </w:rPr>
            </w:r>
            <w:r>
              <w:rPr>
                <w:noProof/>
                <w:webHidden/>
              </w:rPr>
              <w:fldChar w:fldCharType="separate"/>
            </w:r>
            <w:r>
              <w:rPr>
                <w:noProof/>
                <w:webHidden/>
              </w:rPr>
              <w:t>9</w:t>
            </w:r>
            <w:r>
              <w:rPr>
                <w:noProof/>
                <w:webHidden/>
              </w:rPr>
              <w:fldChar w:fldCharType="end"/>
            </w:r>
          </w:hyperlink>
        </w:p>
        <w:p w14:paraId="51309329" w14:textId="0C2E9312" w:rsidR="00652E20" w:rsidRDefault="00652E20">
          <w:pPr>
            <w:pStyle w:val="TOC1"/>
            <w:tabs>
              <w:tab w:val="right" w:leader="dot" w:pos="9016"/>
            </w:tabs>
            <w:rPr>
              <w:rFonts w:eastAsiaTheme="minorEastAsia"/>
              <w:b w:val="0"/>
              <w:bCs w:val="0"/>
              <w:i w:val="0"/>
              <w:iCs w:val="0"/>
              <w:noProof/>
              <w:lang w:eastAsia="en-GB"/>
            </w:rPr>
          </w:pPr>
          <w:hyperlink w:anchor="_Toc230761790" w:history="1">
            <w:r w:rsidRPr="0028118B">
              <w:rPr>
                <w:rStyle w:val="Hyperlink"/>
                <w:noProof/>
              </w:rPr>
              <w:t>Bibliography</w:t>
            </w:r>
            <w:r>
              <w:rPr>
                <w:noProof/>
                <w:webHidden/>
              </w:rPr>
              <w:tab/>
            </w:r>
            <w:r>
              <w:rPr>
                <w:noProof/>
                <w:webHidden/>
              </w:rPr>
              <w:fldChar w:fldCharType="begin"/>
            </w:r>
            <w:r>
              <w:rPr>
                <w:noProof/>
                <w:webHidden/>
              </w:rPr>
              <w:instrText xml:space="preserve"> PAGEREF _Toc230761790 \h </w:instrText>
            </w:r>
            <w:r>
              <w:rPr>
                <w:noProof/>
                <w:webHidden/>
              </w:rPr>
            </w:r>
            <w:r>
              <w:rPr>
                <w:noProof/>
                <w:webHidden/>
              </w:rPr>
              <w:fldChar w:fldCharType="separate"/>
            </w:r>
            <w:r>
              <w:rPr>
                <w:noProof/>
                <w:webHidden/>
              </w:rPr>
              <w:t>10</w:t>
            </w:r>
            <w:r>
              <w:rPr>
                <w:noProof/>
                <w:webHidden/>
              </w:rPr>
              <w:fldChar w:fldCharType="end"/>
            </w:r>
          </w:hyperlink>
        </w:p>
        <w:p w14:paraId="4D4BAD00" w14:textId="4F8A5AB8" w:rsidR="00AC579F" w:rsidRDefault="00AC579F">
          <w:r>
            <w:rPr>
              <w:b/>
              <w:bCs/>
              <w:noProof/>
            </w:rPr>
            <w:fldChar w:fldCharType="end"/>
          </w:r>
        </w:p>
      </w:sdtContent>
    </w:sdt>
    <w:p w14:paraId="14DAF644" w14:textId="6E816660" w:rsidR="00AC579F" w:rsidRDefault="00AC579F">
      <w:r>
        <w:br w:type="page"/>
      </w:r>
    </w:p>
    <w:p w14:paraId="754154FA" w14:textId="207DC231" w:rsidR="00AC579F" w:rsidRDefault="00AC579F" w:rsidP="00AC579F">
      <w:pPr>
        <w:pStyle w:val="Heading1"/>
      </w:pPr>
      <w:bookmarkStart w:id="0" w:name="_Toc230761775"/>
      <w:r>
        <w:lastRenderedPageBreak/>
        <w:t>Part A: Executive Summary and Recommendations</w:t>
      </w:r>
      <w:bookmarkEnd w:id="0"/>
    </w:p>
    <w:p w14:paraId="089ED0ED" w14:textId="20611C54" w:rsidR="00AC579F" w:rsidRDefault="00AC579F" w:rsidP="00AC579F">
      <w:pPr>
        <w:pStyle w:val="Heading2"/>
      </w:pPr>
      <w:bookmarkStart w:id="1" w:name="_Toc230761776"/>
      <w:r>
        <w:t>Introduction and Scope</w:t>
      </w:r>
      <w:bookmarkEnd w:id="1"/>
    </w:p>
    <w:p w14:paraId="37AD313A" w14:textId="21B484A3" w:rsidR="00AC579F" w:rsidRDefault="00B056DB" w:rsidP="00B056DB">
      <w:r w:rsidRPr="00B056DB">
        <w:t>This advisory report translates the raw data from our previous hands-on security assessment of Supercar Showdown (hack-yourself-first.com) into strategic corporate risks and actionable governance remediation paths. The initial technical audit</w:t>
      </w:r>
      <w:r>
        <w:t xml:space="preserve">, </w:t>
      </w:r>
      <w:r w:rsidRPr="00B056DB">
        <w:t>executed from a hybridi</w:t>
      </w:r>
      <w:r>
        <w:t>s</w:t>
      </w:r>
      <w:r w:rsidRPr="00B056DB">
        <w:t>ed testing environment using a Kali Linux virtual machine via UTM on a macOS host</w:t>
      </w:r>
      <w:r>
        <w:t xml:space="preserve">, </w:t>
      </w:r>
      <w:r w:rsidRPr="00B056DB">
        <w:t>exposed severe application-layer exposures. This report contextuali</w:t>
      </w:r>
      <w:r>
        <w:t>s</w:t>
      </w:r>
      <w:r w:rsidRPr="00B056DB">
        <w:t>es those vulnerabilities through legal, ethical, and professional lenses to provide a comprehensive mitigation roadmap for the executive board</w:t>
      </w:r>
      <w:r w:rsidR="00BD3B0B">
        <w:t xml:space="preserve"> </w:t>
      </w:r>
      <w:sdt>
        <w:sdtPr>
          <w:id w:val="-389116217"/>
          <w:citation/>
        </w:sdtPr>
        <w:sdtContent>
          <w:r w:rsidR="00BD3B0B">
            <w:fldChar w:fldCharType="begin"/>
          </w:r>
          <w:r w:rsidR="00BD3B0B">
            <w:rPr>
              <w:lang w:val="en-US"/>
            </w:rPr>
            <w:instrText xml:space="preserve"> CITATION NIS241 \l 1033 </w:instrText>
          </w:r>
          <w:r w:rsidR="00BD3B0B">
            <w:fldChar w:fldCharType="separate"/>
          </w:r>
          <w:r w:rsidR="00BD3B0B" w:rsidRPr="00BD3B0B">
            <w:rPr>
              <w:noProof/>
              <w:lang w:val="en-US"/>
            </w:rPr>
            <w:t>(NIST, 2024)</w:t>
          </w:r>
          <w:r w:rsidR="00BD3B0B">
            <w:fldChar w:fldCharType="end"/>
          </w:r>
        </w:sdtContent>
      </w:sdt>
      <w:r w:rsidRPr="00B056DB">
        <w:t>.</w:t>
      </w:r>
    </w:p>
    <w:p w14:paraId="44EAC224" w14:textId="31A32B16" w:rsidR="006F709D" w:rsidRPr="00B056DB" w:rsidRDefault="006F709D" w:rsidP="00B056DB">
      <w:r>
        <w:t>The vulnerabilities identified carry significant implications not only for the technical integrity of the platform but for customer trust, regulatory standing, and the organisation's long-term commercial viability. In an increasingly regulated digital landscape, where data subjects hold enforceable rights and regulators hold real punitive power, the findings of this audit represent an urgent governance priority rather than a routine maintenance concern. This report is intended to equip the executive board with the information needed to make informed, risk-proportionate decisions about remediation investment and organisational policy.</w:t>
      </w:r>
    </w:p>
    <w:p w14:paraId="4936E557" w14:textId="37475EDB" w:rsidR="00AC579F" w:rsidRDefault="00AC579F" w:rsidP="00AC579F">
      <w:pPr>
        <w:pStyle w:val="Heading2"/>
      </w:pPr>
      <w:bookmarkStart w:id="2" w:name="_Toc230761777"/>
      <w:r>
        <w:t>Synthesis of Technical Vulnerabilities and Business Impacts</w:t>
      </w:r>
      <w:bookmarkEnd w:id="2"/>
    </w:p>
    <w:p w14:paraId="317FBB70" w14:textId="6FF50355" w:rsidR="00B056DB" w:rsidRPr="00B056DB" w:rsidRDefault="00B056DB" w:rsidP="00B056DB">
      <w:r w:rsidRPr="00B056DB">
        <w:t>Our security baseline mapping validated three critical architectural weaknesses, classified under the industry-standard OWASP Top 10 framework</w:t>
      </w:r>
      <w:r w:rsidR="00BD3B0B">
        <w:t xml:space="preserve"> </w:t>
      </w:r>
      <w:sdt>
        <w:sdtPr>
          <w:id w:val="1919512507"/>
          <w:citation/>
        </w:sdtPr>
        <w:sdtContent>
          <w:r w:rsidR="00BD3B0B">
            <w:fldChar w:fldCharType="begin"/>
          </w:r>
          <w:r w:rsidR="00BD3B0B">
            <w:rPr>
              <w:lang w:val="en-US"/>
            </w:rPr>
            <w:instrText xml:space="preserve"> CITATION OWA251 \l 1033 </w:instrText>
          </w:r>
          <w:r w:rsidR="00BD3B0B">
            <w:fldChar w:fldCharType="separate"/>
          </w:r>
          <w:r w:rsidR="00BD3B0B" w:rsidRPr="00BD3B0B">
            <w:rPr>
              <w:noProof/>
              <w:lang w:val="en-US"/>
            </w:rPr>
            <w:t>(OWASP, 2025)</w:t>
          </w:r>
          <w:r w:rsidR="00BD3B0B">
            <w:fldChar w:fldCharType="end"/>
          </w:r>
        </w:sdtContent>
      </w:sdt>
      <w:r w:rsidRPr="00B056DB">
        <w:t>:</w:t>
      </w:r>
    </w:p>
    <w:p w14:paraId="0C467A4D" w14:textId="5E4D86FB" w:rsidR="00B056DB" w:rsidRPr="00B056DB" w:rsidRDefault="00B056DB" w:rsidP="00B056DB">
      <w:pPr>
        <w:pStyle w:val="ListParagraph"/>
        <w:numPr>
          <w:ilvl w:val="0"/>
          <w:numId w:val="2"/>
        </w:numPr>
      </w:pPr>
      <w:r w:rsidRPr="00B056DB">
        <w:rPr>
          <w:b/>
          <w:bCs/>
        </w:rPr>
        <w:t xml:space="preserve">Injection Vulnerabilities (OWASP A03:2021 / CWE-89 &amp; CWE-79): </w:t>
      </w:r>
      <w:r w:rsidRPr="00B056DB">
        <w:t>Dynamic application analysis and manual testing confirmed that user input endpoints (such as the comments section and name field arrays) lack validation and context-aware output encoding</w:t>
      </w:r>
      <w:r w:rsidR="00BD3B0B">
        <w:t xml:space="preserve"> </w:t>
      </w:r>
      <w:sdt>
        <w:sdtPr>
          <w:id w:val="-53479102"/>
          <w:citation/>
        </w:sdtPr>
        <w:sdtContent>
          <w:r w:rsidR="00BD3B0B">
            <w:fldChar w:fldCharType="begin"/>
          </w:r>
          <w:r w:rsidR="00BD3B0B">
            <w:rPr>
              <w:lang w:val="en-US"/>
            </w:rPr>
            <w:instrText xml:space="preserve"> CITATION MIT264 \l 1033 </w:instrText>
          </w:r>
          <w:r w:rsidR="00BD3B0B">
            <w:fldChar w:fldCharType="separate"/>
          </w:r>
          <w:r w:rsidR="00BD3B0B" w:rsidRPr="00BD3B0B">
            <w:rPr>
              <w:noProof/>
              <w:lang w:val="en-US"/>
            </w:rPr>
            <w:t>(MITRE, 2026)</w:t>
          </w:r>
          <w:r w:rsidR="00BD3B0B">
            <w:fldChar w:fldCharType="end"/>
          </w:r>
        </w:sdtContent>
      </w:sdt>
      <w:r w:rsidRPr="00B056DB">
        <w:t xml:space="preserve">. Stored payloads like </w:t>
      </w:r>
      <w:r w:rsidRPr="00B056DB">
        <w:rPr>
          <w:rStyle w:val="HTMLCode"/>
          <w:rFonts w:asciiTheme="minorHAnsi" w:eastAsiaTheme="minorHAnsi" w:hAnsiTheme="minorHAnsi"/>
        </w:rPr>
        <w:t>' OR 1=1--</w:t>
      </w:r>
      <w:r w:rsidRPr="00B056DB">
        <w:t xml:space="preserve"> and raw script blocks bypass input filters entirely</w:t>
      </w:r>
      <w:r w:rsidR="00604817">
        <w:t xml:space="preserve"> </w:t>
      </w:r>
      <w:sdt>
        <w:sdtPr>
          <w:id w:val="1570537004"/>
          <w:citation/>
        </w:sdtPr>
        <w:sdtContent>
          <w:r w:rsidR="00604817">
            <w:fldChar w:fldCharType="begin"/>
          </w:r>
          <w:r w:rsidR="00604817">
            <w:rPr>
              <w:lang w:val="en-US"/>
            </w:rPr>
            <w:instrText xml:space="preserve"> CITATION OWA261 \l 1033 </w:instrText>
          </w:r>
          <w:r w:rsidR="00604817">
            <w:fldChar w:fldCharType="separate"/>
          </w:r>
          <w:r w:rsidR="00604817" w:rsidRPr="00604817">
            <w:rPr>
              <w:noProof/>
              <w:lang w:val="en-US"/>
            </w:rPr>
            <w:t>(OWASP, 2026)</w:t>
          </w:r>
          <w:r w:rsidR="00604817">
            <w:fldChar w:fldCharType="end"/>
          </w:r>
        </w:sdtContent>
      </w:sdt>
      <w:r w:rsidRPr="00B056DB">
        <w:t>.</w:t>
      </w:r>
    </w:p>
    <w:p w14:paraId="231C6236" w14:textId="77777777" w:rsidR="006F709D" w:rsidRDefault="00B056DB" w:rsidP="00B056DB">
      <w:pPr>
        <w:pStyle w:val="ListParagraph"/>
        <w:numPr>
          <w:ilvl w:val="1"/>
          <w:numId w:val="2"/>
        </w:numPr>
      </w:pPr>
      <w:r w:rsidRPr="00B056DB">
        <w:t xml:space="preserve">Business Impact: </w:t>
      </w:r>
    </w:p>
    <w:p w14:paraId="06CEA1CF" w14:textId="76EAA72D" w:rsidR="00B056DB" w:rsidRDefault="00B056DB" w:rsidP="006F709D">
      <w:pPr>
        <w:pStyle w:val="ListParagraph"/>
        <w:numPr>
          <w:ilvl w:val="2"/>
          <w:numId w:val="2"/>
        </w:numPr>
      </w:pPr>
      <w:r w:rsidRPr="00B056DB">
        <w:t>Threat actors can hijack active customer sessions, alter prices, or execute full data exfiltration of the underlying user tables, compromising critical business assets.</w:t>
      </w:r>
    </w:p>
    <w:p w14:paraId="543CB7B2" w14:textId="1FD16EA6" w:rsidR="006F709D" w:rsidRPr="00B056DB" w:rsidRDefault="006F709D" w:rsidP="006F709D">
      <w:pPr>
        <w:pStyle w:val="ListParagraph"/>
        <w:numPr>
          <w:ilvl w:val="2"/>
          <w:numId w:val="2"/>
        </w:numPr>
      </w:pPr>
      <w:r>
        <w:t xml:space="preserve">Beyond immediate session compromise, a successful SQL injection attack against a live e-commerce database could trigger a personal data breach under the meaning of Article 4(12) GDPR </w:t>
      </w:r>
      <w:sdt>
        <w:sdtPr>
          <w:id w:val="388461025"/>
          <w:citation/>
        </w:sdtPr>
        <w:sdtContent>
          <w:r>
            <w:fldChar w:fldCharType="begin"/>
          </w:r>
          <w:r>
            <w:rPr>
              <w:lang w:val="en-US"/>
            </w:rPr>
            <w:instrText xml:space="preserve"> CITATION Eur161 \l 1033 </w:instrText>
          </w:r>
          <w:r>
            <w:fldChar w:fldCharType="separate"/>
          </w:r>
          <w:r w:rsidRPr="006F709D">
            <w:rPr>
              <w:noProof/>
              <w:lang w:val="en-US"/>
            </w:rPr>
            <w:t>(European Union, 2016)</w:t>
          </w:r>
          <w:r>
            <w:fldChar w:fldCharType="end"/>
          </w:r>
        </w:sdtContent>
      </w:sdt>
      <w:r>
        <w:t xml:space="preserve">, obligating the organisation to notify the Information Commissioner's Office (ICO) within 72 hours under Article 33. The financial exposure is substantial: the ICO has the authority to issue fines of up to £17.5 million or 4% of global annual turnover under the UK GDPR, whichever is higher. </w:t>
      </w:r>
      <w:r>
        <w:lastRenderedPageBreak/>
        <w:t>Reputational damage in the automotive luxury sector, where clientele expect discretion, could be equally costly and far harder to quantify.</w:t>
      </w:r>
    </w:p>
    <w:p w14:paraId="402240C4" w14:textId="766E0CB1" w:rsidR="00B056DB" w:rsidRPr="00B056DB" w:rsidRDefault="00B056DB" w:rsidP="00B056DB">
      <w:pPr>
        <w:pStyle w:val="ListParagraph"/>
        <w:numPr>
          <w:ilvl w:val="0"/>
          <w:numId w:val="2"/>
        </w:numPr>
      </w:pPr>
      <w:r w:rsidRPr="00B056DB">
        <w:rPr>
          <w:b/>
          <w:bCs/>
        </w:rPr>
        <w:t>Broken Access Control (OWASP A01:2021 / CWE-352):</w:t>
      </w:r>
      <w:r w:rsidRPr="00B056DB">
        <w:t xml:space="preserve"> Automated dynamic security scanning flagged five distinct instances where critical state-changing functions, specifically the account registration (</w:t>
      </w:r>
      <w:r w:rsidRPr="00B056DB">
        <w:rPr>
          <w:rStyle w:val="HTMLCode"/>
          <w:rFonts w:asciiTheme="minorHAnsi" w:eastAsiaTheme="minorHAnsi" w:hAnsiTheme="minorHAnsi"/>
        </w:rPr>
        <w:t>/Account/Register</w:t>
      </w:r>
      <w:r w:rsidRPr="00B056DB">
        <w:t>) and login interfaces, fail to utili</w:t>
      </w:r>
      <w:r>
        <w:t>s</w:t>
      </w:r>
      <w:r w:rsidRPr="00B056DB">
        <w:t>e unique, cryptographically strong anti-Cross-Site Request Forgery (CSRF) tokens</w:t>
      </w:r>
      <w:r w:rsidR="00BD3B0B">
        <w:t xml:space="preserve"> </w:t>
      </w:r>
      <w:sdt>
        <w:sdtPr>
          <w:id w:val="180560122"/>
          <w:citation/>
        </w:sdtPr>
        <w:sdtContent>
          <w:r w:rsidR="00BD3B0B">
            <w:fldChar w:fldCharType="begin"/>
          </w:r>
          <w:r w:rsidR="00BD3B0B">
            <w:rPr>
              <w:lang w:val="en-US"/>
            </w:rPr>
            <w:instrText xml:space="preserve"> CITATION MIT265 \l 1033 </w:instrText>
          </w:r>
          <w:r w:rsidR="00BD3B0B">
            <w:fldChar w:fldCharType="separate"/>
          </w:r>
          <w:r w:rsidR="00BD3B0B" w:rsidRPr="00BD3B0B">
            <w:rPr>
              <w:noProof/>
              <w:lang w:val="en-US"/>
            </w:rPr>
            <w:t>(MITRE, 2026)</w:t>
          </w:r>
          <w:r w:rsidR="00BD3B0B">
            <w:fldChar w:fldCharType="end"/>
          </w:r>
        </w:sdtContent>
      </w:sdt>
      <w:r w:rsidRPr="00B056DB">
        <w:t>.</w:t>
      </w:r>
    </w:p>
    <w:p w14:paraId="39CC725C" w14:textId="77777777" w:rsidR="006F709D" w:rsidRDefault="00B056DB" w:rsidP="00B056DB">
      <w:pPr>
        <w:pStyle w:val="ListParagraph"/>
        <w:numPr>
          <w:ilvl w:val="1"/>
          <w:numId w:val="2"/>
        </w:numPr>
      </w:pPr>
      <w:r w:rsidRPr="00B056DB">
        <w:t xml:space="preserve">Business Impact: </w:t>
      </w:r>
    </w:p>
    <w:p w14:paraId="7D1B6C60" w14:textId="408E9A91" w:rsidR="00B056DB" w:rsidRDefault="00B056DB" w:rsidP="006F709D">
      <w:pPr>
        <w:pStyle w:val="ListParagraph"/>
        <w:numPr>
          <w:ilvl w:val="2"/>
          <w:numId w:val="2"/>
        </w:numPr>
      </w:pPr>
      <w:r w:rsidRPr="00B056DB">
        <w:t>This flaw allows malicious external entities to construct phishing links that trick authenticated users into inadvertently updating credentials or creating phantom administrative accounts.</w:t>
      </w:r>
    </w:p>
    <w:p w14:paraId="473859ED" w14:textId="3761C0E9" w:rsidR="006F709D" w:rsidRPr="00B056DB" w:rsidRDefault="006F709D" w:rsidP="006F709D">
      <w:pPr>
        <w:pStyle w:val="ListParagraph"/>
        <w:numPr>
          <w:ilvl w:val="2"/>
          <w:numId w:val="2"/>
        </w:numPr>
      </w:pPr>
      <w:r>
        <w:t xml:space="preserve">From a business continuity perspective, phantom administrative accounts created through CSRF exploitation represent a persistent threat that is difficult to detect without robust audit logging. If left unaddressed, such accounts could be used to exfiltrate customer records gradually over an extended period, a so-called "low and slow" attack pattern that evades threshold-based alerting. This scenario carries particular weight under the UK Data Protection Act 2018 </w:t>
      </w:r>
      <w:sdt>
        <w:sdtPr>
          <w:id w:val="-2116810974"/>
          <w:citation/>
        </w:sdtPr>
        <w:sdtContent>
          <w:r>
            <w:fldChar w:fldCharType="begin"/>
          </w:r>
          <w:r>
            <w:rPr>
              <w:lang w:val="en-US"/>
            </w:rPr>
            <w:instrText xml:space="preserve"> CITATION UKG18 \l 1033 </w:instrText>
          </w:r>
          <w:r>
            <w:fldChar w:fldCharType="separate"/>
          </w:r>
          <w:r w:rsidRPr="006F709D">
            <w:rPr>
              <w:noProof/>
              <w:lang w:val="en-US"/>
            </w:rPr>
            <w:t>(UK Government, 2018)</w:t>
          </w:r>
          <w:r>
            <w:fldChar w:fldCharType="end"/>
          </w:r>
        </w:sdtContent>
      </w:sdt>
      <w:r>
        <w:t>, which holds organisations accountable for the downstream consequences of foreseeable but unmitigated risks.</w:t>
      </w:r>
    </w:p>
    <w:p w14:paraId="2019A287" w14:textId="5CECA1C7" w:rsidR="00B056DB" w:rsidRPr="00B056DB" w:rsidRDefault="00B056DB" w:rsidP="00B056DB">
      <w:pPr>
        <w:pStyle w:val="ListParagraph"/>
        <w:numPr>
          <w:ilvl w:val="0"/>
          <w:numId w:val="2"/>
        </w:numPr>
      </w:pPr>
      <w:r w:rsidRPr="00B056DB">
        <w:rPr>
          <w:b/>
          <w:bCs/>
        </w:rPr>
        <w:t>Security Misconfiguration (OWASP A05:2021 / CWE-200 &amp; CWE-1104):</w:t>
      </w:r>
      <w:r w:rsidRPr="00B056DB">
        <w:t xml:space="preserve"> Direct HTTP layer inspection revealed that the system is configured to be highly verbose, leaking infrastructure footprints including </w:t>
      </w:r>
      <w:r w:rsidRPr="00B056DB">
        <w:rPr>
          <w:rStyle w:val="HTMLCode"/>
          <w:rFonts w:asciiTheme="minorHAnsi" w:eastAsiaTheme="minorHAnsi" w:hAnsiTheme="minorHAnsi"/>
        </w:rPr>
        <w:t>X-</w:t>
      </w:r>
      <w:proofErr w:type="spellStart"/>
      <w:r w:rsidRPr="00B056DB">
        <w:rPr>
          <w:rStyle w:val="HTMLCode"/>
          <w:rFonts w:asciiTheme="minorHAnsi" w:eastAsiaTheme="minorHAnsi" w:hAnsiTheme="minorHAnsi"/>
        </w:rPr>
        <w:t>AspNet</w:t>
      </w:r>
      <w:proofErr w:type="spellEnd"/>
      <w:r w:rsidRPr="00B056DB">
        <w:rPr>
          <w:rStyle w:val="HTMLCode"/>
          <w:rFonts w:asciiTheme="minorHAnsi" w:eastAsiaTheme="minorHAnsi" w:hAnsiTheme="minorHAnsi"/>
        </w:rPr>
        <w:t>-Version: 4.0.30319</w:t>
      </w:r>
      <w:r w:rsidRPr="00B056DB">
        <w:t xml:space="preserve"> and </w:t>
      </w:r>
      <w:r w:rsidRPr="00B056DB">
        <w:rPr>
          <w:rStyle w:val="HTMLCode"/>
          <w:rFonts w:asciiTheme="minorHAnsi" w:eastAsiaTheme="minorHAnsi" w:hAnsiTheme="minorHAnsi"/>
        </w:rPr>
        <w:t>Server: Microsoft-IIS/10.0</w:t>
      </w:r>
      <w:r w:rsidR="00B57EB2">
        <w:rPr>
          <w:rStyle w:val="HTMLCode"/>
          <w:rFonts w:asciiTheme="minorHAnsi" w:eastAsiaTheme="minorHAnsi" w:hAnsiTheme="minorHAnsi"/>
        </w:rPr>
        <w:t xml:space="preserve"> </w:t>
      </w:r>
      <w:sdt>
        <w:sdtPr>
          <w:id w:val="-1339457425"/>
          <w:citation/>
        </w:sdtPr>
        <w:sdtContent>
          <w:r w:rsidR="00B57EB2" w:rsidRPr="00B57EB2">
            <w:fldChar w:fldCharType="begin"/>
          </w:r>
          <w:r w:rsidR="00B57EB2" w:rsidRPr="00B57EB2">
            <w:rPr>
              <w:lang w:val="en-US"/>
            </w:rPr>
            <w:instrText xml:space="preserve"> CITATION MIT266 \l 1033 </w:instrText>
          </w:r>
          <w:r w:rsidR="00B57EB2" w:rsidRPr="00B57EB2">
            <w:fldChar w:fldCharType="separate"/>
          </w:r>
          <w:r w:rsidR="00B57EB2" w:rsidRPr="00B57EB2">
            <w:rPr>
              <w:lang w:val="en-US"/>
            </w:rPr>
            <w:t>(MITRE, 2026)</w:t>
          </w:r>
          <w:r w:rsidR="00B57EB2" w:rsidRPr="00B57EB2">
            <w:fldChar w:fldCharType="end"/>
          </w:r>
        </w:sdtContent>
      </w:sdt>
      <w:r w:rsidRPr="00B056DB">
        <w:t>. Furthermore, client-side analysis identified an unpatched, outdated jQuery library.</w:t>
      </w:r>
    </w:p>
    <w:p w14:paraId="7956579D" w14:textId="77777777" w:rsidR="006F709D" w:rsidRDefault="00B056DB" w:rsidP="00B056DB">
      <w:pPr>
        <w:pStyle w:val="ListParagraph"/>
        <w:numPr>
          <w:ilvl w:val="1"/>
          <w:numId w:val="2"/>
        </w:numPr>
      </w:pPr>
      <w:r w:rsidRPr="00B056DB">
        <w:t xml:space="preserve">Business Impact: </w:t>
      </w:r>
    </w:p>
    <w:p w14:paraId="79E33A7A" w14:textId="3C328648" w:rsidR="00AC579F" w:rsidRDefault="00B056DB" w:rsidP="006F709D">
      <w:pPr>
        <w:pStyle w:val="ListParagraph"/>
        <w:numPr>
          <w:ilvl w:val="2"/>
          <w:numId w:val="2"/>
        </w:numPr>
      </w:pPr>
      <w:r w:rsidRPr="00B056DB">
        <w:t>Fingerprinting drastically lowers the reconnaissance barrier for attackers, allowing them to map target systems and instantly launch weaponi</w:t>
      </w:r>
      <w:r>
        <w:t>s</w:t>
      </w:r>
      <w:r w:rsidRPr="00B056DB">
        <w:t>ed public exploits against legacy unpatched vulnerabilities.</w:t>
      </w:r>
    </w:p>
    <w:p w14:paraId="4C0636F7" w14:textId="0B76378D" w:rsidR="006F709D" w:rsidRPr="00B056DB" w:rsidRDefault="006F709D" w:rsidP="006F709D">
      <w:pPr>
        <w:pStyle w:val="ListParagraph"/>
        <w:numPr>
          <w:ilvl w:val="2"/>
          <w:numId w:val="2"/>
        </w:numPr>
      </w:pPr>
      <w:r>
        <w:t xml:space="preserve">The exposure of version-specific server headers effectively publishes a roadmap for exploitation. Known vulnerabilities tied to IIS 10.0 and ASP.NET 4.0 are catalogued in public databases such as the NIST National Vulnerability Database (NVD) </w:t>
      </w:r>
      <w:sdt>
        <w:sdtPr>
          <w:id w:val="164758933"/>
          <w:citation/>
        </w:sdtPr>
        <w:sdtContent>
          <w:r>
            <w:fldChar w:fldCharType="begin"/>
          </w:r>
          <w:r>
            <w:rPr>
              <w:lang w:val="en-US"/>
            </w:rPr>
            <w:instrText xml:space="preserve"> CITATION NIS26 \l 1033 </w:instrText>
          </w:r>
          <w:r>
            <w:fldChar w:fldCharType="separate"/>
          </w:r>
          <w:r w:rsidRPr="006F709D">
            <w:rPr>
              <w:noProof/>
              <w:lang w:val="en-US"/>
            </w:rPr>
            <w:t>(NIST, 2026)</w:t>
          </w:r>
          <w:r>
            <w:fldChar w:fldCharType="end"/>
          </w:r>
        </w:sdtContent>
      </w:sdt>
      <w:r>
        <w:t>, meaning a threat actor requires no specialist knowledge to identify and deploy a targeted exploit. The presence of an outdated jQuery library compounds this risk, as client-side script vulnerabilities can be leveraged to intercept form submissions or redirect users to credential-harvesting pages.</w:t>
      </w:r>
    </w:p>
    <w:p w14:paraId="52E79531" w14:textId="7DAA156D" w:rsidR="00AC579F" w:rsidRDefault="00AC579F" w:rsidP="00AC579F">
      <w:pPr>
        <w:pStyle w:val="Heading2"/>
      </w:pPr>
      <w:bookmarkStart w:id="3" w:name="_Toc230761778"/>
      <w:r>
        <w:lastRenderedPageBreak/>
        <w:t>Holistic Mitigation Roadmap</w:t>
      </w:r>
      <w:bookmarkEnd w:id="3"/>
    </w:p>
    <w:p w14:paraId="4E9D134C" w14:textId="7E22F6BF" w:rsidR="00B57EB2" w:rsidRPr="00B57EB2" w:rsidRDefault="00B57EB2" w:rsidP="00B57EB2">
      <w:r>
        <w:t xml:space="preserve">Remediation requires a balanced combination of technical controls and organizational policy shifts, prioritized by engineering urgency, in line with international security standards </w:t>
      </w:r>
      <w:sdt>
        <w:sdtPr>
          <w:id w:val="106626637"/>
          <w:citation/>
        </w:sdtPr>
        <w:sdtContent>
          <w:r>
            <w:fldChar w:fldCharType="begin"/>
          </w:r>
          <w:r>
            <w:rPr>
              <w:lang w:val="en-US"/>
            </w:rPr>
            <w:instrText xml:space="preserve"> CITATION ISO222 \l 1033 </w:instrText>
          </w:r>
          <w:r>
            <w:fldChar w:fldCharType="separate"/>
          </w:r>
          <w:r w:rsidRPr="00B57EB2">
            <w:rPr>
              <w:noProof/>
              <w:lang w:val="en-US"/>
            </w:rPr>
            <w:t>(ISO/IEC, 2022)</w:t>
          </w:r>
          <w:r>
            <w:fldChar w:fldCharType="end"/>
          </w:r>
        </w:sdtContent>
      </w:sdt>
      <w:r>
        <w:t>:</w:t>
      </w:r>
    </w:p>
    <w:p w14:paraId="2A0E3E77" w14:textId="77777777" w:rsidR="005920CC" w:rsidRPr="005920CC" w:rsidRDefault="005920CC" w:rsidP="005920CC">
      <w:pPr>
        <w:pStyle w:val="Heading3"/>
      </w:pPr>
      <w:bookmarkStart w:id="4" w:name="_Toc230761779"/>
      <w:r w:rsidRPr="005920CC">
        <w:t>Technical Controls (In Order of Importance)</w:t>
      </w:r>
      <w:bookmarkEnd w:id="4"/>
    </w:p>
    <w:p w14:paraId="7F7F1FC9" w14:textId="4F4EE28D" w:rsidR="005920CC" w:rsidRPr="005920CC" w:rsidRDefault="005920CC" w:rsidP="005920CC">
      <w:pPr>
        <w:pStyle w:val="ListParagraph"/>
        <w:numPr>
          <w:ilvl w:val="0"/>
          <w:numId w:val="5"/>
        </w:numPr>
      </w:pPr>
      <w:r w:rsidRPr="005920CC">
        <w:rPr>
          <w:b/>
          <w:bCs/>
        </w:rPr>
        <w:t>Input Parameteri</w:t>
      </w:r>
      <w:r>
        <w:rPr>
          <w:b/>
          <w:bCs/>
        </w:rPr>
        <w:t>s</w:t>
      </w:r>
      <w:r w:rsidRPr="005920CC">
        <w:rPr>
          <w:b/>
          <w:bCs/>
        </w:rPr>
        <w:t>ation and Contextual Encoding:</w:t>
      </w:r>
      <w:r w:rsidRPr="005920CC">
        <w:t xml:space="preserve"> Transition all database query strings to prepared statements to isolate user data from executable commands, mitigating CWE-89. Implement front-end encoding to neutrali</w:t>
      </w:r>
      <w:r>
        <w:t>s</w:t>
      </w:r>
      <w:r w:rsidRPr="005920CC">
        <w:t>e XSS injection points (CWE-79)</w:t>
      </w:r>
      <w:r w:rsidR="00604817">
        <w:t xml:space="preserve"> </w:t>
      </w:r>
      <w:sdt>
        <w:sdtPr>
          <w:id w:val="693579778"/>
          <w:citation/>
        </w:sdtPr>
        <w:sdtContent>
          <w:r w:rsidR="00604817">
            <w:fldChar w:fldCharType="begin"/>
          </w:r>
          <w:r w:rsidR="00604817">
            <w:rPr>
              <w:lang w:val="en-US"/>
            </w:rPr>
            <w:instrText xml:space="preserve"> CITATION MIT267 \l 1033 </w:instrText>
          </w:r>
          <w:r w:rsidR="00604817">
            <w:fldChar w:fldCharType="separate"/>
          </w:r>
          <w:r w:rsidR="00604817" w:rsidRPr="00604817">
            <w:rPr>
              <w:noProof/>
              <w:lang w:val="en-US"/>
            </w:rPr>
            <w:t>(MITRE, 2026)</w:t>
          </w:r>
          <w:r w:rsidR="00604817">
            <w:fldChar w:fldCharType="end"/>
          </w:r>
        </w:sdtContent>
      </w:sdt>
      <w:r w:rsidRPr="005920CC">
        <w:t>.</w:t>
      </w:r>
    </w:p>
    <w:p w14:paraId="4AF369F0" w14:textId="4CCF03AB" w:rsidR="005920CC" w:rsidRPr="005920CC" w:rsidRDefault="005920CC" w:rsidP="005920CC">
      <w:pPr>
        <w:pStyle w:val="ListParagraph"/>
        <w:numPr>
          <w:ilvl w:val="0"/>
          <w:numId w:val="5"/>
        </w:numPr>
      </w:pPr>
      <w:r w:rsidRPr="005920CC">
        <w:rPr>
          <w:b/>
          <w:bCs/>
        </w:rPr>
        <w:t>Anti-Forgery Cryptographic Tokens:</w:t>
      </w:r>
      <w:r w:rsidRPr="005920CC">
        <w:t xml:space="preserve"> Integrate unique, cryptographically signed tokens per session into every state-changing form to block cross-site request hijacking</w:t>
      </w:r>
      <w:r w:rsidR="00604817">
        <w:t xml:space="preserve"> </w:t>
      </w:r>
      <w:sdt>
        <w:sdtPr>
          <w:id w:val="-2083357106"/>
          <w:citation/>
        </w:sdtPr>
        <w:sdtContent>
          <w:r w:rsidR="00604817">
            <w:fldChar w:fldCharType="begin"/>
          </w:r>
          <w:r w:rsidR="00604817">
            <w:rPr>
              <w:lang w:val="en-US"/>
            </w:rPr>
            <w:instrText xml:space="preserve"> CITATION OWA261 \l 1033 </w:instrText>
          </w:r>
          <w:r w:rsidR="00604817">
            <w:fldChar w:fldCharType="separate"/>
          </w:r>
          <w:r w:rsidR="00604817" w:rsidRPr="00604817">
            <w:rPr>
              <w:noProof/>
              <w:lang w:val="en-US"/>
            </w:rPr>
            <w:t>(OWASP, 2026)</w:t>
          </w:r>
          <w:r w:rsidR="00604817">
            <w:fldChar w:fldCharType="end"/>
          </w:r>
        </w:sdtContent>
      </w:sdt>
      <w:r w:rsidRPr="005920CC">
        <w:t>.</w:t>
      </w:r>
    </w:p>
    <w:p w14:paraId="7734090E" w14:textId="4AF0105D" w:rsidR="005920CC" w:rsidRPr="005920CC" w:rsidRDefault="005920CC" w:rsidP="005920CC">
      <w:pPr>
        <w:pStyle w:val="ListParagraph"/>
        <w:numPr>
          <w:ilvl w:val="0"/>
          <w:numId w:val="5"/>
        </w:numPr>
      </w:pPr>
      <w:r w:rsidRPr="005920CC">
        <w:rPr>
          <w:b/>
          <w:bCs/>
        </w:rPr>
        <w:t>Server Header Suppression:</w:t>
      </w:r>
      <w:r w:rsidRPr="005920CC">
        <w:t xml:space="preserve"> Adjust the Microsoft-IIS configuration files to explicitly remove the </w:t>
      </w:r>
      <w:r w:rsidRPr="005920CC">
        <w:rPr>
          <w:rStyle w:val="HTMLCode"/>
          <w:rFonts w:asciiTheme="minorHAnsi" w:eastAsiaTheme="minorHAnsi" w:hAnsiTheme="minorHAnsi"/>
        </w:rPr>
        <w:t>X-Powered-By</w:t>
      </w:r>
      <w:r w:rsidRPr="005920CC">
        <w:t xml:space="preserve"> and </w:t>
      </w:r>
      <w:r w:rsidRPr="005920CC">
        <w:rPr>
          <w:rStyle w:val="HTMLCode"/>
          <w:rFonts w:asciiTheme="minorHAnsi" w:eastAsiaTheme="minorHAnsi" w:hAnsiTheme="minorHAnsi"/>
        </w:rPr>
        <w:t>X-</w:t>
      </w:r>
      <w:proofErr w:type="spellStart"/>
      <w:r w:rsidRPr="005920CC">
        <w:rPr>
          <w:rStyle w:val="HTMLCode"/>
          <w:rFonts w:asciiTheme="minorHAnsi" w:eastAsiaTheme="minorHAnsi" w:hAnsiTheme="minorHAnsi"/>
        </w:rPr>
        <w:t>AspNet</w:t>
      </w:r>
      <w:proofErr w:type="spellEnd"/>
      <w:r w:rsidRPr="005920CC">
        <w:rPr>
          <w:rStyle w:val="HTMLCode"/>
          <w:rFonts w:asciiTheme="minorHAnsi" w:eastAsiaTheme="minorHAnsi" w:hAnsiTheme="minorHAnsi"/>
        </w:rPr>
        <w:t>-Version</w:t>
      </w:r>
      <w:r w:rsidRPr="005920CC">
        <w:t xml:space="preserve"> headers from HTTP responses</w:t>
      </w:r>
      <w:r w:rsidR="00604817">
        <w:t xml:space="preserve"> </w:t>
      </w:r>
      <w:sdt>
        <w:sdtPr>
          <w:id w:val="-1106652433"/>
          <w:citation/>
        </w:sdtPr>
        <w:sdtContent>
          <w:r w:rsidR="00604817">
            <w:fldChar w:fldCharType="begin"/>
          </w:r>
          <w:r w:rsidR="00604817">
            <w:rPr>
              <w:lang w:val="en-US"/>
            </w:rPr>
            <w:instrText xml:space="preserve"> CITATION NIS241 \l 1033 </w:instrText>
          </w:r>
          <w:r w:rsidR="00604817">
            <w:fldChar w:fldCharType="separate"/>
          </w:r>
          <w:r w:rsidR="00604817" w:rsidRPr="00604817">
            <w:rPr>
              <w:noProof/>
              <w:lang w:val="en-US"/>
            </w:rPr>
            <w:t>(NIST, 2024)</w:t>
          </w:r>
          <w:r w:rsidR="00604817">
            <w:fldChar w:fldCharType="end"/>
          </w:r>
        </w:sdtContent>
      </w:sdt>
      <w:r w:rsidRPr="005920CC">
        <w:t>.</w:t>
      </w:r>
    </w:p>
    <w:p w14:paraId="224C5B5E" w14:textId="77777777" w:rsidR="005920CC" w:rsidRPr="005920CC" w:rsidRDefault="005920CC" w:rsidP="005920CC">
      <w:pPr>
        <w:pStyle w:val="ListParagraph"/>
        <w:numPr>
          <w:ilvl w:val="0"/>
          <w:numId w:val="5"/>
        </w:numPr>
      </w:pPr>
      <w:r w:rsidRPr="005920CC">
        <w:rPr>
          <w:b/>
          <w:bCs/>
        </w:rPr>
        <w:t>Dependency Lifecycle Management:</w:t>
      </w:r>
      <w:r w:rsidRPr="005920CC">
        <w:t xml:space="preserve"> Upgrade the client-side jQuery components to the latest stable release to eliminate known vulnerabilities.</w:t>
      </w:r>
    </w:p>
    <w:p w14:paraId="6659F399" w14:textId="77777777" w:rsidR="005920CC" w:rsidRPr="005920CC" w:rsidRDefault="005920CC" w:rsidP="005920CC">
      <w:pPr>
        <w:pStyle w:val="Heading3"/>
      </w:pPr>
      <w:bookmarkStart w:id="5" w:name="_Toc230761780"/>
      <w:r w:rsidRPr="005920CC">
        <w:t>Policy and Procedural Changes</w:t>
      </w:r>
      <w:bookmarkEnd w:id="5"/>
    </w:p>
    <w:p w14:paraId="23E3153E" w14:textId="43D068A6" w:rsidR="005920CC" w:rsidRPr="006F709D" w:rsidRDefault="005920CC" w:rsidP="006F709D">
      <w:pPr>
        <w:pStyle w:val="ListParagraph"/>
        <w:numPr>
          <w:ilvl w:val="0"/>
          <w:numId w:val="13"/>
        </w:numPr>
      </w:pPr>
      <w:r w:rsidRPr="006F709D">
        <w:rPr>
          <w:b/>
          <w:bCs/>
        </w:rPr>
        <w:t>Establish an Incident Response Policy (IRP):</w:t>
      </w:r>
      <w:r w:rsidRPr="006F709D">
        <w:t xml:space="preserve"> Formulate a formal IRP based on the NIST SP 800-61 framework. This policy must define absolute thresholds for incident escalation, clear containment playbooks for live active breaches, and regulatory reporting chains</w:t>
      </w:r>
      <w:r w:rsidR="00604817" w:rsidRPr="006F709D">
        <w:t xml:space="preserve"> </w:t>
      </w:r>
      <w:sdt>
        <w:sdtPr>
          <w:id w:val="-1317493125"/>
          <w:citation/>
        </w:sdtPr>
        <w:sdtContent>
          <w:r w:rsidR="00604817" w:rsidRPr="006F709D">
            <w:fldChar w:fldCharType="begin"/>
          </w:r>
          <w:r w:rsidR="00604817" w:rsidRPr="006F709D">
            <w:rPr>
              <w:lang w:val="en-US"/>
            </w:rPr>
            <w:instrText xml:space="preserve"> CITATION NIS25 \l 1033 </w:instrText>
          </w:r>
          <w:r w:rsidR="00604817" w:rsidRPr="006F709D">
            <w:fldChar w:fldCharType="separate"/>
          </w:r>
          <w:r w:rsidR="00604817" w:rsidRPr="006F709D">
            <w:rPr>
              <w:noProof/>
              <w:lang w:val="en-US"/>
            </w:rPr>
            <w:t>(NIST, 2025)</w:t>
          </w:r>
          <w:r w:rsidR="00604817" w:rsidRPr="006F709D">
            <w:fldChar w:fldCharType="end"/>
          </w:r>
        </w:sdtContent>
      </w:sdt>
      <w:r w:rsidRPr="006F709D">
        <w:t>.</w:t>
      </w:r>
    </w:p>
    <w:p w14:paraId="174EAEB6" w14:textId="2250434A" w:rsidR="00AC579F" w:rsidRPr="006F709D" w:rsidRDefault="005920CC" w:rsidP="006F709D">
      <w:pPr>
        <w:pStyle w:val="ListParagraph"/>
        <w:numPr>
          <w:ilvl w:val="0"/>
          <w:numId w:val="13"/>
        </w:numPr>
      </w:pPr>
      <w:r w:rsidRPr="006F709D">
        <w:rPr>
          <w:b/>
          <w:bCs/>
        </w:rPr>
        <w:t>Mandatory Secure Development Lifecycle (SDL) Training:</w:t>
      </w:r>
      <w:r w:rsidRPr="006F709D">
        <w:t xml:space="preserve"> Conduct mandatory, biannual secure-coding seminars for all web engineers, focusing on input sanitisation, threat modelling, and OWASP safety standards.</w:t>
      </w:r>
    </w:p>
    <w:p w14:paraId="3F015977" w14:textId="6BCD55D1" w:rsidR="006F709D" w:rsidRPr="006F709D" w:rsidRDefault="006F709D" w:rsidP="006F709D">
      <w:pPr>
        <w:pStyle w:val="ListParagraph"/>
        <w:numPr>
          <w:ilvl w:val="0"/>
          <w:numId w:val="13"/>
        </w:numPr>
      </w:pPr>
      <w:r w:rsidRPr="006F709D">
        <w:rPr>
          <w:rStyle w:val="Strong"/>
        </w:rPr>
        <w:t>Vulnerability Disclosure Policy (VDP):</w:t>
      </w:r>
      <w:r w:rsidRPr="006F709D">
        <w:t xml:space="preserve"> Establish a formal, publicly accessible VDP that provides a clear, safe channel for external security researchers to report discovered weaknesses responsibly. This aligns with NCSC guidance</w:t>
      </w:r>
      <w:r>
        <w:t xml:space="preserve"> </w:t>
      </w:r>
      <w:sdt>
        <w:sdtPr>
          <w:id w:val="997377184"/>
          <w:citation/>
        </w:sdtPr>
        <w:sdtContent>
          <w:r>
            <w:fldChar w:fldCharType="begin"/>
          </w:r>
          <w:r>
            <w:rPr>
              <w:lang w:val="en-US"/>
            </w:rPr>
            <w:instrText xml:space="preserve"> CITATION NCS20 \l 1033 </w:instrText>
          </w:r>
          <w:r>
            <w:fldChar w:fldCharType="separate"/>
          </w:r>
          <w:r w:rsidRPr="006F709D">
            <w:rPr>
              <w:noProof/>
              <w:lang w:val="en-US"/>
            </w:rPr>
            <w:t>(NCSC, 2020)</w:t>
          </w:r>
          <w:r>
            <w:fldChar w:fldCharType="end"/>
          </w:r>
        </w:sdtContent>
      </w:sdt>
      <w:r w:rsidRPr="006F709D">
        <w:t xml:space="preserve"> on coordinated vulnerability disclosure and demonstrates proactive security governance to regulators and customers alike.</w:t>
      </w:r>
    </w:p>
    <w:p w14:paraId="31D20C9D" w14:textId="77777777" w:rsidR="006F709D" w:rsidRPr="006F709D" w:rsidRDefault="006F709D" w:rsidP="006F709D">
      <w:pPr>
        <w:pStyle w:val="ListParagraph"/>
        <w:numPr>
          <w:ilvl w:val="0"/>
          <w:numId w:val="13"/>
        </w:numPr>
      </w:pPr>
      <w:r w:rsidRPr="006F709D">
        <w:rPr>
          <w:rStyle w:val="Strong"/>
        </w:rPr>
        <w:t>Third-Party Dependency Auditing:</w:t>
      </w:r>
      <w:r w:rsidRPr="006F709D">
        <w:t xml:space="preserve"> Implement a quarterly software composition analysis (SCA) process to catalogue all third-party libraries in use across the platform. This should be integrated into the continuous integration pipeline so that newly identified CVEs trigger an automatic review before deployment.</w:t>
      </w:r>
    </w:p>
    <w:p w14:paraId="4C474CD6" w14:textId="6FBA325D" w:rsidR="006F709D" w:rsidRPr="006F709D" w:rsidRDefault="006F709D" w:rsidP="006F709D">
      <w:pPr>
        <w:pStyle w:val="ListParagraph"/>
        <w:numPr>
          <w:ilvl w:val="0"/>
          <w:numId w:val="13"/>
        </w:numPr>
      </w:pPr>
      <w:r w:rsidRPr="006F709D">
        <w:rPr>
          <w:rStyle w:val="Strong"/>
        </w:rPr>
        <w:t>Access Control Review Cycle:</w:t>
      </w:r>
      <w:r w:rsidRPr="006F709D">
        <w:t xml:space="preserve"> Mandate a biannual review of all user roles, administrative privileges, and session management configurations. Orphaned accounts and over-privileged roles represent a persistent insider threat vector </w:t>
      </w:r>
      <w:r w:rsidRPr="006F709D">
        <w:lastRenderedPageBreak/>
        <w:t>that process controls, rather than technical patches alone, are best positioned to address.</w:t>
      </w:r>
    </w:p>
    <w:p w14:paraId="1D4EA6B8" w14:textId="32543103" w:rsidR="00AC579F" w:rsidRDefault="00AC579F" w:rsidP="00AC579F">
      <w:pPr>
        <w:pStyle w:val="Heading2"/>
      </w:pPr>
      <w:bookmarkStart w:id="6" w:name="_Toc230761781"/>
      <w:r>
        <w:t>Strategic Framing &amp; Compliance Governance</w:t>
      </w:r>
      <w:bookmarkEnd w:id="6"/>
    </w:p>
    <w:p w14:paraId="1E12D9F5" w14:textId="77777777" w:rsidR="00A322E6" w:rsidRPr="00A322E6" w:rsidRDefault="00A322E6" w:rsidP="00A322E6">
      <w:pPr>
        <w:pStyle w:val="Heading3"/>
      </w:pPr>
      <w:bookmarkStart w:id="7" w:name="_Toc230761782"/>
      <w:r w:rsidRPr="00A322E6">
        <w:t>Legal Obligations</w:t>
      </w:r>
      <w:bookmarkEnd w:id="7"/>
    </w:p>
    <w:p w14:paraId="54405A14" w14:textId="1C4C5E8D" w:rsidR="00A322E6" w:rsidRDefault="00A322E6" w:rsidP="00A322E6">
      <w:r>
        <w:t>Leaving known SQLi and access control vulnerabilities unpatched directly violates our legal duties under the General Data Protection Regulation (GDPR)</w:t>
      </w:r>
      <w:r w:rsidR="00604817">
        <w:t xml:space="preserve"> </w:t>
      </w:r>
      <w:sdt>
        <w:sdtPr>
          <w:id w:val="-2122216823"/>
          <w:citation/>
        </w:sdtPr>
        <w:sdtContent>
          <w:r w:rsidR="00604817">
            <w:fldChar w:fldCharType="begin"/>
          </w:r>
          <w:r w:rsidR="00604817">
            <w:rPr>
              <w:lang w:val="en-US"/>
            </w:rPr>
            <w:instrText xml:space="preserve"> CITATION Eur161 \l 1033 </w:instrText>
          </w:r>
          <w:r w:rsidR="00604817">
            <w:fldChar w:fldCharType="separate"/>
          </w:r>
          <w:r w:rsidR="00604817" w:rsidRPr="00604817">
            <w:rPr>
              <w:noProof/>
              <w:lang w:val="en-US"/>
            </w:rPr>
            <w:t>(European Union, 2016)</w:t>
          </w:r>
          <w:r w:rsidR="00604817">
            <w:fldChar w:fldCharType="end"/>
          </w:r>
        </w:sdtContent>
      </w:sdt>
      <w:r w:rsidR="00604817">
        <w:t xml:space="preserve"> and the UK Data Protection Act (DPA) </w:t>
      </w:r>
      <w:sdt>
        <w:sdtPr>
          <w:id w:val="-2093537723"/>
          <w:citation/>
        </w:sdtPr>
        <w:sdtContent>
          <w:r w:rsidR="00604817">
            <w:fldChar w:fldCharType="begin"/>
          </w:r>
          <w:r w:rsidR="00604817">
            <w:rPr>
              <w:lang w:val="en-US"/>
            </w:rPr>
            <w:instrText xml:space="preserve"> CITATION UKG18 \l 1033 </w:instrText>
          </w:r>
          <w:r w:rsidR="00604817">
            <w:fldChar w:fldCharType="separate"/>
          </w:r>
          <w:r w:rsidR="00604817" w:rsidRPr="00604817">
            <w:rPr>
              <w:noProof/>
              <w:lang w:val="en-US"/>
            </w:rPr>
            <w:t>(UK Government, 2018)</w:t>
          </w:r>
          <w:r w:rsidR="00604817">
            <w:fldChar w:fldCharType="end"/>
          </w:r>
        </w:sdtContent>
      </w:sdt>
      <w:r>
        <w:t xml:space="preserve">. Specifically, it breaches Article 5(1)(f), the </w:t>
      </w:r>
      <w:r w:rsidR="00604817">
        <w:t xml:space="preserve">GDPR </w:t>
      </w:r>
      <w:r>
        <w:t>"Integrity and Confidentiality" principle, which legally requires organisations to implement appropriate technical security parameters. Failure to secure these records risks substantial regulatory fines and systemic litigation.</w:t>
      </w:r>
    </w:p>
    <w:p w14:paraId="20013892" w14:textId="28D43E3D" w:rsidR="006F709D" w:rsidRDefault="006F709D" w:rsidP="00A322E6">
      <w:r>
        <w:t xml:space="preserve">Article 32 of the UK GDPR </w:t>
      </w:r>
      <w:sdt>
        <w:sdtPr>
          <w:id w:val="498393466"/>
          <w:citation/>
        </w:sdtPr>
        <w:sdtContent>
          <w:r>
            <w:fldChar w:fldCharType="begin"/>
          </w:r>
          <w:r>
            <w:rPr>
              <w:lang w:val="en-US"/>
            </w:rPr>
            <w:instrText xml:space="preserve"> CITATION UKG16 \l 1033 </w:instrText>
          </w:r>
          <w:r>
            <w:fldChar w:fldCharType="separate"/>
          </w:r>
          <w:r w:rsidRPr="006F709D">
            <w:rPr>
              <w:noProof/>
              <w:lang w:val="en-US"/>
            </w:rPr>
            <w:t>(UK Government, 2016)</w:t>
          </w:r>
          <w:r>
            <w:fldChar w:fldCharType="end"/>
          </w:r>
        </w:sdtContent>
      </w:sdt>
      <w:r w:rsidR="00481DEC">
        <w:t xml:space="preserve"> </w:t>
      </w:r>
      <w:r>
        <w:t>further requires organisations to implement "appropriate technical and organisational measures" to ensure a level of security appropriate to the risk. The vulnerabilities identified in this audit, particularly the absence of input validation and anti-forgery controls, would be difficult to defend as "appropriate" in the event of regulatory scrutiny, given that they represent well-documented, industry-known failure modes with widely available remediation guidance. Additionally, Article 33 creates a strict 72-hour breach notification obligation to the ICO following discovery of a personal data breach, meaning the organisation must also have the internal detection and escalation infrastructure to meet that window, something the current absence of a formal IRP makes operationally unlikely.</w:t>
      </w:r>
    </w:p>
    <w:p w14:paraId="30EC5D3A" w14:textId="03C0F774" w:rsidR="006F709D" w:rsidRDefault="00A322E6" w:rsidP="00A322E6">
      <w:r>
        <w:t xml:space="preserve">Furthermore, if an outside attacker exploits these missing controls to compromise the server from a UK testing endpoint, that intrusion falls within the prosecution parameters of the Computer Misuse Act 1990 </w:t>
      </w:r>
      <w:sdt>
        <w:sdtPr>
          <w:id w:val="90833497"/>
          <w:citation/>
        </w:sdtPr>
        <w:sdtContent>
          <w:r w:rsidR="00604817">
            <w:fldChar w:fldCharType="begin"/>
          </w:r>
          <w:r w:rsidR="00604817">
            <w:rPr>
              <w:lang w:val="en-US"/>
            </w:rPr>
            <w:instrText xml:space="preserve"> CITATION UKG90 \l 1033 </w:instrText>
          </w:r>
          <w:r w:rsidR="00604817">
            <w:fldChar w:fldCharType="separate"/>
          </w:r>
          <w:r w:rsidR="00604817" w:rsidRPr="00604817">
            <w:rPr>
              <w:noProof/>
              <w:lang w:val="en-US"/>
            </w:rPr>
            <w:t>(UK Government, 1990)</w:t>
          </w:r>
          <w:r w:rsidR="00604817">
            <w:fldChar w:fldCharType="end"/>
          </w:r>
        </w:sdtContent>
      </w:sdt>
      <w:r w:rsidR="00604817">
        <w:t xml:space="preserve"> </w:t>
      </w:r>
      <w:r>
        <w:t>(specifically Section 1: Unauthorised Access to Computer Material). Proactively closing these loopholes ensures compliance and shields the company from legal liability.</w:t>
      </w:r>
    </w:p>
    <w:p w14:paraId="1A8E0AA3" w14:textId="77777777" w:rsidR="00A322E6" w:rsidRPr="00A322E6" w:rsidRDefault="00A322E6" w:rsidP="00A322E6">
      <w:pPr>
        <w:pStyle w:val="Heading3"/>
      </w:pPr>
      <w:bookmarkStart w:id="8" w:name="_Toc230761783"/>
      <w:r w:rsidRPr="00A322E6">
        <w:t>Ethical Considerations</w:t>
      </w:r>
      <w:bookmarkEnd w:id="8"/>
    </w:p>
    <w:p w14:paraId="563AC8FC" w14:textId="57A99F71" w:rsidR="00A322E6" w:rsidRPr="00A322E6" w:rsidRDefault="00A322E6" w:rsidP="00A322E6">
      <w:r w:rsidRPr="00A322E6">
        <w:t>The initial technical analysis was conducted strictly under the ethical principles of Responsible Disclosure</w:t>
      </w:r>
      <w:r w:rsidR="00604817">
        <w:t xml:space="preserve"> </w:t>
      </w:r>
      <w:sdt>
        <w:sdtPr>
          <w:id w:val="-1643498475"/>
          <w:citation/>
        </w:sdtPr>
        <w:sdtContent>
          <w:r w:rsidR="00604817">
            <w:fldChar w:fldCharType="begin"/>
          </w:r>
          <w:r w:rsidR="00604817">
            <w:rPr>
              <w:lang w:val="en-US"/>
            </w:rPr>
            <w:instrText xml:space="preserve"> CITATION BCS22 \l 1033 </w:instrText>
          </w:r>
          <w:r w:rsidR="00604817">
            <w:fldChar w:fldCharType="separate"/>
          </w:r>
          <w:r w:rsidR="00604817" w:rsidRPr="00604817">
            <w:rPr>
              <w:noProof/>
              <w:lang w:val="en-US"/>
            </w:rPr>
            <w:t>(BCS, 2022)</w:t>
          </w:r>
          <w:r w:rsidR="00604817">
            <w:fldChar w:fldCharType="end"/>
          </w:r>
        </w:sdtContent>
      </w:sdt>
      <w:r w:rsidRPr="00A322E6">
        <w:t>. Security teams must operate within dedicated, sandboxed test frameworks to discover flaws without disrupting production workflows or accessing live customer information. Fixing these core flaws prevents malicious exploitation, protecting our users and upholding digital safety ethics.</w:t>
      </w:r>
    </w:p>
    <w:p w14:paraId="283D471C" w14:textId="77777777" w:rsidR="00A322E6" w:rsidRDefault="00A322E6" w:rsidP="00A322E6">
      <w:pPr>
        <w:pStyle w:val="Heading3"/>
      </w:pPr>
      <w:bookmarkStart w:id="9" w:name="_Toc230761784"/>
      <w:r>
        <w:t>Professional Standards and Codes of Conduct</w:t>
      </w:r>
      <w:bookmarkEnd w:id="9"/>
    </w:p>
    <w:p w14:paraId="51DDD5A9" w14:textId="112DD84A" w:rsidR="00A322E6" w:rsidRDefault="00A322E6" w:rsidP="00A322E6">
      <w:r>
        <w:t>Our defensive strategy directly mirrors the core tenets of the BCS (British Computer Society) Code of Conduct</w:t>
      </w:r>
      <w:r w:rsidR="00604817">
        <w:t xml:space="preserve"> </w:t>
      </w:r>
      <w:sdt>
        <w:sdtPr>
          <w:id w:val="-885708111"/>
          <w:citation/>
        </w:sdtPr>
        <w:sdtContent>
          <w:r w:rsidR="00604817">
            <w:fldChar w:fldCharType="begin"/>
          </w:r>
          <w:r w:rsidR="00604817">
            <w:rPr>
              <w:lang w:val="en-US"/>
            </w:rPr>
            <w:instrText xml:space="preserve"> CITATION BCS22 \l 1033 </w:instrText>
          </w:r>
          <w:r w:rsidR="00604817">
            <w:fldChar w:fldCharType="separate"/>
          </w:r>
          <w:r w:rsidR="00604817" w:rsidRPr="00604817">
            <w:rPr>
              <w:noProof/>
              <w:lang w:val="en-US"/>
            </w:rPr>
            <w:t>(BCS, 2022)</w:t>
          </w:r>
          <w:r w:rsidR="00604817">
            <w:fldChar w:fldCharType="end"/>
          </w:r>
        </w:sdtContent>
      </w:sdt>
      <w:r>
        <w:t xml:space="preserve">. As professional engineers, we have a strict professional duty to look after public data, maintain technological competence, and </w:t>
      </w:r>
      <w:r>
        <w:lastRenderedPageBreak/>
        <w:t>promote information integrity. Failing to fix known, scan-verified database vulnerabilities falls short of these basic professional expectations.</w:t>
      </w:r>
    </w:p>
    <w:p w14:paraId="465AA217" w14:textId="77777777" w:rsidR="00A322E6" w:rsidRDefault="00A322E6" w:rsidP="00A322E6">
      <w:pPr>
        <w:pStyle w:val="Heading3"/>
      </w:pPr>
      <w:bookmarkStart w:id="10" w:name="_Toc230761785"/>
      <w:r>
        <w:t>Wider Organisational Goals (EDI &amp; Sustainability)</w:t>
      </w:r>
      <w:bookmarkEnd w:id="10"/>
    </w:p>
    <w:p w14:paraId="1E092333" w14:textId="77777777" w:rsidR="00A322E6" w:rsidRDefault="00A322E6" w:rsidP="00A322E6">
      <w:r>
        <w:t>Integrating these security recommendations supports our broader corporate objectives:</w:t>
      </w:r>
    </w:p>
    <w:p w14:paraId="5F982302" w14:textId="77777777" w:rsidR="00A322E6" w:rsidRDefault="00A322E6" w:rsidP="00A322E6">
      <w:pPr>
        <w:pStyle w:val="ListParagraph"/>
        <w:numPr>
          <w:ilvl w:val="0"/>
          <w:numId w:val="8"/>
        </w:numPr>
      </w:pPr>
      <w:r w:rsidRPr="00A322E6">
        <w:rPr>
          <w:b/>
          <w:bCs/>
        </w:rPr>
        <w:t>Equality, Diversity &amp; Inclusion (EDI):</w:t>
      </w:r>
      <w:r>
        <w:t xml:space="preserve"> Robust authentication interfaces protect all users, especially vulnerable groups who are frequently targeted by identity theft and phishing scams. Ensuring a safe digital environment is essential to building an inclusive and trustworthy platform for everyone.</w:t>
      </w:r>
    </w:p>
    <w:p w14:paraId="6A83E881" w14:textId="3909FC95" w:rsidR="00A322E6" w:rsidRDefault="00A322E6" w:rsidP="00A322E6">
      <w:pPr>
        <w:pStyle w:val="ListParagraph"/>
        <w:numPr>
          <w:ilvl w:val="0"/>
          <w:numId w:val="8"/>
        </w:numPr>
      </w:pPr>
      <w:r w:rsidRPr="00A322E6">
        <w:rPr>
          <w:b/>
          <w:bCs/>
        </w:rPr>
        <w:t>Sustainability:</w:t>
      </w:r>
      <w:r>
        <w:t xml:space="preserve"> Unpatched application servers frequently face continuous automated botnet attacks and malicious traffic scanning. By implementing strict input validation and server-level hardening, we significantly reduce unnecessary computing overhead on our Microsoft Azure architecture</w:t>
      </w:r>
      <w:r w:rsidR="00604817">
        <w:t xml:space="preserve">, adhering to sustainable green-computing frameworks </w:t>
      </w:r>
      <w:sdt>
        <w:sdtPr>
          <w:id w:val="1668517764"/>
          <w:citation/>
        </w:sdtPr>
        <w:sdtContent>
          <w:r w:rsidR="00604817">
            <w:fldChar w:fldCharType="begin"/>
          </w:r>
          <w:r w:rsidR="00604817">
            <w:rPr>
              <w:lang w:val="en-US"/>
            </w:rPr>
            <w:instrText xml:space="preserve"> CITATION NIS241 \l 1033 </w:instrText>
          </w:r>
          <w:r w:rsidR="00604817">
            <w:fldChar w:fldCharType="separate"/>
          </w:r>
          <w:r w:rsidR="00604817" w:rsidRPr="00604817">
            <w:rPr>
              <w:noProof/>
              <w:lang w:val="en-US"/>
            </w:rPr>
            <w:t>(NIST, 2024)</w:t>
          </w:r>
          <w:r w:rsidR="00604817">
            <w:fldChar w:fldCharType="end"/>
          </w:r>
        </w:sdtContent>
      </w:sdt>
      <w:r>
        <w:t>. This optimisation improves technical performance, lowers overall electricity usage, and reduces our long-term digital carbon footprint.</w:t>
      </w:r>
    </w:p>
    <w:p w14:paraId="7A7A6D6C" w14:textId="77777777" w:rsidR="00AC579F" w:rsidRDefault="00AC579F" w:rsidP="00AC579F"/>
    <w:p w14:paraId="2A91F3B1" w14:textId="3C3EA438" w:rsidR="00AC579F" w:rsidRDefault="00AC579F">
      <w:r>
        <w:br w:type="page"/>
      </w:r>
    </w:p>
    <w:p w14:paraId="4A2EC6CB" w14:textId="15062B7D" w:rsidR="00AC579F" w:rsidRDefault="00AC579F" w:rsidP="00AC579F">
      <w:pPr>
        <w:pStyle w:val="Heading1"/>
      </w:pPr>
      <w:bookmarkStart w:id="11" w:name="_Toc230761786"/>
      <w:r>
        <w:lastRenderedPageBreak/>
        <w:t>Part B: Critical Reflection</w:t>
      </w:r>
      <w:bookmarkEnd w:id="11"/>
    </w:p>
    <w:p w14:paraId="74817879" w14:textId="10E38C3C" w:rsidR="00383C03" w:rsidRPr="00383C03" w:rsidRDefault="00383C03" w:rsidP="00104784">
      <w:r>
        <w:t>Using Gibbs’ Reflective Cycle (1998) as a guide, this section analyses my learning journey throughout this module and examines how my perspective on application auditing and risk management has evolved</w:t>
      </w:r>
      <w:r w:rsidR="00604817">
        <w:t xml:space="preserve"> </w:t>
      </w:r>
      <w:sdt>
        <w:sdtPr>
          <w:id w:val="-613514330"/>
          <w:citation/>
        </w:sdtPr>
        <w:sdtContent>
          <w:r w:rsidR="00604817">
            <w:fldChar w:fldCharType="begin"/>
          </w:r>
          <w:r w:rsidR="00604817">
            <w:rPr>
              <w:lang w:val="en-US"/>
            </w:rPr>
            <w:instrText xml:space="preserve"> CITATION Gib98 \l 1033 </w:instrText>
          </w:r>
          <w:r w:rsidR="00604817">
            <w:fldChar w:fldCharType="separate"/>
          </w:r>
          <w:r w:rsidR="00604817" w:rsidRPr="00604817">
            <w:rPr>
              <w:noProof/>
              <w:lang w:val="en-US"/>
            </w:rPr>
            <w:t>(Gibbs, 1998)</w:t>
          </w:r>
          <w:r w:rsidR="00604817">
            <w:fldChar w:fldCharType="end"/>
          </w:r>
        </w:sdtContent>
      </w:sdt>
      <w:r>
        <w:t>.</w:t>
      </w:r>
    </w:p>
    <w:p w14:paraId="44FA69D6" w14:textId="74F577B7" w:rsidR="00AC579F" w:rsidRDefault="00AC579F" w:rsidP="00AC579F">
      <w:pPr>
        <w:pStyle w:val="Heading2"/>
      </w:pPr>
      <w:bookmarkStart w:id="12" w:name="_Toc230761787"/>
      <w:r>
        <w:t>Description and Feelings</w:t>
      </w:r>
      <w:bookmarkEnd w:id="12"/>
    </w:p>
    <w:p w14:paraId="1990E6FD" w14:textId="77777777" w:rsidR="00104784" w:rsidRPr="00104784" w:rsidRDefault="00104784" w:rsidP="00104784">
      <w:r w:rsidRPr="00104784">
        <w:t>During this module, I was tasked with performing a black-box security audit against a live target (Supercar Showdown) using automated security scanners (Nmap, Nessus, OWASP ZAP) and manual probing techniques inside a Kali Linux virtual machine environment.</w:t>
      </w:r>
    </w:p>
    <w:p w14:paraId="4BE75F30" w14:textId="1FC8F5A3" w:rsidR="00AC579F" w:rsidRDefault="00104784" w:rsidP="00104784">
      <w:r w:rsidRPr="00104784">
        <w:t>Initially, I felt a high degree of technical anxiety regarding virtuali</w:t>
      </w:r>
      <w:r>
        <w:t>s</w:t>
      </w:r>
      <w:r w:rsidRPr="00104784">
        <w:t>ation dependencies, particularly when configuring the cross-platform architecture using UTM on my host macOS machine. However, successfully executing a manual SQL injection payload and capturing header leaks changed my perspective, giving me a strong sense of practical achievement and confidence.</w:t>
      </w:r>
    </w:p>
    <w:p w14:paraId="2FDD219C" w14:textId="6619A774" w:rsidR="006F709D" w:rsidRPr="00104784" w:rsidRDefault="006F709D" w:rsidP="00104784">
      <w:r>
        <w:t>There were moments of genuine frustration during the reconnaissance phase, particularly when my initial automated scans returned incomplete results due to Cloudflare's WAF silently filtering traffic at the network edge. At that point, I questioned whether my methodology was flawed or whether I had misunderstood the scope entirely. It required a deliberate pause to reassess my approach rather than persisting with a technique that was clearly producing unreliable data. That experience of sitting with uncertainty and reorienting my strategy turned out to be one of the most valuable parts of the module, it reflected the kind of adaptive thinking that real-world incident response demands.</w:t>
      </w:r>
    </w:p>
    <w:p w14:paraId="3677A3D6" w14:textId="2CF93455" w:rsidR="00AC579F" w:rsidRDefault="00AC579F" w:rsidP="00AC579F">
      <w:pPr>
        <w:pStyle w:val="Heading2"/>
      </w:pPr>
      <w:bookmarkStart w:id="13" w:name="_Toc230761788"/>
      <w:r>
        <w:t>Evaluation and Analysis</w:t>
      </w:r>
      <w:bookmarkEnd w:id="13"/>
    </w:p>
    <w:p w14:paraId="717CAC25" w14:textId="2F36D8FB" w:rsidR="00104784" w:rsidRDefault="00104784" w:rsidP="00104784">
      <w:r>
        <w:t>A key realisation during this process was the difference between understanding cybersecurity theories and actually debugging systems under real-world constraints. For example, my initial port scans were blocked by Cloudflare’s Web Application Firewall (WAF), which silently dropped ICMP packets.</w:t>
      </w:r>
    </w:p>
    <w:p w14:paraId="56E4FB94" w14:textId="1AC19C4D" w:rsidR="00104784" w:rsidRDefault="00104784" w:rsidP="00104784">
      <w:r>
        <w:t>Instead of letting this halt my progress, I adapted my strategy. I moved from network-layer exploration to layer-7 header fingerprinting, successfully extracting hidden configuration profiles (</w:t>
      </w:r>
      <w:r>
        <w:rPr>
          <w:rStyle w:val="HTMLCode"/>
          <w:rFonts w:eastAsiaTheme="minorHAnsi"/>
        </w:rPr>
        <w:t>X-</w:t>
      </w:r>
      <w:proofErr w:type="spellStart"/>
      <w:r>
        <w:rPr>
          <w:rStyle w:val="HTMLCode"/>
          <w:rFonts w:eastAsiaTheme="minorHAnsi"/>
        </w:rPr>
        <w:t>AspNet</w:t>
      </w:r>
      <w:proofErr w:type="spellEnd"/>
      <w:r>
        <w:rPr>
          <w:rStyle w:val="HTMLCode"/>
          <w:rFonts w:eastAsiaTheme="minorHAnsi"/>
        </w:rPr>
        <w:t>-Version</w:t>
      </w:r>
      <w:r>
        <w:t>) from direct HTTP response metadata. This experience taught me that automated scanning tools are not a complete solution; an effective security professional must critically analyse anomalies rather than simply relying on automated data outputs</w:t>
      </w:r>
      <w:r w:rsidR="003563E3">
        <w:t xml:space="preserve"> </w:t>
      </w:r>
      <w:sdt>
        <w:sdtPr>
          <w:id w:val="-256913165"/>
          <w:citation/>
        </w:sdtPr>
        <w:sdtContent>
          <w:r w:rsidR="003563E3">
            <w:fldChar w:fldCharType="begin"/>
          </w:r>
          <w:r w:rsidR="003563E3">
            <w:rPr>
              <w:lang w:val="en-US"/>
            </w:rPr>
            <w:instrText xml:space="preserve"> CITATION NIS241 \l 1033 </w:instrText>
          </w:r>
          <w:r w:rsidR="003563E3">
            <w:fldChar w:fldCharType="separate"/>
          </w:r>
          <w:r w:rsidR="003563E3" w:rsidRPr="003563E3">
            <w:rPr>
              <w:noProof/>
              <w:lang w:val="en-US"/>
            </w:rPr>
            <w:t>(NIST, 2024)</w:t>
          </w:r>
          <w:r w:rsidR="003563E3">
            <w:fldChar w:fldCharType="end"/>
          </w:r>
        </w:sdtContent>
      </w:sdt>
      <w:r>
        <w:t>.</w:t>
      </w:r>
    </w:p>
    <w:p w14:paraId="54309442" w14:textId="35BEFAA3" w:rsidR="00AC579F" w:rsidRDefault="00104784" w:rsidP="00104784">
      <w:r>
        <w:t xml:space="preserve">Furthermore, synthesising information from multiple sources, such as matching raw ZAP logs against the MITRE CWE database and NIST vulnerability repositories, greatly </w:t>
      </w:r>
      <w:r>
        <w:lastRenderedPageBreak/>
        <w:t>enhanced my analytical approach. I learned to look past the symptoms of individual bugs and identify their underlying systemic causes, such as missing input parameterisation across the code repository. This exercise helped me realise that cybersecurity is not just a software patching process. Instead, it is an interconnected ecosystem where technical vulnerabilities carry real legal consequences under GDPR and significantly impact public trust</w:t>
      </w:r>
      <w:r w:rsidR="003563E3">
        <w:t xml:space="preserve"> </w:t>
      </w:r>
      <w:sdt>
        <w:sdtPr>
          <w:id w:val="-533579992"/>
          <w:citation/>
        </w:sdtPr>
        <w:sdtContent>
          <w:r w:rsidR="003563E3">
            <w:fldChar w:fldCharType="begin"/>
          </w:r>
          <w:r w:rsidR="003563E3">
            <w:rPr>
              <w:lang w:val="en-US"/>
            </w:rPr>
            <w:instrText xml:space="preserve"> CITATION Eur161 \l 1033 </w:instrText>
          </w:r>
          <w:r w:rsidR="003563E3">
            <w:fldChar w:fldCharType="separate"/>
          </w:r>
          <w:r w:rsidR="003563E3" w:rsidRPr="003563E3">
            <w:rPr>
              <w:noProof/>
              <w:lang w:val="en-US"/>
            </w:rPr>
            <w:t>(European Union, 2016)</w:t>
          </w:r>
          <w:r w:rsidR="003563E3">
            <w:fldChar w:fldCharType="end"/>
          </w:r>
        </w:sdtContent>
      </w:sdt>
      <w:r>
        <w:t>.</w:t>
      </w:r>
    </w:p>
    <w:p w14:paraId="262833CE" w14:textId="1FC10381" w:rsidR="006F709D" w:rsidRDefault="006F709D" w:rsidP="00104784">
      <w:r>
        <w:t xml:space="preserve">Synthesising information from multiple sources presented its own methodological challenge. The raw output from OWASP ZAP, for instance, flags anomalies without contextualising their severity within a specific business environment. Cross-referencing those findings against the MITRE CWE database allowed me to understand the underlying code-level cause of each vulnerability, while NIST SP 800-30 </w:t>
      </w:r>
      <w:sdt>
        <w:sdtPr>
          <w:id w:val="1813902599"/>
          <w:citation/>
        </w:sdtPr>
        <w:sdtContent>
          <w:r>
            <w:fldChar w:fldCharType="begin"/>
          </w:r>
          <w:r>
            <w:rPr>
              <w:lang w:val="en-US"/>
            </w:rPr>
            <w:instrText xml:space="preserve"> CITATION NIS12 \l 1033 </w:instrText>
          </w:r>
          <w:r>
            <w:fldChar w:fldCharType="separate"/>
          </w:r>
          <w:r w:rsidRPr="006F709D">
            <w:rPr>
              <w:noProof/>
              <w:lang w:val="en-US"/>
            </w:rPr>
            <w:t>(NIST, 2012)</w:t>
          </w:r>
          <w:r>
            <w:fldChar w:fldCharType="end"/>
          </w:r>
        </w:sdtContent>
      </w:sdt>
      <w:r>
        <w:t xml:space="preserve"> provided a risk-scoring framework to prioritise remediation by likely impact rather than technical complexity alone. I also drew on ICO guidance </w:t>
      </w:r>
      <w:sdt>
        <w:sdtPr>
          <w:id w:val="-2121363111"/>
          <w:citation/>
        </w:sdtPr>
        <w:sdtContent>
          <w:r>
            <w:fldChar w:fldCharType="begin"/>
          </w:r>
          <w:r w:rsidR="00481DEC">
            <w:rPr>
              <w:lang w:val="en-US"/>
            </w:rPr>
            <w:instrText xml:space="preserve">CITATION ICO261 \l 1033 </w:instrText>
          </w:r>
          <w:r>
            <w:fldChar w:fldCharType="separate"/>
          </w:r>
          <w:r w:rsidR="00481DEC" w:rsidRPr="00481DEC">
            <w:rPr>
              <w:noProof/>
              <w:lang w:val="en-US"/>
            </w:rPr>
            <w:t>(ICO, 2021)</w:t>
          </w:r>
          <w:r>
            <w:fldChar w:fldCharType="end"/>
          </w:r>
        </w:sdtContent>
      </w:sdt>
      <w:r>
        <w:t xml:space="preserve"> and the BCS Code of Conduct </w:t>
      </w:r>
      <w:sdt>
        <w:sdtPr>
          <w:id w:val="444197759"/>
          <w:citation/>
        </w:sdtPr>
        <w:sdtContent>
          <w:r>
            <w:fldChar w:fldCharType="begin"/>
          </w:r>
          <w:r>
            <w:rPr>
              <w:lang w:val="en-US"/>
            </w:rPr>
            <w:instrText xml:space="preserve"> CITATION BCS22 \l 1033 </w:instrText>
          </w:r>
          <w:r>
            <w:fldChar w:fldCharType="separate"/>
          </w:r>
          <w:r w:rsidRPr="006F709D">
            <w:rPr>
              <w:noProof/>
              <w:lang w:val="en-US"/>
            </w:rPr>
            <w:t>(BCS, 2022)</w:t>
          </w:r>
          <w:r>
            <w:fldChar w:fldCharType="end"/>
          </w:r>
        </w:sdtContent>
      </w:sdt>
      <w:r>
        <w:t xml:space="preserve"> to ensure that my analytical conclusions were grounded in real regulatory and professional expectations, rather than treating compliance as an afterthought. This triangulation across technical, legal, and professional sources is something I had not practised systematically before this module, and it changed how I approach research more broadly.</w:t>
      </w:r>
    </w:p>
    <w:p w14:paraId="39E4528F" w14:textId="09491FC2" w:rsidR="00AC579F" w:rsidRDefault="00AC579F" w:rsidP="00AC579F">
      <w:pPr>
        <w:pStyle w:val="Heading2"/>
      </w:pPr>
      <w:bookmarkStart w:id="14" w:name="_Toc230761789"/>
      <w:r>
        <w:t>Conclusion and Action Plan</w:t>
      </w:r>
      <w:bookmarkEnd w:id="14"/>
    </w:p>
    <w:p w14:paraId="766355A0" w14:textId="59497385" w:rsidR="006F709D" w:rsidRDefault="006F709D" w:rsidP="00104784">
      <w:r>
        <w:t>Reflecting on the module as a whole, my understanding of cybersecurity has shifted from a predominantly technical framing to one that is inherently interdisciplinary. Before beginning this module, I would have approached a vulnerability report as a list of software defects requiring patches. I now understand that each finding exists within a web of legal obligations, ethical duties, and organisational priorities that must all be accounted for in any responsible remediation strategy. The Gibbs cycle has been a useful structure for this reflection, particularly in pushing me to move beyond description and into genuine evaluation of what I would do differently, I would now begin any audit engagement by mapping the legal and regulatory context first, before touching a single tool.</w:t>
      </w:r>
    </w:p>
    <w:p w14:paraId="6CF0A32A" w14:textId="1A93DA09" w:rsidR="000D4CE9" w:rsidRDefault="003F733B">
      <w:r>
        <w:t>In my future professional practice, I intend to pursue formal certifications to build on the foundational competencies developed here. I will carry forward the discipline of always contextualising technical findings within their legal and business environment, and of communicating risk in terms that non-technical stakeholders can act on. This module has given me confidence that I can operate at the intersection of technical analysis and governance, which is precisely where the most consequential cybersecurity work happens.</w:t>
      </w:r>
      <w:r w:rsidR="000D4CE9">
        <w:br w:type="page"/>
      </w:r>
    </w:p>
    <w:bookmarkStart w:id="15" w:name="_Toc230761790" w:displacedByCustomXml="next"/>
    <w:sdt>
      <w:sdtPr>
        <w:rPr>
          <w:rFonts w:asciiTheme="minorHAnsi" w:eastAsiaTheme="minorHAnsi" w:hAnsiTheme="minorHAnsi" w:cstheme="minorBidi"/>
          <w:color w:val="auto"/>
          <w:sz w:val="24"/>
          <w:szCs w:val="24"/>
        </w:rPr>
        <w:id w:val="-1687049987"/>
        <w:docPartObj>
          <w:docPartGallery w:val="Bibliographies"/>
          <w:docPartUnique/>
        </w:docPartObj>
      </w:sdtPr>
      <w:sdtContent>
        <w:p w14:paraId="613B8C8F" w14:textId="4BDF39CC" w:rsidR="000D4CE9" w:rsidRDefault="000D4CE9">
          <w:pPr>
            <w:pStyle w:val="Heading1"/>
          </w:pPr>
          <w:r>
            <w:t>Bibliography</w:t>
          </w:r>
          <w:bookmarkEnd w:id="15"/>
        </w:p>
        <w:sdt>
          <w:sdtPr>
            <w:id w:val="111145805"/>
            <w:bibliography/>
          </w:sdtPr>
          <w:sdtContent>
            <w:p w14:paraId="0AB06C88" w14:textId="77777777" w:rsidR="00652E20" w:rsidRDefault="000D4CE9" w:rsidP="00652E20">
              <w:pPr>
                <w:pStyle w:val="Bibliography"/>
                <w:rPr>
                  <w:noProof/>
                  <w:kern w:val="0"/>
                  <w14:ligatures w14:val="none"/>
                </w:rPr>
              </w:pPr>
              <w:r>
                <w:fldChar w:fldCharType="begin"/>
              </w:r>
              <w:r>
                <w:instrText xml:space="preserve"> BIBLIOGRAPHY </w:instrText>
              </w:r>
              <w:r>
                <w:fldChar w:fldCharType="separate"/>
              </w:r>
              <w:r w:rsidR="00652E20">
                <w:rPr>
                  <w:noProof/>
                </w:rPr>
                <w:t xml:space="preserve">BCS, 2022. </w:t>
              </w:r>
              <w:r w:rsidR="00652E20">
                <w:rPr>
                  <w:i/>
                  <w:iCs/>
                  <w:noProof/>
                </w:rPr>
                <w:t xml:space="preserve">BCS Code of Conduct. </w:t>
              </w:r>
              <w:r w:rsidR="00652E20">
                <w:rPr>
                  <w:noProof/>
                </w:rPr>
                <w:t xml:space="preserve">[Online] </w:t>
              </w:r>
              <w:r w:rsidR="00652E20">
                <w:rPr>
                  <w:noProof/>
                </w:rPr>
                <w:br/>
                <w:t xml:space="preserve">Available at: </w:t>
              </w:r>
              <w:r w:rsidR="00652E20">
                <w:rPr>
                  <w:noProof/>
                  <w:u w:val="single"/>
                </w:rPr>
                <w:t>https://www.bcs.org/media/2211/bcs-code-of-conduct.pdf</w:t>
              </w:r>
              <w:r w:rsidR="00652E20">
                <w:rPr>
                  <w:noProof/>
                </w:rPr>
                <w:br/>
                <w:t>[Accessed 27 May 2026].</w:t>
              </w:r>
            </w:p>
            <w:p w14:paraId="2D40535B" w14:textId="77777777" w:rsidR="00652E20" w:rsidRDefault="00652E20" w:rsidP="00652E20">
              <w:pPr>
                <w:pStyle w:val="Bibliography"/>
                <w:rPr>
                  <w:noProof/>
                </w:rPr>
              </w:pPr>
              <w:r>
                <w:rPr>
                  <w:noProof/>
                </w:rPr>
                <w:t xml:space="preserve">European Union, 2016. </w:t>
              </w:r>
              <w:r>
                <w:rPr>
                  <w:i/>
                  <w:iCs/>
                  <w:noProof/>
                </w:rPr>
                <w:t xml:space="preserve">General Data Protection Regulation. </w:t>
              </w:r>
              <w:r>
                <w:rPr>
                  <w:noProof/>
                </w:rPr>
                <w:t xml:space="preserve">[Online] </w:t>
              </w:r>
              <w:r>
                <w:rPr>
                  <w:noProof/>
                </w:rPr>
                <w:br/>
                <w:t xml:space="preserve">Available at: </w:t>
              </w:r>
              <w:r>
                <w:rPr>
                  <w:noProof/>
                  <w:u w:val="single"/>
                </w:rPr>
                <w:t>https://gdpr-info.eu/</w:t>
              </w:r>
              <w:r>
                <w:rPr>
                  <w:noProof/>
                </w:rPr>
                <w:br/>
                <w:t>[Accessed 26 May 2026].</w:t>
              </w:r>
            </w:p>
            <w:p w14:paraId="17CA9B82" w14:textId="77777777" w:rsidR="00652E20" w:rsidRDefault="00652E20" w:rsidP="00652E20">
              <w:pPr>
                <w:pStyle w:val="Bibliography"/>
                <w:rPr>
                  <w:noProof/>
                </w:rPr>
              </w:pPr>
              <w:r>
                <w:rPr>
                  <w:noProof/>
                </w:rPr>
                <w:t xml:space="preserve">Gibbs, G., 1998. Structured debriefing. In: </w:t>
              </w:r>
              <w:r>
                <w:rPr>
                  <w:i/>
                  <w:iCs/>
                  <w:noProof/>
                </w:rPr>
                <w:t xml:space="preserve">Learning by Doing: A Guide to Teaching and Learning Methods. </w:t>
              </w:r>
              <w:r>
                <w:rPr>
                  <w:noProof/>
                </w:rPr>
                <w:t>Oxford: Oxford Polytechnic, pp. 49-51.</w:t>
              </w:r>
            </w:p>
            <w:p w14:paraId="52BC8EB6" w14:textId="77777777" w:rsidR="00652E20" w:rsidRDefault="00652E20" w:rsidP="00652E20">
              <w:pPr>
                <w:pStyle w:val="Bibliography"/>
                <w:rPr>
                  <w:noProof/>
                </w:rPr>
              </w:pPr>
              <w:r>
                <w:rPr>
                  <w:noProof/>
                </w:rPr>
                <w:t xml:space="preserve">ICO, 2021. </w:t>
              </w:r>
              <w:r>
                <w:rPr>
                  <w:i/>
                  <w:iCs/>
                  <w:noProof/>
                </w:rPr>
                <w:t xml:space="preserve">UK GDPR guidance and resources. </w:t>
              </w:r>
              <w:r>
                <w:rPr>
                  <w:noProof/>
                </w:rPr>
                <w:t xml:space="preserve">[Online] </w:t>
              </w:r>
              <w:r>
                <w:rPr>
                  <w:noProof/>
                </w:rPr>
                <w:br/>
                <w:t xml:space="preserve">Available at: </w:t>
              </w:r>
              <w:r>
                <w:rPr>
                  <w:noProof/>
                  <w:u w:val="single"/>
                </w:rPr>
                <w:t>https://ico.org.uk/for-organisations/uk-gdpr-guidance-and-resources/</w:t>
              </w:r>
              <w:r>
                <w:rPr>
                  <w:noProof/>
                </w:rPr>
                <w:br/>
                <w:t>[Accessed 27 May 2026].</w:t>
              </w:r>
            </w:p>
            <w:p w14:paraId="26BBB6B5" w14:textId="77777777" w:rsidR="00652E20" w:rsidRDefault="00652E20" w:rsidP="00652E20">
              <w:pPr>
                <w:pStyle w:val="Bibliography"/>
                <w:rPr>
                  <w:noProof/>
                </w:rPr>
              </w:pPr>
              <w:r>
                <w:rPr>
                  <w:noProof/>
                </w:rPr>
                <w:t xml:space="preserve">ISO/IEC, 2022. </w:t>
              </w:r>
              <w:r>
                <w:rPr>
                  <w:i/>
                  <w:iCs/>
                  <w:noProof/>
                </w:rPr>
                <w:t xml:space="preserve">Information security, cybersecurity and privacy protection — Information security management systems — Requirements (27001), </w:t>
              </w:r>
              <w:r>
                <w:rPr>
                  <w:noProof/>
                </w:rPr>
                <w:t>Geneva: ISO/IEC.</w:t>
              </w:r>
            </w:p>
            <w:p w14:paraId="0A5D0863" w14:textId="77777777" w:rsidR="00652E20" w:rsidRDefault="00652E20" w:rsidP="00652E20">
              <w:pPr>
                <w:pStyle w:val="Bibliography"/>
                <w:rPr>
                  <w:noProof/>
                </w:rPr>
              </w:pPr>
              <w:r>
                <w:rPr>
                  <w:noProof/>
                </w:rPr>
                <w:t xml:space="preserve">MITRE, 2026. </w:t>
              </w:r>
              <w:r>
                <w:rPr>
                  <w:i/>
                  <w:iCs/>
                  <w:noProof/>
                </w:rPr>
                <w:t xml:space="preserve">CWE-200: Exposure of Sensitive Information to an Unauthorized Actor. </w:t>
              </w:r>
              <w:r>
                <w:rPr>
                  <w:noProof/>
                </w:rPr>
                <w:t xml:space="preserve">[Online] </w:t>
              </w:r>
              <w:r>
                <w:rPr>
                  <w:noProof/>
                </w:rPr>
                <w:br/>
                <w:t xml:space="preserve">Available at: </w:t>
              </w:r>
              <w:r>
                <w:rPr>
                  <w:noProof/>
                  <w:u w:val="single"/>
                </w:rPr>
                <w:t>https://cwe.mitre.org/data/definitions/200.html</w:t>
              </w:r>
              <w:r>
                <w:rPr>
                  <w:noProof/>
                </w:rPr>
                <w:br/>
                <w:t>[Accessed 25 May 2026].</w:t>
              </w:r>
            </w:p>
            <w:p w14:paraId="2E176E25" w14:textId="77777777" w:rsidR="00652E20" w:rsidRDefault="00652E20" w:rsidP="00652E20">
              <w:pPr>
                <w:pStyle w:val="Bibliography"/>
                <w:rPr>
                  <w:noProof/>
                </w:rPr>
              </w:pPr>
              <w:r>
                <w:rPr>
                  <w:noProof/>
                </w:rPr>
                <w:t xml:space="preserve">MITRE, 2026. </w:t>
              </w:r>
              <w:r>
                <w:rPr>
                  <w:i/>
                  <w:iCs/>
                  <w:noProof/>
                </w:rPr>
                <w:t xml:space="preserve">CWE-352: Cross-Site Request Forgery (CSRF). </w:t>
              </w:r>
              <w:r>
                <w:rPr>
                  <w:noProof/>
                </w:rPr>
                <w:t xml:space="preserve">[Online] </w:t>
              </w:r>
              <w:r>
                <w:rPr>
                  <w:noProof/>
                </w:rPr>
                <w:br/>
                <w:t xml:space="preserve">Available at: </w:t>
              </w:r>
              <w:r>
                <w:rPr>
                  <w:noProof/>
                  <w:u w:val="single"/>
                </w:rPr>
                <w:t>https://cwe.mitre.org/data/definitions/352.html</w:t>
              </w:r>
              <w:r>
                <w:rPr>
                  <w:noProof/>
                </w:rPr>
                <w:br/>
                <w:t>[Accessed 24 May 2026].</w:t>
              </w:r>
            </w:p>
            <w:p w14:paraId="53E95369" w14:textId="77777777" w:rsidR="00652E20" w:rsidRDefault="00652E20" w:rsidP="00652E20">
              <w:pPr>
                <w:pStyle w:val="Bibliography"/>
                <w:rPr>
                  <w:noProof/>
                </w:rPr>
              </w:pPr>
              <w:r>
                <w:rPr>
                  <w:noProof/>
                </w:rPr>
                <w:t xml:space="preserve">MITRE, 2026. </w:t>
              </w:r>
              <w:r>
                <w:rPr>
                  <w:i/>
                  <w:iCs/>
                  <w:noProof/>
                </w:rPr>
                <w:t xml:space="preserve">CWE-79: Improper Neutralization of Input During Web Page Generation ('Cross-site Scripting'). </w:t>
              </w:r>
              <w:r>
                <w:rPr>
                  <w:noProof/>
                </w:rPr>
                <w:t xml:space="preserve">[Online] </w:t>
              </w:r>
              <w:r>
                <w:rPr>
                  <w:noProof/>
                </w:rPr>
                <w:br/>
                <w:t xml:space="preserve">Available at: </w:t>
              </w:r>
              <w:r>
                <w:rPr>
                  <w:noProof/>
                  <w:u w:val="single"/>
                </w:rPr>
                <w:t>https://cwe.mitre.org/data/definitions/79.html</w:t>
              </w:r>
              <w:r>
                <w:rPr>
                  <w:noProof/>
                </w:rPr>
                <w:br/>
                <w:t>[Accessed 25 May 2026].</w:t>
              </w:r>
            </w:p>
            <w:p w14:paraId="3931D868" w14:textId="77777777" w:rsidR="00652E20" w:rsidRDefault="00652E20" w:rsidP="00652E20">
              <w:pPr>
                <w:pStyle w:val="Bibliography"/>
                <w:rPr>
                  <w:noProof/>
                </w:rPr>
              </w:pPr>
              <w:r>
                <w:rPr>
                  <w:noProof/>
                </w:rPr>
                <w:t xml:space="preserve">MITRE, 2026. </w:t>
              </w:r>
              <w:r>
                <w:rPr>
                  <w:i/>
                  <w:iCs/>
                  <w:noProof/>
                </w:rPr>
                <w:t xml:space="preserve">CWE-89: Improper Neutralization of Special Elements used in an SQL Command ('SQL Injection'). </w:t>
              </w:r>
              <w:r>
                <w:rPr>
                  <w:noProof/>
                </w:rPr>
                <w:t xml:space="preserve">[Online] </w:t>
              </w:r>
              <w:r>
                <w:rPr>
                  <w:noProof/>
                </w:rPr>
                <w:br/>
                <w:t xml:space="preserve">Available at: </w:t>
              </w:r>
              <w:r>
                <w:rPr>
                  <w:noProof/>
                  <w:u w:val="single"/>
                </w:rPr>
                <w:t>https://cwe.mitre.org/data/definitions/89.html</w:t>
              </w:r>
              <w:r>
                <w:rPr>
                  <w:noProof/>
                </w:rPr>
                <w:br/>
                <w:t>[Accessed 24 May 2026].</w:t>
              </w:r>
            </w:p>
            <w:p w14:paraId="4847F1E3" w14:textId="77777777" w:rsidR="00652E20" w:rsidRDefault="00652E20" w:rsidP="00652E20">
              <w:pPr>
                <w:pStyle w:val="Bibliography"/>
                <w:rPr>
                  <w:noProof/>
                </w:rPr>
              </w:pPr>
              <w:r>
                <w:rPr>
                  <w:noProof/>
                </w:rPr>
                <w:t xml:space="preserve">NCSC, 2020. </w:t>
              </w:r>
              <w:r>
                <w:rPr>
                  <w:i/>
                  <w:iCs/>
                  <w:noProof/>
                </w:rPr>
                <w:t xml:space="preserve">Vulnerability Disclosure Toolkit. </w:t>
              </w:r>
              <w:r>
                <w:rPr>
                  <w:noProof/>
                </w:rPr>
                <w:t xml:space="preserve">[Online] </w:t>
              </w:r>
              <w:r>
                <w:rPr>
                  <w:noProof/>
                </w:rPr>
                <w:br/>
                <w:t xml:space="preserve">Available at: </w:t>
              </w:r>
              <w:r>
                <w:rPr>
                  <w:noProof/>
                  <w:u w:val="single"/>
                </w:rPr>
                <w:t>https://www.ncsc.gov.uk/information/vulnerability-disclosure-toolkit</w:t>
              </w:r>
              <w:r>
                <w:rPr>
                  <w:noProof/>
                </w:rPr>
                <w:br/>
                <w:t>[Accessed 27 May 2026].</w:t>
              </w:r>
            </w:p>
            <w:p w14:paraId="0B175EB8" w14:textId="77777777" w:rsidR="00652E20" w:rsidRDefault="00652E20" w:rsidP="00652E20">
              <w:pPr>
                <w:pStyle w:val="Bibliography"/>
                <w:rPr>
                  <w:noProof/>
                </w:rPr>
              </w:pPr>
              <w:r>
                <w:rPr>
                  <w:noProof/>
                </w:rPr>
                <w:t xml:space="preserve">NIST, 2012. </w:t>
              </w:r>
              <w:r>
                <w:rPr>
                  <w:i/>
                  <w:iCs/>
                  <w:noProof/>
                </w:rPr>
                <w:t xml:space="preserve">Guide for Conducting Risk Assessments. </w:t>
              </w:r>
              <w:r>
                <w:rPr>
                  <w:noProof/>
                </w:rPr>
                <w:t xml:space="preserve">[Online] </w:t>
              </w:r>
              <w:r>
                <w:rPr>
                  <w:noProof/>
                </w:rPr>
                <w:br/>
                <w:t xml:space="preserve">Available at: </w:t>
              </w:r>
              <w:r>
                <w:rPr>
                  <w:noProof/>
                  <w:u w:val="single"/>
                </w:rPr>
                <w:t>https://nvlpubs.nist.gov/nistpubs/Legacy/SP/nistspecialpublication800-</w:t>
              </w:r>
              <w:r>
                <w:rPr>
                  <w:noProof/>
                  <w:u w:val="single"/>
                </w:rPr>
                <w:lastRenderedPageBreak/>
                <w:t>30r1.pdf</w:t>
              </w:r>
              <w:r>
                <w:rPr>
                  <w:noProof/>
                </w:rPr>
                <w:br/>
                <w:t>[Accessed 27 May 2026].</w:t>
              </w:r>
            </w:p>
            <w:p w14:paraId="1A9976BD" w14:textId="77777777" w:rsidR="00652E20" w:rsidRDefault="00652E20" w:rsidP="00652E20">
              <w:pPr>
                <w:pStyle w:val="Bibliography"/>
                <w:rPr>
                  <w:noProof/>
                </w:rPr>
              </w:pPr>
              <w:r>
                <w:rPr>
                  <w:noProof/>
                </w:rPr>
                <w:t xml:space="preserve">NIST, 2024. </w:t>
              </w:r>
              <w:r>
                <w:rPr>
                  <w:i/>
                  <w:iCs/>
                  <w:noProof/>
                </w:rPr>
                <w:t xml:space="preserve">The NIST Cybersecurity Framework (CSF) 2.0. </w:t>
              </w:r>
              <w:r>
                <w:rPr>
                  <w:noProof/>
                </w:rPr>
                <w:t xml:space="preserve">[Online] </w:t>
              </w:r>
              <w:r>
                <w:rPr>
                  <w:noProof/>
                </w:rPr>
                <w:br/>
                <w:t xml:space="preserve">Available at: </w:t>
              </w:r>
              <w:r>
                <w:rPr>
                  <w:noProof/>
                  <w:u w:val="single"/>
                </w:rPr>
                <w:t>https://nvlpubs.nist.gov/nistpubs/CSWP/NIST.CSWP.29.pdf</w:t>
              </w:r>
              <w:r>
                <w:rPr>
                  <w:noProof/>
                </w:rPr>
                <w:br/>
                <w:t>[Accessed 24 May 2026].</w:t>
              </w:r>
            </w:p>
            <w:p w14:paraId="0C6CE57D" w14:textId="77777777" w:rsidR="00652E20" w:rsidRDefault="00652E20" w:rsidP="00652E20">
              <w:pPr>
                <w:pStyle w:val="Bibliography"/>
                <w:rPr>
                  <w:noProof/>
                </w:rPr>
              </w:pPr>
              <w:r>
                <w:rPr>
                  <w:noProof/>
                </w:rPr>
                <w:t xml:space="preserve">NIST, 2025. </w:t>
              </w:r>
              <w:r>
                <w:rPr>
                  <w:i/>
                  <w:iCs/>
                  <w:noProof/>
                </w:rPr>
                <w:t xml:space="preserve">Incident Response Recommendations and Considerations for Cybersecurity Risk Management. </w:t>
              </w:r>
              <w:r>
                <w:rPr>
                  <w:noProof/>
                </w:rPr>
                <w:t xml:space="preserve">[Online] </w:t>
              </w:r>
              <w:r>
                <w:rPr>
                  <w:noProof/>
                </w:rPr>
                <w:br/>
                <w:t xml:space="preserve">Available at: </w:t>
              </w:r>
              <w:r>
                <w:rPr>
                  <w:noProof/>
                  <w:u w:val="single"/>
                </w:rPr>
                <w:t>https://nvlpubs.nist.gov/nistpubs/SpecialPublications/NIST.SP.800-61r3.pdf</w:t>
              </w:r>
              <w:r>
                <w:rPr>
                  <w:noProof/>
                </w:rPr>
                <w:br/>
                <w:t>[Accessed 26 May 2026].</w:t>
              </w:r>
            </w:p>
            <w:p w14:paraId="48ACA20F" w14:textId="77777777" w:rsidR="00652E20" w:rsidRDefault="00652E20" w:rsidP="00652E20">
              <w:pPr>
                <w:pStyle w:val="Bibliography"/>
                <w:rPr>
                  <w:noProof/>
                </w:rPr>
              </w:pPr>
              <w:r>
                <w:rPr>
                  <w:noProof/>
                </w:rPr>
                <w:t xml:space="preserve">NIST, 2026. </w:t>
              </w:r>
              <w:r>
                <w:rPr>
                  <w:i/>
                  <w:iCs/>
                  <w:noProof/>
                </w:rPr>
                <w:t xml:space="preserve">National Vulnerability Database. </w:t>
              </w:r>
              <w:r>
                <w:rPr>
                  <w:noProof/>
                </w:rPr>
                <w:t xml:space="preserve">[Online] </w:t>
              </w:r>
              <w:r>
                <w:rPr>
                  <w:noProof/>
                </w:rPr>
                <w:br/>
                <w:t xml:space="preserve">Available at: </w:t>
              </w:r>
              <w:r>
                <w:rPr>
                  <w:noProof/>
                  <w:u w:val="single"/>
                </w:rPr>
                <w:t>https://nvd.nist.gov/</w:t>
              </w:r>
              <w:r>
                <w:rPr>
                  <w:noProof/>
                </w:rPr>
                <w:br/>
                <w:t>[Accessed 26 May 2026].</w:t>
              </w:r>
            </w:p>
            <w:p w14:paraId="21D1F563" w14:textId="77777777" w:rsidR="00652E20" w:rsidRDefault="00652E20" w:rsidP="00652E20">
              <w:pPr>
                <w:pStyle w:val="Bibliography"/>
                <w:rPr>
                  <w:noProof/>
                </w:rPr>
              </w:pPr>
              <w:r>
                <w:rPr>
                  <w:noProof/>
                </w:rPr>
                <w:t xml:space="preserve">OWASP, 2025. </w:t>
              </w:r>
              <w:r>
                <w:rPr>
                  <w:i/>
                  <w:iCs/>
                  <w:noProof/>
                </w:rPr>
                <w:t xml:space="preserve">OWASP Top 10:2025. </w:t>
              </w:r>
              <w:r>
                <w:rPr>
                  <w:noProof/>
                </w:rPr>
                <w:t xml:space="preserve">[Online] </w:t>
              </w:r>
              <w:r>
                <w:rPr>
                  <w:noProof/>
                </w:rPr>
                <w:br/>
                <w:t xml:space="preserve">Available at: </w:t>
              </w:r>
              <w:r>
                <w:rPr>
                  <w:noProof/>
                  <w:u w:val="single"/>
                </w:rPr>
                <w:t>https://owasp.org/Top10/2025/</w:t>
              </w:r>
              <w:r>
                <w:rPr>
                  <w:noProof/>
                </w:rPr>
                <w:br/>
                <w:t>[Accessed 24 May 2026].</w:t>
              </w:r>
            </w:p>
            <w:p w14:paraId="0EBFABF0" w14:textId="77777777" w:rsidR="00652E20" w:rsidRDefault="00652E20" w:rsidP="00652E20">
              <w:pPr>
                <w:pStyle w:val="Bibliography"/>
                <w:rPr>
                  <w:noProof/>
                </w:rPr>
              </w:pPr>
              <w:r>
                <w:rPr>
                  <w:noProof/>
                </w:rPr>
                <w:t xml:space="preserve">OWASP, 2026. </w:t>
              </w:r>
              <w:r>
                <w:rPr>
                  <w:i/>
                  <w:iCs/>
                  <w:noProof/>
                </w:rPr>
                <w:t xml:space="preserve">Cross-Site Request Forgery Prevention Cheat Sheet. </w:t>
              </w:r>
              <w:r>
                <w:rPr>
                  <w:noProof/>
                </w:rPr>
                <w:t xml:space="preserve">[Online] </w:t>
              </w:r>
              <w:r>
                <w:rPr>
                  <w:noProof/>
                </w:rPr>
                <w:br/>
                <w:t xml:space="preserve">Available at: </w:t>
              </w:r>
              <w:r>
                <w:rPr>
                  <w:noProof/>
                  <w:u w:val="single"/>
                </w:rPr>
                <w:t>https://cheatsheetseries.owasp.org/cheatsheets/Cross-Site_Request_Forgery_Prevention_Cheat_Sheet.html</w:t>
              </w:r>
              <w:r>
                <w:rPr>
                  <w:noProof/>
                </w:rPr>
                <w:br/>
                <w:t>[Accessed 26 May 2026].</w:t>
              </w:r>
            </w:p>
            <w:p w14:paraId="6A33C8E9" w14:textId="77777777" w:rsidR="00652E20" w:rsidRDefault="00652E20" w:rsidP="00652E20">
              <w:pPr>
                <w:pStyle w:val="Bibliography"/>
                <w:rPr>
                  <w:noProof/>
                </w:rPr>
              </w:pPr>
              <w:r>
                <w:rPr>
                  <w:noProof/>
                </w:rPr>
                <w:t xml:space="preserve">UK Government, 1990. </w:t>
              </w:r>
              <w:r>
                <w:rPr>
                  <w:i/>
                  <w:iCs/>
                  <w:noProof/>
                </w:rPr>
                <w:t xml:space="preserve">Computer Misuse Act 1990. </w:t>
              </w:r>
              <w:r>
                <w:rPr>
                  <w:noProof/>
                </w:rPr>
                <w:t xml:space="preserve">[Online] </w:t>
              </w:r>
              <w:r>
                <w:rPr>
                  <w:noProof/>
                </w:rPr>
                <w:br/>
                <w:t xml:space="preserve">Available at: </w:t>
              </w:r>
              <w:r>
                <w:rPr>
                  <w:noProof/>
                  <w:u w:val="single"/>
                </w:rPr>
                <w:t>https://www.legislation.gov.uk/ukpga/1990/18/contents</w:t>
              </w:r>
              <w:r>
                <w:rPr>
                  <w:noProof/>
                </w:rPr>
                <w:br/>
                <w:t>[Accessed 27 May 2026].</w:t>
              </w:r>
            </w:p>
            <w:p w14:paraId="5FAF91B9" w14:textId="77777777" w:rsidR="00652E20" w:rsidRDefault="00652E20" w:rsidP="00652E20">
              <w:pPr>
                <w:pStyle w:val="Bibliography"/>
                <w:rPr>
                  <w:noProof/>
                </w:rPr>
              </w:pPr>
              <w:r>
                <w:rPr>
                  <w:noProof/>
                </w:rPr>
                <w:t xml:space="preserve">UK Government, 2016. </w:t>
              </w:r>
              <w:r>
                <w:rPr>
                  <w:i/>
                  <w:iCs/>
                  <w:noProof/>
                </w:rPr>
                <w:t xml:space="preserve">United Kingdom General Data Protection Regulation. </w:t>
              </w:r>
              <w:r>
                <w:rPr>
                  <w:noProof/>
                </w:rPr>
                <w:t xml:space="preserve">[Online] </w:t>
              </w:r>
              <w:r>
                <w:rPr>
                  <w:noProof/>
                </w:rPr>
                <w:br/>
                <w:t xml:space="preserve">Available at: </w:t>
              </w:r>
              <w:r>
                <w:rPr>
                  <w:noProof/>
                  <w:u w:val="single"/>
                </w:rPr>
                <w:t>https://www.legislation.gov.uk/eur/2016/679/contents</w:t>
              </w:r>
              <w:r>
                <w:rPr>
                  <w:noProof/>
                </w:rPr>
                <w:br/>
                <w:t>[Accessed 27 May 2026].</w:t>
              </w:r>
            </w:p>
            <w:p w14:paraId="6D764271" w14:textId="77777777" w:rsidR="00652E20" w:rsidRDefault="00652E20" w:rsidP="00652E20">
              <w:pPr>
                <w:pStyle w:val="Bibliography"/>
                <w:rPr>
                  <w:noProof/>
                </w:rPr>
              </w:pPr>
              <w:r>
                <w:rPr>
                  <w:noProof/>
                </w:rPr>
                <w:t xml:space="preserve">UK Government, 2018. </w:t>
              </w:r>
              <w:r>
                <w:rPr>
                  <w:i/>
                  <w:iCs/>
                  <w:noProof/>
                </w:rPr>
                <w:t xml:space="preserve">Data Protection Act 2018. </w:t>
              </w:r>
              <w:r>
                <w:rPr>
                  <w:noProof/>
                </w:rPr>
                <w:t xml:space="preserve">[Online] </w:t>
              </w:r>
              <w:r>
                <w:rPr>
                  <w:noProof/>
                </w:rPr>
                <w:br/>
                <w:t xml:space="preserve">Available at: </w:t>
              </w:r>
              <w:r>
                <w:rPr>
                  <w:noProof/>
                  <w:u w:val="single"/>
                </w:rPr>
                <w:t>https://www.legislation.gov.uk/ukpga/2018/12/contents</w:t>
              </w:r>
              <w:r>
                <w:rPr>
                  <w:noProof/>
                </w:rPr>
                <w:br/>
                <w:t>[Accessed 26 May 2026].</w:t>
              </w:r>
            </w:p>
            <w:p w14:paraId="448C2CEE" w14:textId="498D2AE9" w:rsidR="000D4CE9" w:rsidRDefault="000D4CE9" w:rsidP="00652E20">
              <w:r>
                <w:rPr>
                  <w:b/>
                  <w:bCs/>
                  <w:noProof/>
                </w:rPr>
                <w:fldChar w:fldCharType="end"/>
              </w:r>
            </w:p>
          </w:sdtContent>
        </w:sdt>
      </w:sdtContent>
    </w:sdt>
    <w:p w14:paraId="1C7E3B22" w14:textId="77777777" w:rsidR="000D4CE9" w:rsidRPr="000D4CE9" w:rsidRDefault="000D4CE9" w:rsidP="000D4CE9"/>
    <w:sectPr w:rsidR="000D4CE9" w:rsidRPr="000D4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97C"/>
    <w:multiLevelType w:val="hybridMultilevel"/>
    <w:tmpl w:val="B4861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BB36BA"/>
    <w:multiLevelType w:val="hybridMultilevel"/>
    <w:tmpl w:val="80A6C1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415B54"/>
    <w:multiLevelType w:val="multilevel"/>
    <w:tmpl w:val="E76E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910F3"/>
    <w:multiLevelType w:val="multilevel"/>
    <w:tmpl w:val="E5B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4220C"/>
    <w:multiLevelType w:val="hybridMultilevel"/>
    <w:tmpl w:val="A2BCB2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D96D03"/>
    <w:multiLevelType w:val="hybridMultilevel"/>
    <w:tmpl w:val="96D63E7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8C85E8E"/>
    <w:multiLevelType w:val="multilevel"/>
    <w:tmpl w:val="882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8106F"/>
    <w:multiLevelType w:val="multilevel"/>
    <w:tmpl w:val="B5E0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C0A2B"/>
    <w:multiLevelType w:val="multilevel"/>
    <w:tmpl w:val="6F7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A475C"/>
    <w:multiLevelType w:val="hybridMultilevel"/>
    <w:tmpl w:val="9D0097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49625E"/>
    <w:multiLevelType w:val="hybridMultilevel"/>
    <w:tmpl w:val="F6ACD2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C94904"/>
    <w:multiLevelType w:val="multilevel"/>
    <w:tmpl w:val="D7A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411C6"/>
    <w:multiLevelType w:val="multilevel"/>
    <w:tmpl w:val="105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2562">
    <w:abstractNumId w:val="7"/>
  </w:num>
  <w:num w:numId="2" w16cid:durableId="1419056288">
    <w:abstractNumId w:val="10"/>
  </w:num>
  <w:num w:numId="3" w16cid:durableId="1906641149">
    <w:abstractNumId w:val="2"/>
  </w:num>
  <w:num w:numId="4" w16cid:durableId="262343395">
    <w:abstractNumId w:val="11"/>
  </w:num>
  <w:num w:numId="5" w16cid:durableId="346248314">
    <w:abstractNumId w:val="4"/>
  </w:num>
  <w:num w:numId="6" w16cid:durableId="1013260219">
    <w:abstractNumId w:val="1"/>
  </w:num>
  <w:num w:numId="7" w16cid:durableId="411439049">
    <w:abstractNumId w:val="3"/>
  </w:num>
  <w:num w:numId="8" w16cid:durableId="498423783">
    <w:abstractNumId w:val="0"/>
  </w:num>
  <w:num w:numId="9" w16cid:durableId="153839081">
    <w:abstractNumId w:val="6"/>
  </w:num>
  <w:num w:numId="10" w16cid:durableId="1625305774">
    <w:abstractNumId w:val="8"/>
  </w:num>
  <w:num w:numId="11" w16cid:durableId="1880777532">
    <w:abstractNumId w:val="12"/>
  </w:num>
  <w:num w:numId="12" w16cid:durableId="1473981102">
    <w:abstractNumId w:val="5"/>
  </w:num>
  <w:num w:numId="13" w16cid:durableId="1876773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77"/>
    <w:rsid w:val="00082189"/>
    <w:rsid w:val="000D4CE9"/>
    <w:rsid w:val="00104784"/>
    <w:rsid w:val="001C531D"/>
    <w:rsid w:val="002468B2"/>
    <w:rsid w:val="003563E3"/>
    <w:rsid w:val="00383C03"/>
    <w:rsid w:val="003F733B"/>
    <w:rsid w:val="004175B9"/>
    <w:rsid w:val="00481DEC"/>
    <w:rsid w:val="004871FA"/>
    <w:rsid w:val="005920CC"/>
    <w:rsid w:val="00604817"/>
    <w:rsid w:val="00652E20"/>
    <w:rsid w:val="006F709D"/>
    <w:rsid w:val="00707C77"/>
    <w:rsid w:val="007A1E37"/>
    <w:rsid w:val="00917D11"/>
    <w:rsid w:val="00956564"/>
    <w:rsid w:val="00A322E6"/>
    <w:rsid w:val="00A41C18"/>
    <w:rsid w:val="00AC579F"/>
    <w:rsid w:val="00B056DB"/>
    <w:rsid w:val="00B57EB2"/>
    <w:rsid w:val="00BD3B0B"/>
    <w:rsid w:val="00DB0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667578"/>
  <w15:chartTrackingRefBased/>
  <w15:docId w15:val="{877A223A-E6F4-0542-8ED7-93660153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77"/>
    <w:rPr>
      <w:rFonts w:eastAsiaTheme="majorEastAsia" w:cstheme="majorBidi"/>
      <w:color w:val="272727" w:themeColor="text1" w:themeTint="D8"/>
    </w:rPr>
  </w:style>
  <w:style w:type="paragraph" w:styleId="Title">
    <w:name w:val="Title"/>
    <w:basedOn w:val="Normal"/>
    <w:next w:val="Normal"/>
    <w:link w:val="TitleChar"/>
    <w:uiPriority w:val="10"/>
    <w:qFormat/>
    <w:rsid w:val="00707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77"/>
    <w:pPr>
      <w:spacing w:before="160"/>
      <w:jc w:val="center"/>
    </w:pPr>
    <w:rPr>
      <w:i/>
      <w:iCs/>
      <w:color w:val="404040" w:themeColor="text1" w:themeTint="BF"/>
    </w:rPr>
  </w:style>
  <w:style w:type="character" w:customStyle="1" w:styleId="QuoteChar">
    <w:name w:val="Quote Char"/>
    <w:basedOn w:val="DefaultParagraphFont"/>
    <w:link w:val="Quote"/>
    <w:uiPriority w:val="29"/>
    <w:rsid w:val="00707C77"/>
    <w:rPr>
      <w:i/>
      <w:iCs/>
      <w:color w:val="404040" w:themeColor="text1" w:themeTint="BF"/>
    </w:rPr>
  </w:style>
  <w:style w:type="paragraph" w:styleId="ListParagraph">
    <w:name w:val="List Paragraph"/>
    <w:basedOn w:val="Normal"/>
    <w:uiPriority w:val="34"/>
    <w:qFormat/>
    <w:rsid w:val="00707C77"/>
    <w:pPr>
      <w:ind w:left="720"/>
      <w:contextualSpacing/>
    </w:pPr>
  </w:style>
  <w:style w:type="character" w:styleId="IntenseEmphasis">
    <w:name w:val="Intense Emphasis"/>
    <w:basedOn w:val="DefaultParagraphFont"/>
    <w:uiPriority w:val="21"/>
    <w:qFormat/>
    <w:rsid w:val="00707C77"/>
    <w:rPr>
      <w:i/>
      <w:iCs/>
      <w:color w:val="0F4761" w:themeColor="accent1" w:themeShade="BF"/>
    </w:rPr>
  </w:style>
  <w:style w:type="paragraph" w:styleId="IntenseQuote">
    <w:name w:val="Intense Quote"/>
    <w:basedOn w:val="Normal"/>
    <w:next w:val="Normal"/>
    <w:link w:val="IntenseQuoteChar"/>
    <w:uiPriority w:val="30"/>
    <w:qFormat/>
    <w:rsid w:val="00707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C77"/>
    <w:rPr>
      <w:i/>
      <w:iCs/>
      <w:color w:val="0F4761" w:themeColor="accent1" w:themeShade="BF"/>
    </w:rPr>
  </w:style>
  <w:style w:type="character" w:styleId="IntenseReference">
    <w:name w:val="Intense Reference"/>
    <w:basedOn w:val="DefaultParagraphFont"/>
    <w:uiPriority w:val="32"/>
    <w:qFormat/>
    <w:rsid w:val="00707C77"/>
    <w:rPr>
      <w:b/>
      <w:bCs/>
      <w:smallCaps/>
      <w:color w:val="0F4761" w:themeColor="accent1" w:themeShade="BF"/>
      <w:spacing w:val="5"/>
    </w:rPr>
  </w:style>
  <w:style w:type="paragraph" w:styleId="TOCHeading">
    <w:name w:val="TOC Heading"/>
    <w:basedOn w:val="Heading1"/>
    <w:next w:val="Normal"/>
    <w:uiPriority w:val="39"/>
    <w:unhideWhenUsed/>
    <w:qFormat/>
    <w:rsid w:val="00AC579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C579F"/>
    <w:pPr>
      <w:spacing w:before="120" w:after="0"/>
    </w:pPr>
    <w:rPr>
      <w:b/>
      <w:bCs/>
      <w:i/>
      <w:iCs/>
    </w:rPr>
  </w:style>
  <w:style w:type="paragraph" w:styleId="TOC2">
    <w:name w:val="toc 2"/>
    <w:basedOn w:val="Normal"/>
    <w:next w:val="Normal"/>
    <w:autoRedefine/>
    <w:uiPriority w:val="39"/>
    <w:unhideWhenUsed/>
    <w:rsid w:val="00AC579F"/>
    <w:pPr>
      <w:spacing w:before="120" w:after="0"/>
      <w:ind w:left="240"/>
    </w:pPr>
    <w:rPr>
      <w:b/>
      <w:bCs/>
      <w:sz w:val="22"/>
      <w:szCs w:val="22"/>
    </w:rPr>
  </w:style>
  <w:style w:type="paragraph" w:styleId="TOC3">
    <w:name w:val="toc 3"/>
    <w:basedOn w:val="Normal"/>
    <w:next w:val="Normal"/>
    <w:autoRedefine/>
    <w:uiPriority w:val="39"/>
    <w:unhideWhenUsed/>
    <w:rsid w:val="00AC579F"/>
    <w:pPr>
      <w:spacing w:after="0"/>
      <w:ind w:left="480"/>
    </w:pPr>
    <w:rPr>
      <w:sz w:val="20"/>
      <w:szCs w:val="20"/>
    </w:rPr>
  </w:style>
  <w:style w:type="paragraph" w:styleId="TOC4">
    <w:name w:val="toc 4"/>
    <w:basedOn w:val="Normal"/>
    <w:next w:val="Normal"/>
    <w:autoRedefine/>
    <w:uiPriority w:val="39"/>
    <w:semiHidden/>
    <w:unhideWhenUsed/>
    <w:rsid w:val="00AC579F"/>
    <w:pPr>
      <w:spacing w:after="0"/>
      <w:ind w:left="720"/>
    </w:pPr>
    <w:rPr>
      <w:sz w:val="20"/>
      <w:szCs w:val="20"/>
    </w:rPr>
  </w:style>
  <w:style w:type="paragraph" w:styleId="TOC5">
    <w:name w:val="toc 5"/>
    <w:basedOn w:val="Normal"/>
    <w:next w:val="Normal"/>
    <w:autoRedefine/>
    <w:uiPriority w:val="39"/>
    <w:semiHidden/>
    <w:unhideWhenUsed/>
    <w:rsid w:val="00AC579F"/>
    <w:pPr>
      <w:spacing w:after="0"/>
      <w:ind w:left="960"/>
    </w:pPr>
    <w:rPr>
      <w:sz w:val="20"/>
      <w:szCs w:val="20"/>
    </w:rPr>
  </w:style>
  <w:style w:type="paragraph" w:styleId="TOC6">
    <w:name w:val="toc 6"/>
    <w:basedOn w:val="Normal"/>
    <w:next w:val="Normal"/>
    <w:autoRedefine/>
    <w:uiPriority w:val="39"/>
    <w:semiHidden/>
    <w:unhideWhenUsed/>
    <w:rsid w:val="00AC579F"/>
    <w:pPr>
      <w:spacing w:after="0"/>
      <w:ind w:left="1200"/>
    </w:pPr>
    <w:rPr>
      <w:sz w:val="20"/>
      <w:szCs w:val="20"/>
    </w:rPr>
  </w:style>
  <w:style w:type="paragraph" w:styleId="TOC7">
    <w:name w:val="toc 7"/>
    <w:basedOn w:val="Normal"/>
    <w:next w:val="Normal"/>
    <w:autoRedefine/>
    <w:uiPriority w:val="39"/>
    <w:semiHidden/>
    <w:unhideWhenUsed/>
    <w:rsid w:val="00AC579F"/>
    <w:pPr>
      <w:spacing w:after="0"/>
      <w:ind w:left="1440"/>
    </w:pPr>
    <w:rPr>
      <w:sz w:val="20"/>
      <w:szCs w:val="20"/>
    </w:rPr>
  </w:style>
  <w:style w:type="paragraph" w:styleId="TOC8">
    <w:name w:val="toc 8"/>
    <w:basedOn w:val="Normal"/>
    <w:next w:val="Normal"/>
    <w:autoRedefine/>
    <w:uiPriority w:val="39"/>
    <w:semiHidden/>
    <w:unhideWhenUsed/>
    <w:rsid w:val="00AC579F"/>
    <w:pPr>
      <w:spacing w:after="0"/>
      <w:ind w:left="1680"/>
    </w:pPr>
    <w:rPr>
      <w:sz w:val="20"/>
      <w:szCs w:val="20"/>
    </w:rPr>
  </w:style>
  <w:style w:type="paragraph" w:styleId="TOC9">
    <w:name w:val="toc 9"/>
    <w:basedOn w:val="Normal"/>
    <w:next w:val="Normal"/>
    <w:autoRedefine/>
    <w:uiPriority w:val="39"/>
    <w:semiHidden/>
    <w:unhideWhenUsed/>
    <w:rsid w:val="00AC579F"/>
    <w:pPr>
      <w:spacing w:after="0"/>
      <w:ind w:left="1920"/>
    </w:pPr>
    <w:rPr>
      <w:sz w:val="20"/>
      <w:szCs w:val="20"/>
    </w:rPr>
  </w:style>
  <w:style w:type="character" w:styleId="Hyperlink">
    <w:name w:val="Hyperlink"/>
    <w:basedOn w:val="DefaultParagraphFont"/>
    <w:uiPriority w:val="99"/>
    <w:unhideWhenUsed/>
    <w:rsid w:val="00AC579F"/>
    <w:rPr>
      <w:color w:val="467886" w:themeColor="hyperlink"/>
      <w:u w:val="single"/>
    </w:rPr>
  </w:style>
  <w:style w:type="paragraph" w:styleId="NormalWeb">
    <w:name w:val="Normal (Web)"/>
    <w:basedOn w:val="Normal"/>
    <w:uiPriority w:val="99"/>
    <w:unhideWhenUsed/>
    <w:rsid w:val="00B056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056DB"/>
    <w:rPr>
      <w:rFonts w:ascii="Courier New" w:eastAsia="Times New Roman" w:hAnsi="Courier New" w:cs="Courier New"/>
      <w:sz w:val="20"/>
      <w:szCs w:val="20"/>
    </w:rPr>
  </w:style>
  <w:style w:type="paragraph" w:styleId="Bibliography">
    <w:name w:val="Bibliography"/>
    <w:basedOn w:val="Normal"/>
    <w:next w:val="Normal"/>
    <w:uiPriority w:val="37"/>
    <w:unhideWhenUsed/>
    <w:rsid w:val="001C531D"/>
  </w:style>
  <w:style w:type="paragraph" w:customStyle="1" w:styleId="font-claude-response-body">
    <w:name w:val="font-claude-response-body"/>
    <w:basedOn w:val="Normal"/>
    <w:rsid w:val="006F70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F7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5422">
      <w:bodyDiv w:val="1"/>
      <w:marLeft w:val="0"/>
      <w:marRight w:val="0"/>
      <w:marTop w:val="0"/>
      <w:marBottom w:val="0"/>
      <w:divBdr>
        <w:top w:val="none" w:sz="0" w:space="0" w:color="auto"/>
        <w:left w:val="none" w:sz="0" w:space="0" w:color="auto"/>
        <w:bottom w:val="none" w:sz="0" w:space="0" w:color="auto"/>
        <w:right w:val="none" w:sz="0" w:space="0" w:color="auto"/>
      </w:divBdr>
    </w:div>
    <w:div w:id="152263259">
      <w:bodyDiv w:val="1"/>
      <w:marLeft w:val="0"/>
      <w:marRight w:val="0"/>
      <w:marTop w:val="0"/>
      <w:marBottom w:val="0"/>
      <w:divBdr>
        <w:top w:val="none" w:sz="0" w:space="0" w:color="auto"/>
        <w:left w:val="none" w:sz="0" w:space="0" w:color="auto"/>
        <w:bottom w:val="none" w:sz="0" w:space="0" w:color="auto"/>
        <w:right w:val="none" w:sz="0" w:space="0" w:color="auto"/>
      </w:divBdr>
    </w:div>
    <w:div w:id="343047012">
      <w:bodyDiv w:val="1"/>
      <w:marLeft w:val="0"/>
      <w:marRight w:val="0"/>
      <w:marTop w:val="0"/>
      <w:marBottom w:val="0"/>
      <w:divBdr>
        <w:top w:val="none" w:sz="0" w:space="0" w:color="auto"/>
        <w:left w:val="none" w:sz="0" w:space="0" w:color="auto"/>
        <w:bottom w:val="none" w:sz="0" w:space="0" w:color="auto"/>
        <w:right w:val="none" w:sz="0" w:space="0" w:color="auto"/>
      </w:divBdr>
    </w:div>
    <w:div w:id="417216459">
      <w:bodyDiv w:val="1"/>
      <w:marLeft w:val="0"/>
      <w:marRight w:val="0"/>
      <w:marTop w:val="0"/>
      <w:marBottom w:val="0"/>
      <w:divBdr>
        <w:top w:val="none" w:sz="0" w:space="0" w:color="auto"/>
        <w:left w:val="none" w:sz="0" w:space="0" w:color="auto"/>
        <w:bottom w:val="none" w:sz="0" w:space="0" w:color="auto"/>
        <w:right w:val="none" w:sz="0" w:space="0" w:color="auto"/>
      </w:divBdr>
    </w:div>
    <w:div w:id="443574817">
      <w:bodyDiv w:val="1"/>
      <w:marLeft w:val="0"/>
      <w:marRight w:val="0"/>
      <w:marTop w:val="0"/>
      <w:marBottom w:val="0"/>
      <w:divBdr>
        <w:top w:val="none" w:sz="0" w:space="0" w:color="auto"/>
        <w:left w:val="none" w:sz="0" w:space="0" w:color="auto"/>
        <w:bottom w:val="none" w:sz="0" w:space="0" w:color="auto"/>
        <w:right w:val="none" w:sz="0" w:space="0" w:color="auto"/>
      </w:divBdr>
    </w:div>
    <w:div w:id="522980129">
      <w:bodyDiv w:val="1"/>
      <w:marLeft w:val="0"/>
      <w:marRight w:val="0"/>
      <w:marTop w:val="0"/>
      <w:marBottom w:val="0"/>
      <w:divBdr>
        <w:top w:val="none" w:sz="0" w:space="0" w:color="auto"/>
        <w:left w:val="none" w:sz="0" w:space="0" w:color="auto"/>
        <w:bottom w:val="none" w:sz="0" w:space="0" w:color="auto"/>
        <w:right w:val="none" w:sz="0" w:space="0" w:color="auto"/>
      </w:divBdr>
    </w:div>
    <w:div w:id="550070158">
      <w:bodyDiv w:val="1"/>
      <w:marLeft w:val="0"/>
      <w:marRight w:val="0"/>
      <w:marTop w:val="0"/>
      <w:marBottom w:val="0"/>
      <w:divBdr>
        <w:top w:val="none" w:sz="0" w:space="0" w:color="auto"/>
        <w:left w:val="none" w:sz="0" w:space="0" w:color="auto"/>
        <w:bottom w:val="none" w:sz="0" w:space="0" w:color="auto"/>
        <w:right w:val="none" w:sz="0" w:space="0" w:color="auto"/>
      </w:divBdr>
    </w:div>
    <w:div w:id="562714192">
      <w:bodyDiv w:val="1"/>
      <w:marLeft w:val="0"/>
      <w:marRight w:val="0"/>
      <w:marTop w:val="0"/>
      <w:marBottom w:val="0"/>
      <w:divBdr>
        <w:top w:val="none" w:sz="0" w:space="0" w:color="auto"/>
        <w:left w:val="none" w:sz="0" w:space="0" w:color="auto"/>
        <w:bottom w:val="none" w:sz="0" w:space="0" w:color="auto"/>
        <w:right w:val="none" w:sz="0" w:space="0" w:color="auto"/>
      </w:divBdr>
    </w:div>
    <w:div w:id="620457066">
      <w:bodyDiv w:val="1"/>
      <w:marLeft w:val="0"/>
      <w:marRight w:val="0"/>
      <w:marTop w:val="0"/>
      <w:marBottom w:val="0"/>
      <w:divBdr>
        <w:top w:val="none" w:sz="0" w:space="0" w:color="auto"/>
        <w:left w:val="none" w:sz="0" w:space="0" w:color="auto"/>
        <w:bottom w:val="none" w:sz="0" w:space="0" w:color="auto"/>
        <w:right w:val="none" w:sz="0" w:space="0" w:color="auto"/>
      </w:divBdr>
    </w:div>
    <w:div w:id="751512040">
      <w:bodyDiv w:val="1"/>
      <w:marLeft w:val="0"/>
      <w:marRight w:val="0"/>
      <w:marTop w:val="0"/>
      <w:marBottom w:val="0"/>
      <w:divBdr>
        <w:top w:val="none" w:sz="0" w:space="0" w:color="auto"/>
        <w:left w:val="none" w:sz="0" w:space="0" w:color="auto"/>
        <w:bottom w:val="none" w:sz="0" w:space="0" w:color="auto"/>
        <w:right w:val="none" w:sz="0" w:space="0" w:color="auto"/>
      </w:divBdr>
    </w:div>
    <w:div w:id="779107676">
      <w:bodyDiv w:val="1"/>
      <w:marLeft w:val="0"/>
      <w:marRight w:val="0"/>
      <w:marTop w:val="0"/>
      <w:marBottom w:val="0"/>
      <w:divBdr>
        <w:top w:val="none" w:sz="0" w:space="0" w:color="auto"/>
        <w:left w:val="none" w:sz="0" w:space="0" w:color="auto"/>
        <w:bottom w:val="none" w:sz="0" w:space="0" w:color="auto"/>
        <w:right w:val="none" w:sz="0" w:space="0" w:color="auto"/>
      </w:divBdr>
    </w:div>
    <w:div w:id="804929701">
      <w:bodyDiv w:val="1"/>
      <w:marLeft w:val="0"/>
      <w:marRight w:val="0"/>
      <w:marTop w:val="0"/>
      <w:marBottom w:val="0"/>
      <w:divBdr>
        <w:top w:val="none" w:sz="0" w:space="0" w:color="auto"/>
        <w:left w:val="none" w:sz="0" w:space="0" w:color="auto"/>
        <w:bottom w:val="none" w:sz="0" w:space="0" w:color="auto"/>
        <w:right w:val="none" w:sz="0" w:space="0" w:color="auto"/>
      </w:divBdr>
    </w:div>
    <w:div w:id="865825603">
      <w:bodyDiv w:val="1"/>
      <w:marLeft w:val="0"/>
      <w:marRight w:val="0"/>
      <w:marTop w:val="0"/>
      <w:marBottom w:val="0"/>
      <w:divBdr>
        <w:top w:val="none" w:sz="0" w:space="0" w:color="auto"/>
        <w:left w:val="none" w:sz="0" w:space="0" w:color="auto"/>
        <w:bottom w:val="none" w:sz="0" w:space="0" w:color="auto"/>
        <w:right w:val="none" w:sz="0" w:space="0" w:color="auto"/>
      </w:divBdr>
    </w:div>
    <w:div w:id="989748319">
      <w:bodyDiv w:val="1"/>
      <w:marLeft w:val="0"/>
      <w:marRight w:val="0"/>
      <w:marTop w:val="0"/>
      <w:marBottom w:val="0"/>
      <w:divBdr>
        <w:top w:val="none" w:sz="0" w:space="0" w:color="auto"/>
        <w:left w:val="none" w:sz="0" w:space="0" w:color="auto"/>
        <w:bottom w:val="none" w:sz="0" w:space="0" w:color="auto"/>
        <w:right w:val="none" w:sz="0" w:space="0" w:color="auto"/>
      </w:divBdr>
    </w:div>
    <w:div w:id="1032878844">
      <w:bodyDiv w:val="1"/>
      <w:marLeft w:val="0"/>
      <w:marRight w:val="0"/>
      <w:marTop w:val="0"/>
      <w:marBottom w:val="0"/>
      <w:divBdr>
        <w:top w:val="none" w:sz="0" w:space="0" w:color="auto"/>
        <w:left w:val="none" w:sz="0" w:space="0" w:color="auto"/>
        <w:bottom w:val="none" w:sz="0" w:space="0" w:color="auto"/>
        <w:right w:val="none" w:sz="0" w:space="0" w:color="auto"/>
      </w:divBdr>
    </w:div>
    <w:div w:id="1044521940">
      <w:bodyDiv w:val="1"/>
      <w:marLeft w:val="0"/>
      <w:marRight w:val="0"/>
      <w:marTop w:val="0"/>
      <w:marBottom w:val="0"/>
      <w:divBdr>
        <w:top w:val="none" w:sz="0" w:space="0" w:color="auto"/>
        <w:left w:val="none" w:sz="0" w:space="0" w:color="auto"/>
        <w:bottom w:val="none" w:sz="0" w:space="0" w:color="auto"/>
        <w:right w:val="none" w:sz="0" w:space="0" w:color="auto"/>
      </w:divBdr>
    </w:div>
    <w:div w:id="1069420607">
      <w:bodyDiv w:val="1"/>
      <w:marLeft w:val="0"/>
      <w:marRight w:val="0"/>
      <w:marTop w:val="0"/>
      <w:marBottom w:val="0"/>
      <w:divBdr>
        <w:top w:val="none" w:sz="0" w:space="0" w:color="auto"/>
        <w:left w:val="none" w:sz="0" w:space="0" w:color="auto"/>
        <w:bottom w:val="none" w:sz="0" w:space="0" w:color="auto"/>
        <w:right w:val="none" w:sz="0" w:space="0" w:color="auto"/>
      </w:divBdr>
    </w:div>
    <w:div w:id="1158419765">
      <w:bodyDiv w:val="1"/>
      <w:marLeft w:val="0"/>
      <w:marRight w:val="0"/>
      <w:marTop w:val="0"/>
      <w:marBottom w:val="0"/>
      <w:divBdr>
        <w:top w:val="none" w:sz="0" w:space="0" w:color="auto"/>
        <w:left w:val="none" w:sz="0" w:space="0" w:color="auto"/>
        <w:bottom w:val="none" w:sz="0" w:space="0" w:color="auto"/>
        <w:right w:val="none" w:sz="0" w:space="0" w:color="auto"/>
      </w:divBdr>
    </w:div>
    <w:div w:id="1159082445">
      <w:bodyDiv w:val="1"/>
      <w:marLeft w:val="0"/>
      <w:marRight w:val="0"/>
      <w:marTop w:val="0"/>
      <w:marBottom w:val="0"/>
      <w:divBdr>
        <w:top w:val="none" w:sz="0" w:space="0" w:color="auto"/>
        <w:left w:val="none" w:sz="0" w:space="0" w:color="auto"/>
        <w:bottom w:val="none" w:sz="0" w:space="0" w:color="auto"/>
        <w:right w:val="none" w:sz="0" w:space="0" w:color="auto"/>
      </w:divBdr>
    </w:div>
    <w:div w:id="1185091494">
      <w:bodyDiv w:val="1"/>
      <w:marLeft w:val="0"/>
      <w:marRight w:val="0"/>
      <w:marTop w:val="0"/>
      <w:marBottom w:val="0"/>
      <w:divBdr>
        <w:top w:val="none" w:sz="0" w:space="0" w:color="auto"/>
        <w:left w:val="none" w:sz="0" w:space="0" w:color="auto"/>
        <w:bottom w:val="none" w:sz="0" w:space="0" w:color="auto"/>
        <w:right w:val="none" w:sz="0" w:space="0" w:color="auto"/>
      </w:divBdr>
    </w:div>
    <w:div w:id="1369454363">
      <w:bodyDiv w:val="1"/>
      <w:marLeft w:val="0"/>
      <w:marRight w:val="0"/>
      <w:marTop w:val="0"/>
      <w:marBottom w:val="0"/>
      <w:divBdr>
        <w:top w:val="none" w:sz="0" w:space="0" w:color="auto"/>
        <w:left w:val="none" w:sz="0" w:space="0" w:color="auto"/>
        <w:bottom w:val="none" w:sz="0" w:space="0" w:color="auto"/>
        <w:right w:val="none" w:sz="0" w:space="0" w:color="auto"/>
      </w:divBdr>
    </w:div>
    <w:div w:id="1390687638">
      <w:bodyDiv w:val="1"/>
      <w:marLeft w:val="0"/>
      <w:marRight w:val="0"/>
      <w:marTop w:val="0"/>
      <w:marBottom w:val="0"/>
      <w:divBdr>
        <w:top w:val="none" w:sz="0" w:space="0" w:color="auto"/>
        <w:left w:val="none" w:sz="0" w:space="0" w:color="auto"/>
        <w:bottom w:val="none" w:sz="0" w:space="0" w:color="auto"/>
        <w:right w:val="none" w:sz="0" w:space="0" w:color="auto"/>
      </w:divBdr>
    </w:div>
    <w:div w:id="1425150731">
      <w:bodyDiv w:val="1"/>
      <w:marLeft w:val="0"/>
      <w:marRight w:val="0"/>
      <w:marTop w:val="0"/>
      <w:marBottom w:val="0"/>
      <w:divBdr>
        <w:top w:val="none" w:sz="0" w:space="0" w:color="auto"/>
        <w:left w:val="none" w:sz="0" w:space="0" w:color="auto"/>
        <w:bottom w:val="none" w:sz="0" w:space="0" w:color="auto"/>
        <w:right w:val="none" w:sz="0" w:space="0" w:color="auto"/>
      </w:divBdr>
    </w:div>
    <w:div w:id="1445728311">
      <w:bodyDiv w:val="1"/>
      <w:marLeft w:val="0"/>
      <w:marRight w:val="0"/>
      <w:marTop w:val="0"/>
      <w:marBottom w:val="0"/>
      <w:divBdr>
        <w:top w:val="none" w:sz="0" w:space="0" w:color="auto"/>
        <w:left w:val="none" w:sz="0" w:space="0" w:color="auto"/>
        <w:bottom w:val="none" w:sz="0" w:space="0" w:color="auto"/>
        <w:right w:val="none" w:sz="0" w:space="0" w:color="auto"/>
      </w:divBdr>
    </w:div>
    <w:div w:id="1532839544">
      <w:bodyDiv w:val="1"/>
      <w:marLeft w:val="0"/>
      <w:marRight w:val="0"/>
      <w:marTop w:val="0"/>
      <w:marBottom w:val="0"/>
      <w:divBdr>
        <w:top w:val="none" w:sz="0" w:space="0" w:color="auto"/>
        <w:left w:val="none" w:sz="0" w:space="0" w:color="auto"/>
        <w:bottom w:val="none" w:sz="0" w:space="0" w:color="auto"/>
        <w:right w:val="none" w:sz="0" w:space="0" w:color="auto"/>
      </w:divBdr>
    </w:div>
    <w:div w:id="1575579182">
      <w:bodyDiv w:val="1"/>
      <w:marLeft w:val="0"/>
      <w:marRight w:val="0"/>
      <w:marTop w:val="0"/>
      <w:marBottom w:val="0"/>
      <w:divBdr>
        <w:top w:val="none" w:sz="0" w:space="0" w:color="auto"/>
        <w:left w:val="none" w:sz="0" w:space="0" w:color="auto"/>
        <w:bottom w:val="none" w:sz="0" w:space="0" w:color="auto"/>
        <w:right w:val="none" w:sz="0" w:space="0" w:color="auto"/>
      </w:divBdr>
    </w:div>
    <w:div w:id="1714039962">
      <w:bodyDiv w:val="1"/>
      <w:marLeft w:val="0"/>
      <w:marRight w:val="0"/>
      <w:marTop w:val="0"/>
      <w:marBottom w:val="0"/>
      <w:divBdr>
        <w:top w:val="none" w:sz="0" w:space="0" w:color="auto"/>
        <w:left w:val="none" w:sz="0" w:space="0" w:color="auto"/>
        <w:bottom w:val="none" w:sz="0" w:space="0" w:color="auto"/>
        <w:right w:val="none" w:sz="0" w:space="0" w:color="auto"/>
      </w:divBdr>
    </w:div>
    <w:div w:id="1765219759">
      <w:bodyDiv w:val="1"/>
      <w:marLeft w:val="0"/>
      <w:marRight w:val="0"/>
      <w:marTop w:val="0"/>
      <w:marBottom w:val="0"/>
      <w:divBdr>
        <w:top w:val="none" w:sz="0" w:space="0" w:color="auto"/>
        <w:left w:val="none" w:sz="0" w:space="0" w:color="auto"/>
        <w:bottom w:val="none" w:sz="0" w:space="0" w:color="auto"/>
        <w:right w:val="none" w:sz="0" w:space="0" w:color="auto"/>
      </w:divBdr>
    </w:div>
    <w:div w:id="1773865406">
      <w:bodyDiv w:val="1"/>
      <w:marLeft w:val="0"/>
      <w:marRight w:val="0"/>
      <w:marTop w:val="0"/>
      <w:marBottom w:val="0"/>
      <w:divBdr>
        <w:top w:val="none" w:sz="0" w:space="0" w:color="auto"/>
        <w:left w:val="none" w:sz="0" w:space="0" w:color="auto"/>
        <w:bottom w:val="none" w:sz="0" w:space="0" w:color="auto"/>
        <w:right w:val="none" w:sz="0" w:space="0" w:color="auto"/>
      </w:divBdr>
    </w:div>
    <w:div w:id="1861776574">
      <w:bodyDiv w:val="1"/>
      <w:marLeft w:val="0"/>
      <w:marRight w:val="0"/>
      <w:marTop w:val="0"/>
      <w:marBottom w:val="0"/>
      <w:divBdr>
        <w:top w:val="none" w:sz="0" w:space="0" w:color="auto"/>
        <w:left w:val="none" w:sz="0" w:space="0" w:color="auto"/>
        <w:bottom w:val="none" w:sz="0" w:space="0" w:color="auto"/>
        <w:right w:val="none" w:sz="0" w:space="0" w:color="auto"/>
      </w:divBdr>
    </w:div>
    <w:div w:id="1895504386">
      <w:bodyDiv w:val="1"/>
      <w:marLeft w:val="0"/>
      <w:marRight w:val="0"/>
      <w:marTop w:val="0"/>
      <w:marBottom w:val="0"/>
      <w:divBdr>
        <w:top w:val="none" w:sz="0" w:space="0" w:color="auto"/>
        <w:left w:val="none" w:sz="0" w:space="0" w:color="auto"/>
        <w:bottom w:val="none" w:sz="0" w:space="0" w:color="auto"/>
        <w:right w:val="none" w:sz="0" w:space="0" w:color="auto"/>
      </w:divBdr>
    </w:div>
    <w:div w:id="1925531162">
      <w:bodyDiv w:val="1"/>
      <w:marLeft w:val="0"/>
      <w:marRight w:val="0"/>
      <w:marTop w:val="0"/>
      <w:marBottom w:val="0"/>
      <w:divBdr>
        <w:top w:val="none" w:sz="0" w:space="0" w:color="auto"/>
        <w:left w:val="none" w:sz="0" w:space="0" w:color="auto"/>
        <w:bottom w:val="none" w:sz="0" w:space="0" w:color="auto"/>
        <w:right w:val="none" w:sz="0" w:space="0" w:color="auto"/>
      </w:divBdr>
    </w:div>
    <w:div w:id="1973056837">
      <w:bodyDiv w:val="1"/>
      <w:marLeft w:val="0"/>
      <w:marRight w:val="0"/>
      <w:marTop w:val="0"/>
      <w:marBottom w:val="0"/>
      <w:divBdr>
        <w:top w:val="none" w:sz="0" w:space="0" w:color="auto"/>
        <w:left w:val="none" w:sz="0" w:space="0" w:color="auto"/>
        <w:bottom w:val="none" w:sz="0" w:space="0" w:color="auto"/>
        <w:right w:val="none" w:sz="0" w:space="0" w:color="auto"/>
      </w:divBdr>
    </w:div>
    <w:div w:id="2006737082">
      <w:bodyDiv w:val="1"/>
      <w:marLeft w:val="0"/>
      <w:marRight w:val="0"/>
      <w:marTop w:val="0"/>
      <w:marBottom w:val="0"/>
      <w:divBdr>
        <w:top w:val="none" w:sz="0" w:space="0" w:color="auto"/>
        <w:left w:val="none" w:sz="0" w:space="0" w:color="auto"/>
        <w:bottom w:val="none" w:sz="0" w:space="0" w:color="auto"/>
        <w:right w:val="none" w:sz="0" w:space="0" w:color="auto"/>
      </w:divBdr>
    </w:div>
    <w:div w:id="2021160321">
      <w:bodyDiv w:val="1"/>
      <w:marLeft w:val="0"/>
      <w:marRight w:val="0"/>
      <w:marTop w:val="0"/>
      <w:marBottom w:val="0"/>
      <w:divBdr>
        <w:top w:val="none" w:sz="0" w:space="0" w:color="auto"/>
        <w:left w:val="none" w:sz="0" w:space="0" w:color="auto"/>
        <w:bottom w:val="none" w:sz="0" w:space="0" w:color="auto"/>
        <w:right w:val="none" w:sz="0" w:space="0" w:color="auto"/>
      </w:divBdr>
    </w:div>
    <w:div w:id="214403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NIS241</b:Tag>
    <b:SourceType>DocumentFromInternetSite</b:SourceType>
    <b:Guid>{073B9C60-5D64-014C-8832-EDAE21DC1692}</b:Guid>
    <b:Title>The NIST Cybersecurity Framework (CSF) 2.0</b:Title>
    <b:URL>https://nvlpubs.nist.gov/nistpubs/CSWP/NIST.CSWP.29.pdf</b:URL>
    <b:Year>2024</b:Year>
    <b:YearAccessed>2026</b:YearAccessed>
    <b:MonthAccessed>May</b:MonthAccessed>
    <b:DayAccessed>24</b:DayAccessed>
    <b:Author>
      <b:Author>
        <b:Corporate>NIST</b:Corporate>
      </b:Author>
    </b:Author>
    <b:Month>February</b:Month>
    <b:Day>26</b:Day>
    <b:RefOrder>1</b:RefOrder>
  </b:Source>
  <b:Source>
    <b:Tag>OWA251</b:Tag>
    <b:SourceType>InternetSite</b:SourceType>
    <b:Guid>{189BAA05-8917-9C4E-8B79-1790BCD90007}</b:Guid>
    <b:Title>OWASP Top 10:2025</b:Title>
    <b:URL>https://owasp.org/Top10/2025/</b:URL>
    <b:Year>2025</b:Year>
    <b:YearAccessed>2026</b:YearAccessed>
    <b:MonthAccessed>May</b:MonthAccessed>
    <b:DayAccessed>24</b:DayAccessed>
    <b:Author>
      <b:Author>
        <b:Corporate>OWASP</b:Corporate>
      </b:Author>
    </b:Author>
    <b:RefOrder>2</b:RefOrder>
  </b:Source>
  <b:Source>
    <b:Tag>MIT264</b:Tag>
    <b:SourceType>InternetSite</b:SourceType>
    <b:Guid>{07B5A062-DC4C-BD4D-AD36-FEBAABE34307}</b:Guid>
    <b:Author>
      <b:Author>
        <b:Corporate>MITRE</b:Corporate>
      </b:Author>
    </b:Author>
    <b:Title>CWE-89: Improper Neutralization of Special Elements used in an SQL Command ('SQL Injection')</b:Title>
    <b:URL>https://cwe.mitre.org/data/definitions/89.html</b:URL>
    <b:Year>2026</b:Year>
    <b:YearAccessed>2026</b:YearAccessed>
    <b:MonthAccessed>May</b:MonthAccessed>
    <b:DayAccessed>24</b:DayAccessed>
    <b:RefOrder>3</b:RefOrder>
  </b:Source>
  <b:Source>
    <b:Tag>MIT265</b:Tag>
    <b:SourceType>InternetSite</b:SourceType>
    <b:Guid>{E98EA7AC-99EE-1545-B001-F6C898CE0B4C}</b:Guid>
    <b:Author>
      <b:Author>
        <b:Corporate>MITRE</b:Corporate>
      </b:Author>
    </b:Author>
    <b:Title>CWE-352: Cross-Site Request Forgery (CSRF)</b:Title>
    <b:URL>https://cwe.mitre.org/data/definitions/352.html</b:URL>
    <b:Year>2026</b:Year>
    <b:YearAccessed>2026</b:YearAccessed>
    <b:MonthAccessed>May</b:MonthAccessed>
    <b:DayAccessed>24</b:DayAccessed>
    <b:RefOrder>6</b:RefOrder>
  </b:Source>
  <b:Source>
    <b:Tag>MIT266</b:Tag>
    <b:SourceType>InternetSite</b:SourceType>
    <b:Guid>{17568A81-63F9-8947-A000-7234A18FF05F}</b:Guid>
    <b:Author>
      <b:Author>
        <b:Corporate>MITRE</b:Corporate>
      </b:Author>
    </b:Author>
    <b:Title>CWE-200: Exposure of Sensitive Information to an Unauthorized Actor</b:Title>
    <b:URL>https://cwe.mitre.org/data/definitions/200.html</b:URL>
    <b:Year>2026</b:Year>
    <b:YearAccessed>2026</b:YearAccessed>
    <b:MonthAccessed>May</b:MonthAccessed>
    <b:DayAccessed>25</b:DayAccessed>
    <b:RefOrder>8</b:RefOrder>
  </b:Source>
  <b:Source>
    <b:Tag>ISO222</b:Tag>
    <b:SourceType>Report</b:SourceType>
    <b:Guid>{7016A745-40E0-6843-B0B7-FBA1EE13EFA1}</b:Guid>
    <b:Title>Information security, cybersecurity and privacy protection — Information security management systems — Requirements (27001)</b:Title>
    <b:Year>2022</b:Year>
    <b:Author>
      <b:Author>
        <b:Corporate>ISO/IEC</b:Corporate>
      </b:Author>
    </b:Author>
    <b:Publisher>ISO/IEC</b:Publisher>
    <b:City>Geneva</b:City>
    <b:RefOrder>10</b:RefOrder>
  </b:Source>
  <b:Source>
    <b:Tag>MIT267</b:Tag>
    <b:SourceType>InternetSite</b:SourceType>
    <b:Guid>{869FA81E-0BEB-6C41-8B9C-43B68CFA9F1E}</b:Guid>
    <b:Title>CWE-79: Improper Neutralization of Input During Web Page Generation ('Cross-site Scripting')</b:Title>
    <b:Year>2026</b:Year>
    <b:Author>
      <b:Author>
        <b:Corporate>MITRE</b:Corporate>
      </b:Author>
    </b:Author>
    <b:URL>https://cwe.mitre.org/data/definitions/79.html</b:URL>
    <b:YearAccessed>2026</b:YearAccessed>
    <b:MonthAccessed>May</b:MonthAccessed>
    <b:DayAccessed>25</b:DayAccessed>
    <b:RefOrder>11</b:RefOrder>
  </b:Source>
  <b:Source>
    <b:Tag>NIS25</b:Tag>
    <b:SourceType>DocumentFromInternetSite</b:SourceType>
    <b:Guid>{B4A0AFF9-5D30-2B43-BFDC-57C0BB89F6A7}</b:Guid>
    <b:Title>Incident Response Recommendations and Considerations for Cybersecurity Risk Management</b:Title>
    <b:URL>https://nvlpubs.nist.gov/nistpubs/SpecialPublications/NIST.SP.800-61r3.pdf</b:URL>
    <b:Year>2025</b:Year>
    <b:YearAccessed>2026</b:YearAccessed>
    <b:MonthAccessed>May</b:MonthAccessed>
    <b:DayAccessed>26</b:DayAccessed>
    <b:Author>
      <b:Author>
        <b:Corporate>NIST</b:Corporate>
      </b:Author>
    </b:Author>
    <b:Month>April</b:Month>
    <b:RefOrder>12</b:RefOrder>
  </b:Source>
  <b:Source>
    <b:Tag>OWA261</b:Tag>
    <b:SourceType>InternetSite</b:SourceType>
    <b:Guid>{82B078A9-C397-D645-8C6E-38FD7438358E}</b:Guid>
    <b:Title>Cross-Site Request Forgery Prevention Cheat Sheet</b:Title>
    <b:URL>https://cheatsheetseries.owasp.org/cheatsheets/Cross-Site_Request_Forgery_Prevention_Cheat_Sheet.html</b:URL>
    <b:Year>2026</b:Year>
    <b:YearAccessed>2026</b:YearAccessed>
    <b:MonthAccessed>May</b:MonthAccessed>
    <b:DayAccessed>26</b:DayAccessed>
    <b:Author>
      <b:Author>
        <b:Corporate>OWASP</b:Corporate>
      </b:Author>
    </b:Author>
    <b:RefOrder>4</b:RefOrder>
  </b:Source>
  <b:Source>
    <b:Tag>Eur161</b:Tag>
    <b:SourceType>InternetSite</b:SourceType>
    <b:Guid>{C59BBB81-9E5A-D74C-A809-CBA3637A42B1}</b:Guid>
    <b:Title>General Data Protection Regulation</b:Title>
    <b:URL>https://gdpr-info.eu/</b:URL>
    <b:Year>2016</b:Year>
    <b:YearAccessed>2026</b:YearAccessed>
    <b:MonthAccessed>May</b:MonthAccessed>
    <b:DayAccessed>26</b:DayAccessed>
    <b:Author>
      <b:Author>
        <b:Corporate>European Union</b:Corporate>
      </b:Author>
    </b:Author>
    <b:RefOrder>5</b:RefOrder>
  </b:Source>
  <b:Source>
    <b:Tag>UKG18</b:Tag>
    <b:SourceType>InternetSite</b:SourceType>
    <b:Guid>{F76308B1-9935-5649-BE5F-20F7470737E7}</b:Guid>
    <b:Author>
      <b:Author>
        <b:Corporate>UK Government</b:Corporate>
      </b:Author>
    </b:Author>
    <b:Title>Data Protection Act 2018</b:Title>
    <b:URL>https://www.legislation.gov.uk/ukpga/2018/12/contents</b:URL>
    <b:Year>2018</b:Year>
    <b:YearAccessed>2026</b:YearAccessed>
    <b:MonthAccessed>May</b:MonthAccessed>
    <b:DayAccessed>26</b:DayAccessed>
    <b:RefOrder>7</b:RefOrder>
  </b:Source>
  <b:Source>
    <b:Tag>UKG90</b:Tag>
    <b:SourceType>InternetSite</b:SourceType>
    <b:Guid>{FEA7CF65-2F2A-4E4D-B65F-04702C5485EF}</b:Guid>
    <b:Author>
      <b:Author>
        <b:Corporate>UK Government</b:Corporate>
      </b:Author>
    </b:Author>
    <b:Title>Computer Misuse Act 1990</b:Title>
    <b:URL>https://www.legislation.gov.uk/ukpga/1990/18/contents</b:URL>
    <b:Year>1990</b:Year>
    <b:YearAccessed>2026</b:YearAccessed>
    <b:MonthAccessed>May</b:MonthAccessed>
    <b:DayAccessed>27</b:DayAccessed>
    <b:RefOrder>15</b:RefOrder>
  </b:Source>
  <b:Source>
    <b:Tag>BCS22</b:Tag>
    <b:SourceType>InternetSite</b:SourceType>
    <b:Guid>{044F0D0E-DA0C-A541-89A8-2B21D6447979}</b:Guid>
    <b:Author>
      <b:Author>
        <b:Corporate>BCS</b:Corporate>
      </b:Author>
    </b:Author>
    <b:Title>BCS Code of Conduct</b:Title>
    <b:URL>https://www.bcs.org/media/2211/bcs-code-of-conduct.pdf</b:URL>
    <b:Year>2022</b:Year>
    <b:YearAccessed>2026</b:YearAccessed>
    <b:MonthAccessed>May</b:MonthAccessed>
    <b:DayAccessed>27</b:DayAccessed>
    <b:RefOrder>16</b:RefOrder>
  </b:Source>
  <b:Source>
    <b:Tag>Gib98</b:Tag>
    <b:SourceType>BookSection</b:SourceType>
    <b:Guid>{B5417676-23E0-9940-B712-298B35B42D46}</b:Guid>
    <b:Title>Structured debriefing</b:Title>
    <b:Year>1998</b:Year>
    <b:Author>
      <b:Author>
        <b:NameList>
          <b:Person>
            <b:Last>Gibbs</b:Last>
            <b:First>Graham</b:First>
          </b:Person>
        </b:NameList>
      </b:Author>
    </b:Author>
    <b:BookTitle>Learning by Doing: A Guide to Teaching and Learning Methods</b:BookTitle>
    <b:City>Oxford</b:City>
    <b:Publisher>Oxford Polytechnic</b:Publisher>
    <b:Pages>49-51</b:Pages>
    <b:RefOrder>17</b:RefOrder>
  </b:Source>
  <b:Source>
    <b:Tag>NIS26</b:Tag>
    <b:SourceType>InternetSite</b:SourceType>
    <b:Guid>{416FA319-EA03-7D42-9E39-FC466B6617B2}</b:Guid>
    <b:Title>National Vulnerability Database</b:Title>
    <b:Year>2026</b:Year>
    <b:Author>
      <b:Author>
        <b:Corporate>NIST</b:Corporate>
      </b:Author>
    </b:Author>
    <b:URL>https://nvd.nist.gov/</b:URL>
    <b:YearAccessed>2026</b:YearAccessed>
    <b:MonthAccessed>May</b:MonthAccessed>
    <b:DayAccessed>26</b:DayAccessed>
    <b:RefOrder>9</b:RefOrder>
  </b:Source>
  <b:Source>
    <b:Tag>NCS20</b:Tag>
    <b:SourceType>InternetSite</b:SourceType>
    <b:Guid>{BD86312E-53CD-2C4C-AF65-E3B6ABDC04D3}</b:Guid>
    <b:Author>
      <b:Author>
        <b:Corporate>NCSC</b:Corporate>
      </b:Author>
    </b:Author>
    <b:Title>Vulnerability Disclosure Toolkit</b:Title>
    <b:URL>https://www.ncsc.gov.uk/information/vulnerability-disclosure-toolkit</b:URL>
    <b:Year>2020</b:Year>
    <b:YearAccessed>2026</b:YearAccessed>
    <b:MonthAccessed>May</b:MonthAccessed>
    <b:DayAccessed>27</b:DayAccessed>
    <b:RefOrder>13</b:RefOrder>
  </b:Source>
  <b:Source>
    <b:Tag>UKG16</b:Tag>
    <b:SourceType>DocumentFromInternetSite</b:SourceType>
    <b:Guid>{1C803A9E-09A2-9642-8FD7-A5128BD41B4F}</b:Guid>
    <b:Title>United Kingdom General Data Protection Regulation</b:Title>
    <b:URL>https://www.legislation.gov.uk/eur/2016/679/contents</b:URL>
    <b:Year>2016</b:Year>
    <b:YearAccessed>2026</b:YearAccessed>
    <b:MonthAccessed>May</b:MonthAccessed>
    <b:DayAccessed>27</b:DayAccessed>
    <b:Author>
      <b:Author>
        <b:Corporate>UK Government</b:Corporate>
      </b:Author>
    </b:Author>
    <b:Month>January</b:Month>
    <b:Day>31</b:Day>
    <b:RefOrder>14</b:RefOrder>
  </b:Source>
  <b:Source>
    <b:Tag>NIS12</b:Tag>
    <b:SourceType>DocumentFromInternetSite</b:SourceType>
    <b:Guid>{A49E2BE3-B7AF-1842-A9C3-A25E410C907D}</b:Guid>
    <b:Author>
      <b:Author>
        <b:Corporate>NIST</b:Corporate>
      </b:Author>
    </b:Author>
    <b:Title>Guide for Conducting Risk Assessments</b:Title>
    <b:URL>https://nvlpubs.nist.gov/nistpubs/Legacy/SP/nistspecialpublication800-30r1.pdf</b:URL>
    <b:Year>2012</b:Year>
    <b:Month>September</b:Month>
    <b:YearAccessed>2026</b:YearAccessed>
    <b:MonthAccessed>May</b:MonthAccessed>
    <b:DayAccessed>27</b:DayAccessed>
    <b:RefOrder>18</b:RefOrder>
  </b:Source>
  <b:Source>
    <b:Tag>ICO261</b:Tag>
    <b:SourceType>InternetSite</b:SourceType>
    <b:Guid>{7CB140EF-C6EB-2B4D-8F26-C335EB608FA2}</b:Guid>
    <b:Title>UK GDPR guidance and resources</b:Title>
    <b:URL>https://ico.org.uk/for-organisations/uk-gdpr-guidance-and-resources/</b:URL>
    <b:Year>2021</b:Year>
    <b:YearAccessed>2026</b:YearAccessed>
    <b:MonthAccessed>May</b:MonthAccessed>
    <b:DayAccessed>27</b:DayAccessed>
    <b:Author>
      <b:Author>
        <b:Corporate>ICO</b:Corporate>
      </b:Author>
    </b:Author>
    <b:RefOrder>19</b:RefOrder>
  </b:Source>
</b:Sources>
</file>

<file path=customXml/itemProps1.xml><?xml version="1.0" encoding="utf-8"?>
<ds:datastoreItem xmlns:ds="http://schemas.openxmlformats.org/officeDocument/2006/customXml" ds:itemID="{CB7F7E46-D58D-5241-BBE5-1D362C68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3311</Words>
  <Characters>18878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21</cp:revision>
  <dcterms:created xsi:type="dcterms:W3CDTF">2026-05-26T08:33:00Z</dcterms:created>
  <dcterms:modified xsi:type="dcterms:W3CDTF">2026-05-27T12:33:00Z</dcterms:modified>
</cp:coreProperties>
</file>