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A811" w14:textId="77777777" w:rsidR="00505510" w:rsidRPr="00505510" w:rsidRDefault="00505510" w:rsidP="00505510">
      <w:pPr>
        <w:pStyle w:val="Title"/>
        <w:rPr>
          <w:rFonts w:eastAsia="Times New Roman"/>
          <w:lang w:eastAsia="en-GB"/>
        </w:rPr>
      </w:pPr>
      <w:r w:rsidRPr="00505510">
        <w:rPr>
          <w:rFonts w:eastAsia="Times New Roman"/>
          <w:lang w:eastAsia="en-GB"/>
        </w:rPr>
        <w:t>Security Risk Identification and Technical Design Analysis</w:t>
      </w:r>
    </w:p>
    <w:p w14:paraId="276376C9" w14:textId="77777777" w:rsidR="00505510" w:rsidRDefault="00505510" w:rsidP="00505510">
      <w:pPr>
        <w:pStyle w:val="Title"/>
      </w:pPr>
    </w:p>
    <w:p w14:paraId="2DD0B1FF" w14:textId="77777777" w:rsidR="00505510" w:rsidRDefault="00505510" w:rsidP="00505510"/>
    <w:p w14:paraId="3A494739" w14:textId="77777777" w:rsidR="00505510" w:rsidRDefault="00505510" w:rsidP="00505510"/>
    <w:p w14:paraId="283E2967" w14:textId="77777777" w:rsidR="00505510" w:rsidRDefault="00505510" w:rsidP="00505510"/>
    <w:p w14:paraId="73C72A22" w14:textId="77777777" w:rsidR="00505510" w:rsidRDefault="00505510" w:rsidP="00505510"/>
    <w:p w14:paraId="3AA852C3" w14:textId="77777777" w:rsidR="00505510" w:rsidRDefault="00505510" w:rsidP="00505510"/>
    <w:p w14:paraId="667BD8C8" w14:textId="77777777" w:rsidR="00505510" w:rsidRDefault="00505510" w:rsidP="00505510"/>
    <w:p w14:paraId="3838579C" w14:textId="77777777" w:rsidR="00505510" w:rsidRDefault="00505510" w:rsidP="00505510"/>
    <w:p w14:paraId="6485C52D" w14:textId="77777777" w:rsidR="00505510" w:rsidRDefault="00505510" w:rsidP="00505510"/>
    <w:p w14:paraId="7AEA3074" w14:textId="77777777" w:rsidR="00505510" w:rsidRDefault="00505510" w:rsidP="00505510"/>
    <w:p w14:paraId="0551BB92" w14:textId="77777777" w:rsidR="00505510" w:rsidRDefault="00505510" w:rsidP="00505510"/>
    <w:p w14:paraId="2B957308" w14:textId="77777777" w:rsidR="00505510" w:rsidRDefault="00505510" w:rsidP="00505510"/>
    <w:p w14:paraId="1F6ACD14" w14:textId="77777777" w:rsidR="00505510" w:rsidRDefault="00505510" w:rsidP="00505510"/>
    <w:p w14:paraId="5F4A4391" w14:textId="77777777" w:rsidR="00505510" w:rsidRDefault="00505510" w:rsidP="00505510"/>
    <w:p w14:paraId="3F0F0092" w14:textId="77777777" w:rsidR="00505510" w:rsidRDefault="00505510" w:rsidP="00505510"/>
    <w:p w14:paraId="3D95B449" w14:textId="77777777" w:rsidR="00505510" w:rsidRDefault="00505510" w:rsidP="00505510"/>
    <w:p w14:paraId="333226CB" w14:textId="77777777" w:rsidR="00505510" w:rsidRDefault="00505510" w:rsidP="00505510"/>
    <w:p w14:paraId="2606FE28" w14:textId="77777777" w:rsidR="00505510" w:rsidRDefault="00505510" w:rsidP="00505510"/>
    <w:p w14:paraId="75511826" w14:textId="77777777" w:rsidR="00505510" w:rsidRDefault="00505510" w:rsidP="00505510"/>
    <w:p w14:paraId="43185EEB" w14:textId="77777777" w:rsidR="00505510" w:rsidRDefault="00505510" w:rsidP="00505510"/>
    <w:p w14:paraId="18FE339E" w14:textId="77777777" w:rsidR="00505510" w:rsidRDefault="00505510" w:rsidP="00505510"/>
    <w:p w14:paraId="6B0EEA7F" w14:textId="77777777" w:rsidR="00505510" w:rsidRDefault="00505510" w:rsidP="00505510"/>
    <w:p w14:paraId="3646E985" w14:textId="77777777" w:rsidR="00505510" w:rsidRDefault="00505510" w:rsidP="00505510">
      <w:r>
        <w:t>Molly Fraser</w:t>
      </w:r>
    </w:p>
    <w:p w14:paraId="597975FF" w14:textId="77777777" w:rsidR="00505510" w:rsidRDefault="00505510" w:rsidP="00505510">
      <w:r>
        <w:t>18</w:t>
      </w:r>
      <w:r w:rsidRPr="00505510">
        <w:rPr>
          <w:vertAlign w:val="superscript"/>
        </w:rPr>
        <w:t>th</w:t>
      </w:r>
      <w:r>
        <w:t xml:space="preserve"> May 2026</w:t>
      </w:r>
    </w:p>
    <w:p w14:paraId="23B099F2" w14:textId="27099295" w:rsidR="00505510" w:rsidRDefault="00F601FD" w:rsidP="00505510">
      <w:r>
        <w:t>1020</w:t>
      </w:r>
      <w:r w:rsidR="00505510">
        <w:t xml:space="preserve"> Words</w:t>
      </w:r>
      <w:r w:rsidR="00505510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72234402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0E9861" w14:textId="77777777" w:rsidR="00505510" w:rsidRDefault="00505510">
          <w:pPr>
            <w:pStyle w:val="TOCHeading"/>
          </w:pPr>
          <w:r>
            <w:t>Table of Contents</w:t>
          </w:r>
        </w:p>
        <w:p w14:paraId="13907C55" w14:textId="0F45E345" w:rsidR="00C9623B" w:rsidRDefault="00505510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521050" w:history="1">
            <w:r w:rsidR="00C9623B" w:rsidRPr="00D438AA">
              <w:rPr>
                <w:rStyle w:val="Hyperlink"/>
                <w:noProof/>
              </w:rPr>
              <w:t>The Executive Summary</w:t>
            </w:r>
            <w:r w:rsidR="00C9623B">
              <w:rPr>
                <w:noProof/>
                <w:webHidden/>
              </w:rPr>
              <w:tab/>
            </w:r>
            <w:r w:rsidR="00C9623B">
              <w:rPr>
                <w:noProof/>
                <w:webHidden/>
              </w:rPr>
              <w:fldChar w:fldCharType="begin"/>
            </w:r>
            <w:r w:rsidR="00C9623B">
              <w:rPr>
                <w:noProof/>
                <w:webHidden/>
              </w:rPr>
              <w:instrText xml:space="preserve"> PAGEREF _Toc228521050 \h </w:instrText>
            </w:r>
            <w:r w:rsidR="00C9623B">
              <w:rPr>
                <w:noProof/>
                <w:webHidden/>
              </w:rPr>
            </w:r>
            <w:r w:rsidR="00C9623B">
              <w:rPr>
                <w:noProof/>
                <w:webHidden/>
              </w:rPr>
              <w:fldChar w:fldCharType="separate"/>
            </w:r>
            <w:r w:rsidR="00C9623B">
              <w:rPr>
                <w:noProof/>
                <w:webHidden/>
              </w:rPr>
              <w:t>3</w:t>
            </w:r>
            <w:r w:rsidR="00C9623B">
              <w:rPr>
                <w:noProof/>
                <w:webHidden/>
              </w:rPr>
              <w:fldChar w:fldCharType="end"/>
            </w:r>
          </w:hyperlink>
        </w:p>
        <w:p w14:paraId="28FE78E9" w14:textId="501C728F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51" w:history="1">
            <w:r w:rsidRPr="00D438AA">
              <w:rPr>
                <w:rStyle w:val="Hyperlink"/>
                <w:noProof/>
              </w:rPr>
              <w:t>Methodology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46AE" w14:textId="00581331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52" w:history="1">
            <w:r w:rsidRPr="00D438A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1585B" w14:textId="60A5BCB1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53" w:history="1">
            <w:r w:rsidRPr="00D438AA">
              <w:rPr>
                <w:rStyle w:val="Hyperlink"/>
                <w:noProof/>
              </w:rPr>
              <w:t>Scanning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580D" w14:textId="563B8854" w:rsidR="00C9623B" w:rsidRDefault="00C9623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521054" w:history="1">
            <w:r w:rsidRPr="00D438AA">
              <w:rPr>
                <w:rStyle w:val="Hyperlink"/>
                <w:noProof/>
              </w:rPr>
              <w:t>Tool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9BF05" w14:textId="5E737ACF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55" w:history="1">
            <w:r w:rsidRPr="00D438AA">
              <w:rPr>
                <w:rStyle w:val="Hyperlink"/>
                <w:noProof/>
              </w:rPr>
              <w:t>Audit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E38E" w14:textId="6FD77BA5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56" w:history="1">
            <w:r w:rsidRPr="00D438AA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39606" w14:textId="37C6F736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57" w:history="1">
            <w:r w:rsidRPr="00D438AA">
              <w:rPr>
                <w:rStyle w:val="Hyperlink"/>
                <w:noProof/>
              </w:rPr>
              <w:t>Assumptions, Limitations, and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6369" w14:textId="074C2815" w:rsidR="00C9623B" w:rsidRDefault="00C9623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521058" w:history="1">
            <w:r w:rsidRPr="00D438AA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576F4" w14:textId="17F727FD" w:rsidR="00C9623B" w:rsidRDefault="00C9623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521059" w:history="1">
            <w:r w:rsidRPr="00D438AA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573E" w14:textId="6540061F" w:rsidR="00C9623B" w:rsidRDefault="00C9623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521060" w:history="1">
            <w:r w:rsidRPr="00D438AA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CC5E2" w14:textId="49E3EE7E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61" w:history="1">
            <w:r w:rsidRPr="00D438AA">
              <w:rPr>
                <w:rStyle w:val="Hyperlink"/>
                <w:noProof/>
              </w:rPr>
              <w:t>Audit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3934" w14:textId="086F61D5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62" w:history="1">
            <w:r w:rsidRPr="00D438AA">
              <w:rPr>
                <w:rStyle w:val="Hyperlink"/>
                <w:noProof/>
              </w:rPr>
              <w:t>Injection Vulnerabilities (OWASP A03:2021)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7262" w14:textId="518E41C0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63" w:history="1">
            <w:r w:rsidRPr="00D438AA">
              <w:rPr>
                <w:rStyle w:val="Hyperlink"/>
                <w:noProof/>
              </w:rPr>
              <w:t>Broken Access Control (OWASP A01:2021)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E20E" w14:textId="33D8068C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64" w:history="1">
            <w:r w:rsidRPr="00D438AA">
              <w:rPr>
                <w:rStyle w:val="Hyperlink"/>
                <w:noProof/>
              </w:rPr>
              <w:t>Security Misconfiguration (OWASP A05:2021)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425BB" w14:textId="24EEF5FB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65" w:history="1">
            <w:r w:rsidRPr="00D438AA">
              <w:rPr>
                <w:rStyle w:val="Hyperlink"/>
                <w:noProof/>
              </w:rPr>
              <w:t>Recommendations &amp;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26F7" w14:textId="2BA9C81A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66" w:history="1">
            <w:r w:rsidRPr="00D438AA">
              <w:rPr>
                <w:rStyle w:val="Hyperlink"/>
                <w:noProof/>
              </w:rPr>
              <w:t>4.1 Mitigation of Injection 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95C3" w14:textId="42D6CBB6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67" w:history="1">
            <w:r w:rsidRPr="00D438AA">
              <w:rPr>
                <w:rStyle w:val="Hyperlink"/>
                <w:noProof/>
              </w:rPr>
              <w:t>4.2 Implementation of Anti-CSRF Protections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5758" w14:textId="72D7582C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68" w:history="1">
            <w:r w:rsidRPr="00D438AA">
              <w:rPr>
                <w:rStyle w:val="Hyperlink"/>
                <w:noProof/>
              </w:rPr>
              <w:t>4.3 Hardening Server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CAE66" w14:textId="24C381BE" w:rsidR="00C9623B" w:rsidRDefault="00C9623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521069" w:history="1">
            <w:r w:rsidRPr="00D438AA">
              <w:rPr>
                <w:rStyle w:val="Hyperlink"/>
                <w:noProof/>
              </w:rPr>
              <w:t>4.4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5A52" w14:textId="0D312D70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70" w:history="1">
            <w:r w:rsidRPr="00D438AA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B868" w14:textId="1040525E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71" w:history="1">
            <w:r w:rsidRPr="00D438AA">
              <w:rPr>
                <w:rStyle w:val="Hyperlink"/>
                <w:noProof/>
              </w:rPr>
              <w:t>Appendix A: OWASP ZAP Automated Dynamic Analysis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34599" w14:textId="5A86B562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72" w:history="1">
            <w:r w:rsidRPr="00D438AA">
              <w:rPr>
                <w:rStyle w:val="Hyperlink"/>
                <w:noProof/>
              </w:rPr>
              <w:t>Appendix B: Manual SQL Injection (SQLi) and Authentication Bypass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1D3ED" w14:textId="1DA2D9AC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73" w:history="1">
            <w:r w:rsidRPr="00D438AA">
              <w:rPr>
                <w:rStyle w:val="Hyperlink"/>
                <w:noProof/>
              </w:rPr>
              <w:t>Appendix C: Web Server Fingerprinting and HTTP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00AA" w14:textId="16E4E601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74" w:history="1">
            <w:r w:rsidRPr="00D438AA">
              <w:rPr>
                <w:rStyle w:val="Hyperlink"/>
                <w:noProof/>
              </w:rPr>
              <w:t>Appendix D: Nessus Network Security Scan: Infrastructure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643A" w14:textId="69C52711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75" w:history="1">
            <w:r w:rsidRPr="00D438AA">
              <w:rPr>
                <w:rStyle w:val="Hyperlink"/>
                <w:noProof/>
              </w:rPr>
              <w:t>Appendix E: Nessus Detailed Vulnerability and Service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098C" w14:textId="6ED5704A" w:rsidR="00C9623B" w:rsidRDefault="00C9623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8521076" w:history="1">
            <w:r w:rsidRPr="00D438AA">
              <w:rPr>
                <w:rStyle w:val="Hyperlink"/>
                <w:noProof/>
              </w:rPr>
              <w:t>Appendix F: NSLookup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C16BA" w14:textId="2AA6F8BB" w:rsidR="00505510" w:rsidRDefault="00505510">
          <w:r>
            <w:rPr>
              <w:b/>
              <w:bCs/>
              <w:noProof/>
            </w:rPr>
            <w:fldChar w:fldCharType="end"/>
          </w:r>
        </w:p>
      </w:sdtContent>
    </w:sdt>
    <w:p w14:paraId="7540A14D" w14:textId="77777777" w:rsidR="00505510" w:rsidRDefault="00505510">
      <w:r>
        <w:br w:type="page"/>
      </w:r>
    </w:p>
    <w:p w14:paraId="4B790EF8" w14:textId="77777777" w:rsidR="00505510" w:rsidRDefault="00505510" w:rsidP="00505510">
      <w:pPr>
        <w:pStyle w:val="Heading1"/>
      </w:pPr>
      <w:bookmarkStart w:id="0" w:name="_Toc228521050"/>
      <w:r>
        <w:lastRenderedPageBreak/>
        <w:t>The Executive Summary</w:t>
      </w:r>
      <w:bookmarkEnd w:id="0"/>
    </w:p>
    <w:p w14:paraId="0F4444E2" w14:textId="77777777" w:rsidR="005D6C6F" w:rsidRDefault="005D6C6F" w:rsidP="005D6C6F">
      <w:r>
        <w:rPr>
          <w:b/>
          <w:bCs/>
        </w:rPr>
        <w:t>Mapping the Data:</w:t>
      </w:r>
      <w:r>
        <w:t xml:space="preserve"> </w:t>
      </w:r>
    </w:p>
    <w:p w14:paraId="2DF50881" w14:textId="21D884D4" w:rsidR="00505510" w:rsidRDefault="005D6C6F" w:rsidP="005D6C6F">
      <w:r>
        <w:t>Technical reconnaissance and automated scanning revealed that the application is hosted within a Microsoft Azure environment utili</w:t>
      </w:r>
      <w:r w:rsidR="00427620">
        <w:t>s</w:t>
      </w:r>
      <w:r>
        <w:t xml:space="preserve">ing a Cloudflare reverse proxy, yet it lacks essential modern security headers and robust input validation </w:t>
      </w:r>
      <w:sdt>
        <w:sdtPr>
          <w:id w:val="1256022615"/>
          <w:citation/>
        </w:sdtPr>
        <w:sdtContent>
          <w:r>
            <w:fldChar w:fldCharType="begin"/>
          </w:r>
          <w:r>
            <w:rPr>
              <w:b/>
              <w:bCs/>
              <w:lang w:val="en-US"/>
            </w:rPr>
            <w:instrText xml:space="preserve"> CITATION OWA25 \l 1033 </w:instrText>
          </w:r>
          <w:r>
            <w:fldChar w:fldCharType="separate"/>
          </w:r>
          <w:r w:rsidRPr="005D6C6F">
            <w:rPr>
              <w:noProof/>
              <w:lang w:val="en-US"/>
            </w:rPr>
            <w:t>(OWASP, 2025)</w:t>
          </w:r>
          <w:r>
            <w:fldChar w:fldCharType="end"/>
          </w:r>
        </w:sdtContent>
      </w:sdt>
      <w:r>
        <w:t>. While the infrastructure is shielded by an external firewall, the application layer remains susceptible to sophisticated attacks due to legacy configurations</w:t>
      </w:r>
      <w:r w:rsidR="00F13551">
        <w:t xml:space="preserve"> </w:t>
      </w:r>
      <w:sdt>
        <w:sdtPr>
          <w:id w:val="-227990035"/>
          <w:citation/>
        </w:sdtPr>
        <w:sdtContent>
          <w:r w:rsidR="00F13551">
            <w:fldChar w:fldCharType="begin"/>
          </w:r>
          <w:r w:rsidR="00F13551">
            <w:rPr>
              <w:lang w:val="en-US"/>
            </w:rPr>
            <w:instrText xml:space="preserve">CITATION NIS24 \l 1033 </w:instrText>
          </w:r>
          <w:r w:rsidR="00F13551">
            <w:fldChar w:fldCharType="separate"/>
          </w:r>
          <w:r w:rsidR="00F13551" w:rsidRPr="00F13551">
            <w:rPr>
              <w:noProof/>
              <w:lang w:val="en-US"/>
            </w:rPr>
            <w:t>(NIST, 2024)</w:t>
          </w:r>
          <w:r w:rsidR="00F13551">
            <w:fldChar w:fldCharType="end"/>
          </w:r>
        </w:sdtContent>
      </w:sdt>
      <w:r>
        <w:t>. (See</w:t>
      </w:r>
      <w:r w:rsidR="00DC0EB1">
        <w:t xml:space="preserve"> </w:t>
      </w:r>
      <w:r w:rsidR="00DC0EB1">
        <w:fldChar w:fldCharType="begin"/>
      </w:r>
      <w:r w:rsidR="00DC0EB1">
        <w:instrText xml:space="preserve"> REF _Ref228516931 \h </w:instrText>
      </w:r>
      <w:r w:rsidR="00DC0EB1">
        <w:fldChar w:fldCharType="separate"/>
      </w:r>
      <w:r w:rsidR="00DC0EB1">
        <w:t>Appendix D: Nessus Network Security Scan: Infrastructure Overview</w:t>
      </w:r>
      <w:r w:rsidR="00DC0EB1">
        <w:fldChar w:fldCharType="end"/>
      </w:r>
      <w:r w:rsidR="00DC0EB1">
        <w:t xml:space="preserve"> f</w:t>
      </w:r>
      <w:r w:rsidRPr="005D6C6F">
        <w:t xml:space="preserve">or the network baseline and </w:t>
      </w:r>
      <w:r w:rsidR="00DC0EB1">
        <w:fldChar w:fldCharType="begin"/>
      </w:r>
      <w:r w:rsidR="00DC0EB1">
        <w:instrText xml:space="preserve"> REF _Ref228516942 \h </w:instrText>
      </w:r>
      <w:r w:rsidR="00DC0EB1">
        <w:fldChar w:fldCharType="separate"/>
      </w:r>
      <w:r w:rsidR="00DC0EB1">
        <w:t>Appendix C: Web Server Fingerprinting and HTTP Header</w:t>
      </w:r>
      <w:r w:rsidR="00DC0EB1">
        <w:fldChar w:fldCharType="end"/>
      </w:r>
      <w:r w:rsidR="00DC0EB1">
        <w:t xml:space="preserve"> </w:t>
      </w:r>
      <w:r w:rsidRPr="005D6C6F">
        <w:t>for evidence</w:t>
      </w:r>
      <w:r>
        <w:t xml:space="preserve"> of header leakage).</w:t>
      </w:r>
    </w:p>
    <w:p w14:paraId="78E7D113" w14:textId="77777777" w:rsidR="005D6C6F" w:rsidRDefault="005D6C6F" w:rsidP="005D6C6F">
      <w:r>
        <w:rPr>
          <w:b/>
          <w:bCs/>
        </w:rPr>
        <w:t>Top 3 Vulnerabilities:</w:t>
      </w:r>
    </w:p>
    <w:p w14:paraId="704CB026" w14:textId="6F59B7B9" w:rsidR="005D6C6F" w:rsidRDefault="005D6C6F" w:rsidP="005D6C6F">
      <w:pPr>
        <w:pStyle w:val="ListParagraph"/>
        <w:numPr>
          <w:ilvl w:val="0"/>
          <w:numId w:val="10"/>
        </w:numPr>
      </w:pPr>
      <w:r w:rsidRPr="005D6C6F">
        <w:rPr>
          <w:b/>
          <w:bCs/>
        </w:rPr>
        <w:t>Injection Risks (SQLi &amp; XSS):</w:t>
      </w:r>
      <w:r>
        <w:t xml:space="preserve"> </w:t>
      </w:r>
      <w:r w:rsidR="00F13551">
        <w:t xml:space="preserve">Manual testing confirmed that the application accepts un-sanitised database commands and malicious scripts, aligning with known </w:t>
      </w:r>
      <w:r w:rsidR="00F13551" w:rsidRPr="00F13551">
        <w:t xml:space="preserve">CWE-89 </w:t>
      </w:r>
      <w:sdt>
        <w:sdtPr>
          <w:id w:val="-1144113715"/>
          <w:citation/>
        </w:sdtPr>
        <w:sdtContent>
          <w:r w:rsidR="00F13551">
            <w:fldChar w:fldCharType="begin"/>
          </w:r>
          <w:r w:rsidR="00F13551">
            <w:rPr>
              <w:lang w:val="en-US"/>
            </w:rPr>
            <w:instrText xml:space="preserve"> CITATION MIT26 \l 1033 </w:instrText>
          </w:r>
          <w:r w:rsidR="00F13551">
            <w:fldChar w:fldCharType="separate"/>
          </w:r>
          <w:r w:rsidR="00F13551" w:rsidRPr="00F13551">
            <w:rPr>
              <w:noProof/>
              <w:lang w:val="en-US"/>
            </w:rPr>
            <w:t>(MITRE, 2026)</w:t>
          </w:r>
          <w:r w:rsidR="00F13551">
            <w:fldChar w:fldCharType="end"/>
          </w:r>
        </w:sdtContent>
      </w:sdt>
      <w:r w:rsidR="00F13551">
        <w:t xml:space="preserve"> </w:t>
      </w:r>
      <w:r w:rsidR="00F13551" w:rsidRPr="00F13551">
        <w:t>and CWE-79</w:t>
      </w:r>
      <w:r w:rsidR="00F13551">
        <w:t xml:space="preserve"> </w:t>
      </w:r>
      <w:sdt>
        <w:sdtPr>
          <w:id w:val="-104423329"/>
          <w:citation/>
        </w:sdtPr>
        <w:sdtContent>
          <w:r w:rsidR="00F13551">
            <w:fldChar w:fldCharType="begin"/>
          </w:r>
          <w:r w:rsidR="00F13551">
            <w:rPr>
              <w:lang w:val="en-US"/>
            </w:rPr>
            <w:instrText xml:space="preserve"> CITATION MIT261 \l 1033 </w:instrText>
          </w:r>
          <w:r w:rsidR="00F13551">
            <w:fldChar w:fldCharType="separate"/>
          </w:r>
          <w:r w:rsidR="00F13551" w:rsidRPr="00F13551">
            <w:rPr>
              <w:noProof/>
              <w:lang w:val="en-US"/>
            </w:rPr>
            <w:t>(MITRE, 2026)</w:t>
          </w:r>
          <w:r w:rsidR="00F13551">
            <w:fldChar w:fldCharType="end"/>
          </w:r>
        </w:sdtContent>
      </w:sdt>
      <w:r w:rsidR="00F13551" w:rsidRPr="00F13551">
        <w:t xml:space="preserve"> weaknesses</w:t>
      </w:r>
      <w:r w:rsidR="00F13551">
        <w:t>.</w:t>
      </w:r>
      <w:r>
        <w:t xml:space="preserve"> (See </w:t>
      </w:r>
      <w:r w:rsidR="00DC0EB1">
        <w:fldChar w:fldCharType="begin"/>
      </w:r>
      <w:r w:rsidR="00DC0EB1">
        <w:instrText xml:space="preserve"> REF _Ref228516954 \h </w:instrText>
      </w:r>
      <w:r w:rsidR="00DC0EB1">
        <w:fldChar w:fldCharType="separate"/>
      </w:r>
      <w:r w:rsidR="00DC0EB1">
        <w:t>Appendix B: Manual SQL Injection (SQLi) and Authentication Bypass Evidence</w:t>
      </w:r>
      <w:r w:rsidR="00DC0EB1">
        <w:fldChar w:fldCharType="end"/>
      </w:r>
      <w:r w:rsidR="00DC0EB1">
        <w:t xml:space="preserve"> </w:t>
      </w:r>
      <w:r w:rsidRPr="005D6C6F">
        <w:t>for</w:t>
      </w:r>
      <w:r>
        <w:t xml:space="preserve"> manual proof).</w:t>
      </w:r>
    </w:p>
    <w:p w14:paraId="490E915F" w14:textId="236C77C4" w:rsidR="005D6C6F" w:rsidRDefault="005D6C6F" w:rsidP="005D6C6F">
      <w:pPr>
        <w:pStyle w:val="ListParagraph"/>
        <w:numPr>
          <w:ilvl w:val="0"/>
          <w:numId w:val="10"/>
        </w:numPr>
      </w:pPr>
      <w:r w:rsidRPr="005D6C6F">
        <w:rPr>
          <w:b/>
          <w:bCs/>
        </w:rPr>
        <w:t>Broken Access Control (CSRF):</w:t>
      </w:r>
      <w:r>
        <w:t xml:space="preserve"> </w:t>
      </w:r>
      <w:r w:rsidR="00F13551">
        <w:t xml:space="preserve">Automated analysis identified the absence of Anti-CSRF tokens on critical endpoints, a vulnerability classified as </w:t>
      </w:r>
      <w:r w:rsidR="00F13551" w:rsidRPr="00F13551">
        <w:t>CWE-352</w:t>
      </w:r>
      <w:r w:rsidR="00F13551">
        <w:t xml:space="preserve"> </w:t>
      </w:r>
      <w:sdt>
        <w:sdtPr>
          <w:id w:val="-1094696612"/>
          <w:citation/>
        </w:sdtPr>
        <w:sdtContent>
          <w:r w:rsidR="00F13551">
            <w:fldChar w:fldCharType="begin"/>
          </w:r>
          <w:r w:rsidR="00F13551">
            <w:rPr>
              <w:lang w:val="en-US"/>
            </w:rPr>
            <w:instrText xml:space="preserve"> CITATION MIT262 \l 1033 </w:instrText>
          </w:r>
          <w:r w:rsidR="00F13551">
            <w:fldChar w:fldCharType="separate"/>
          </w:r>
          <w:r w:rsidR="00F13551" w:rsidRPr="00F13551">
            <w:rPr>
              <w:noProof/>
              <w:lang w:val="en-US"/>
            </w:rPr>
            <w:t>(MITRE, 2026)</w:t>
          </w:r>
          <w:r w:rsidR="00F13551">
            <w:fldChar w:fldCharType="end"/>
          </w:r>
        </w:sdtContent>
      </w:sdt>
      <w:r>
        <w:t>. (See</w:t>
      </w:r>
      <w:r w:rsidR="00DC0EB1">
        <w:t xml:space="preserve"> </w:t>
      </w:r>
      <w:r w:rsidR="00DC0EB1">
        <w:fldChar w:fldCharType="begin"/>
      </w:r>
      <w:r w:rsidR="00DC0EB1">
        <w:instrText xml:space="preserve"> REF _Ref228517004 \h </w:instrText>
      </w:r>
      <w:r w:rsidR="00DC0EB1">
        <w:fldChar w:fldCharType="separate"/>
      </w:r>
      <w:r w:rsidR="00DC0EB1">
        <w:t>Appendix A: OWASP ZAP Automated Dynamic Analysis Report</w:t>
      </w:r>
      <w:r w:rsidR="00DC0EB1">
        <w:fldChar w:fldCharType="end"/>
      </w:r>
      <w:r w:rsidR="00DC0EB1">
        <w:fldChar w:fldCharType="begin"/>
      </w:r>
      <w:r w:rsidR="00DC0EB1">
        <w:instrText xml:space="preserve"> REF _Ref228516963 \h </w:instrText>
      </w:r>
      <w:r w:rsidR="00DC0EB1">
        <w:fldChar w:fldCharType="separate"/>
      </w:r>
      <w:r w:rsidR="00DC0EB1">
        <w:fldChar w:fldCharType="end"/>
      </w:r>
      <w:r w:rsidRPr="005D6C6F">
        <w:t>).</w:t>
      </w:r>
      <w:r>
        <w:t xml:space="preserve"> </w:t>
      </w:r>
    </w:p>
    <w:p w14:paraId="4EEBD52F" w14:textId="7EDB14CD" w:rsidR="005D6C6F" w:rsidRDefault="005D6C6F" w:rsidP="005D6C6F">
      <w:pPr>
        <w:pStyle w:val="ListParagraph"/>
        <w:numPr>
          <w:ilvl w:val="0"/>
          <w:numId w:val="10"/>
        </w:numPr>
      </w:pPr>
      <w:r w:rsidRPr="005D6C6F">
        <w:rPr>
          <w:b/>
          <w:bCs/>
        </w:rPr>
        <w:t>Security Misconfiguration (Information Disclosure):</w:t>
      </w:r>
      <w:r>
        <w:t xml:space="preserve"> </w:t>
      </w:r>
      <w:r w:rsidR="00F13551">
        <w:t>The web server is "verbose," leaking specific version information such as ASP.NET 4.0.30319. This exposure of sensitive system data is categori</w:t>
      </w:r>
      <w:r w:rsidR="00427620">
        <w:t>s</w:t>
      </w:r>
      <w:r w:rsidR="00F13551">
        <w:t xml:space="preserve">ed under </w:t>
      </w:r>
      <w:r w:rsidR="00BE0003">
        <w:t xml:space="preserve">CWE-200 </w:t>
      </w:r>
      <w:sdt>
        <w:sdtPr>
          <w:id w:val="943272547"/>
          <w:citation/>
        </w:sdtPr>
        <w:sdtContent>
          <w:r w:rsidR="000E4F6C">
            <w:fldChar w:fldCharType="begin"/>
          </w:r>
          <w:r w:rsidR="000E4F6C">
            <w:rPr>
              <w:lang w:val="en-US"/>
            </w:rPr>
            <w:instrText xml:space="preserve"> CITATION MIT263 \l 1033 </w:instrText>
          </w:r>
          <w:r w:rsidR="000E4F6C">
            <w:fldChar w:fldCharType="separate"/>
          </w:r>
          <w:r w:rsidR="000E4F6C" w:rsidRPr="000E4F6C">
            <w:rPr>
              <w:noProof/>
              <w:lang w:val="en-US"/>
            </w:rPr>
            <w:t>(MITRE, 2026)</w:t>
          </w:r>
          <w:r w:rsidR="000E4F6C">
            <w:fldChar w:fldCharType="end"/>
          </w:r>
        </w:sdtContent>
      </w:sdt>
      <w:r w:rsidR="00F13551">
        <w:t xml:space="preserve">.  </w:t>
      </w:r>
      <w:r>
        <w:t>(</w:t>
      </w:r>
      <w:r w:rsidRPr="005D6C6F">
        <w:t xml:space="preserve">See </w:t>
      </w:r>
      <w:r w:rsidR="00DC0EB1">
        <w:fldChar w:fldCharType="begin"/>
      </w:r>
      <w:r w:rsidR="00DC0EB1">
        <w:instrText xml:space="preserve"> REF _Ref228516942 \h </w:instrText>
      </w:r>
      <w:r w:rsidR="00DC0EB1">
        <w:fldChar w:fldCharType="separate"/>
      </w:r>
      <w:r w:rsidR="00DC0EB1">
        <w:t>Appendix C: Web Server Fingerprinting and HTTP Header</w:t>
      </w:r>
      <w:r w:rsidR="00DC0EB1">
        <w:fldChar w:fldCharType="end"/>
      </w:r>
      <w:r w:rsidR="00DC0EB1">
        <w:t xml:space="preserve"> </w:t>
      </w:r>
      <w:r w:rsidRPr="005D6C6F">
        <w:t>and</w:t>
      </w:r>
      <w:r w:rsidR="00DC0EB1">
        <w:t xml:space="preserve"> </w:t>
      </w:r>
      <w:r w:rsidR="00DC0EB1">
        <w:fldChar w:fldCharType="begin"/>
      </w:r>
      <w:r w:rsidR="00DC0EB1">
        <w:instrText xml:space="preserve"> REF _Ref228517004 \h </w:instrText>
      </w:r>
      <w:r w:rsidR="00DC0EB1">
        <w:fldChar w:fldCharType="separate"/>
      </w:r>
      <w:r w:rsidR="00DC0EB1">
        <w:t>Appendix A: OWASP ZAP Automated Dynamic Analysis Report</w:t>
      </w:r>
      <w:r w:rsidR="00DC0EB1">
        <w:fldChar w:fldCharType="end"/>
      </w:r>
      <w:r w:rsidRPr="005D6C6F">
        <w:t>).</w:t>
      </w:r>
    </w:p>
    <w:p w14:paraId="3FB4074E" w14:textId="77777777" w:rsidR="00664F4D" w:rsidRDefault="00664F4D" w:rsidP="00664F4D">
      <w:r>
        <w:rPr>
          <w:b/>
          <w:bCs/>
        </w:rPr>
        <w:t>Business &amp; Regulatory Context:</w:t>
      </w:r>
      <w:r>
        <w:t xml:space="preserve"> </w:t>
      </w:r>
    </w:p>
    <w:p w14:paraId="25B51DE2" w14:textId="6FFD3592" w:rsidR="00664F4D" w:rsidRDefault="00664F4D" w:rsidP="00664F4D">
      <w:r>
        <w:t xml:space="preserve">As an e-commerce and user-engagement platform, </w:t>
      </w:r>
      <w:r w:rsidRPr="00664F4D">
        <w:t>Supercar Showdown</w:t>
      </w:r>
      <w:r>
        <w:t xml:space="preserve"> handles Personal Identifiable Information (PII) including names, email addresses, and passwords. Consequently, the business is legally obligated to comply with </w:t>
      </w:r>
      <w:r w:rsidRPr="00664F4D">
        <w:t xml:space="preserve">GDPR </w:t>
      </w:r>
      <w:r>
        <w:t xml:space="preserve">(General Data Protection Regulation) </w:t>
      </w:r>
      <w:sdt>
        <w:sdtPr>
          <w:id w:val="-1044367419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Eur16 \l 1033 </w:instrText>
          </w:r>
          <w:r>
            <w:fldChar w:fldCharType="separate"/>
          </w:r>
          <w:r w:rsidRPr="00664F4D">
            <w:rPr>
              <w:noProof/>
              <w:lang w:val="en-US"/>
            </w:rPr>
            <w:t>(European Union, 2016)</w:t>
          </w:r>
          <w:r>
            <w:fldChar w:fldCharType="end"/>
          </w:r>
        </w:sdtContent>
      </w:sdt>
      <w:r>
        <w:t xml:space="preserve"> </w:t>
      </w:r>
      <w:r>
        <w:t xml:space="preserve">regarding data privacy and integrity. The identified injection and access control vulnerabilities represent a significant breach of GDPR’s "Integrity and Confidentiality" principle. Furthermore, if the site processes payments, it must adhere to </w:t>
      </w:r>
      <w:r w:rsidRPr="00664F4D">
        <w:t>PCI DSS</w:t>
      </w:r>
      <w:r>
        <w:t xml:space="preserve"> (Payment Card Industry Data Security Standard) </w:t>
      </w:r>
      <w:sdt>
        <w:sdtPr>
          <w:id w:val="-567421477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Bar26 \l 1033 </w:instrText>
          </w:r>
          <w:r>
            <w:fldChar w:fldCharType="separate"/>
          </w:r>
          <w:r w:rsidRPr="00664F4D">
            <w:rPr>
              <w:noProof/>
              <w:lang w:val="en-US"/>
            </w:rPr>
            <w:t>(Barclays Bank, 2026)</w:t>
          </w:r>
          <w:r>
            <w:fldChar w:fldCharType="end"/>
          </w:r>
        </w:sdtContent>
      </w:sdt>
      <w:r>
        <w:t xml:space="preserve"> </w:t>
      </w:r>
      <w:r>
        <w:t>requirements for secure coding and vulnerability management.</w:t>
      </w:r>
    </w:p>
    <w:p w14:paraId="48C14C34" w14:textId="77777777" w:rsidR="005D6C6F" w:rsidRDefault="005D6C6F" w:rsidP="005D6C6F">
      <w:r>
        <w:rPr>
          <w:b/>
          <w:bCs/>
        </w:rPr>
        <w:t>The Bottom Line:</w:t>
      </w:r>
      <w:r>
        <w:t xml:space="preserve"> </w:t>
      </w:r>
    </w:p>
    <w:p w14:paraId="7799DD11" w14:textId="5FBF4EDC" w:rsidR="005D6C6F" w:rsidRPr="00505510" w:rsidRDefault="005D6C6F" w:rsidP="005D6C6F">
      <w:r>
        <w:lastRenderedPageBreak/>
        <w:t xml:space="preserve">Current vulnerabilities represent a high risk of a total data breach, potential session hijacking, and regulatory non-compliance </w:t>
      </w:r>
      <w:sdt>
        <w:sdtPr>
          <w:id w:val="358170010"/>
          <w:citation/>
        </w:sdtPr>
        <w:sdtContent>
          <w:r>
            <w:fldChar w:fldCharType="begin"/>
          </w:r>
          <w:r>
            <w:rPr>
              <w:b/>
              <w:bCs/>
              <w:lang w:val="en-US"/>
            </w:rPr>
            <w:instrText xml:space="preserve"> CITATION OWA25 \l 1033 </w:instrText>
          </w:r>
          <w:r>
            <w:fldChar w:fldCharType="separate"/>
          </w:r>
          <w:r w:rsidRPr="005D6C6F">
            <w:rPr>
              <w:noProof/>
              <w:lang w:val="en-US"/>
            </w:rPr>
            <w:t>(OWASP, 2025)</w:t>
          </w:r>
          <w:r>
            <w:fldChar w:fldCharType="end"/>
          </w:r>
        </w:sdtContent>
      </w:sdt>
      <w:r>
        <w:t>. Failure to address these application-layer flaws could result in the exposure of the entire user database and the loss of customer trust.</w:t>
      </w:r>
    </w:p>
    <w:p w14:paraId="2C53F775" w14:textId="77777777" w:rsidR="00505510" w:rsidRDefault="00505510" w:rsidP="0050551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C491EFE" w14:textId="77777777" w:rsidR="00505510" w:rsidRDefault="00505510" w:rsidP="00505510">
      <w:pPr>
        <w:pStyle w:val="Heading1"/>
      </w:pPr>
      <w:bookmarkStart w:id="1" w:name="_Toc228521051"/>
      <w:r>
        <w:lastRenderedPageBreak/>
        <w:t>Methodology &amp; Tools</w:t>
      </w:r>
      <w:bookmarkEnd w:id="1"/>
    </w:p>
    <w:p w14:paraId="63B7F3E0" w14:textId="66A7671E" w:rsidR="00DC0EB1" w:rsidRDefault="00DC0EB1" w:rsidP="00664F4D">
      <w:pPr>
        <w:pStyle w:val="Heading2"/>
      </w:pPr>
      <w:bookmarkStart w:id="2" w:name="_Toc228521052"/>
      <w:r>
        <w:t>Scope</w:t>
      </w:r>
      <w:bookmarkEnd w:id="2"/>
    </w:p>
    <w:p w14:paraId="5A219D99" w14:textId="351E2ABD" w:rsidR="00DC0EB1" w:rsidRPr="00DC0EB1" w:rsidRDefault="00DC0EB1" w:rsidP="00DC0EB1">
      <w:r w:rsidRPr="00DC0EB1">
        <w:t>The target of this security audit is the web application located at hack-yourself-first.com. The audit was conducted on May 1, 2026, utili</w:t>
      </w:r>
      <w:r>
        <w:t>s</w:t>
      </w:r>
      <w:r w:rsidRPr="00DC0EB1">
        <w:t xml:space="preserve">ing an external "black-box" testing approach to simulate a real-world threat actor. </w:t>
      </w:r>
    </w:p>
    <w:p w14:paraId="56A7E134" w14:textId="0F8269A4" w:rsidR="00DC0EB1" w:rsidRDefault="00DC0EB1" w:rsidP="00664F4D">
      <w:pPr>
        <w:pStyle w:val="Heading2"/>
      </w:pPr>
      <w:bookmarkStart w:id="3" w:name="_Toc228521053"/>
      <w:r>
        <w:t>Scanning Tools</w:t>
      </w:r>
      <w:bookmarkEnd w:id="3"/>
    </w:p>
    <w:p w14:paraId="017773F1" w14:textId="682AEFBC" w:rsidR="00DC0EB1" w:rsidRDefault="00DC0EB1" w:rsidP="00DC0EB1">
      <w:r w:rsidRPr="00DC0EB1">
        <w:t xml:space="preserve">Initial passive reconnaissance was performed using the macOS Terminal on the host machine. A </w:t>
      </w:r>
      <w:proofErr w:type="spellStart"/>
      <w:r w:rsidRPr="00DC0EB1">
        <w:t>nslookup</w:t>
      </w:r>
      <w:proofErr w:type="spellEnd"/>
      <w:r w:rsidRPr="00DC0EB1">
        <w:t xml:space="preserve"> query (See</w:t>
      </w:r>
      <w:r>
        <w:t xml:space="preserve"> </w:t>
      </w:r>
      <w:r>
        <w:fldChar w:fldCharType="begin"/>
      </w:r>
      <w:r>
        <w:instrText xml:space="preserve"> REF _Ref228517414 \h </w:instrText>
      </w:r>
      <w:r>
        <w:fldChar w:fldCharType="separate"/>
      </w:r>
      <w:r>
        <w:t xml:space="preserve">Appendix F: </w:t>
      </w:r>
      <w:proofErr w:type="spellStart"/>
      <w:r>
        <w:t>NSLookup</w:t>
      </w:r>
      <w:proofErr w:type="spellEnd"/>
      <w:r>
        <w:t xml:space="preserve"> Results</w:t>
      </w:r>
      <w:r>
        <w:fldChar w:fldCharType="end"/>
      </w:r>
      <w:r w:rsidRPr="00DC0EB1">
        <w:t>) identified the target's resolution to two primary IP addresses: 172.67.156.87 and 104.21.89.41. These addresses belong to Cloudflare, confirming the application is protected by an edge-protection and reverse-proxy layer.</w:t>
      </w:r>
    </w:p>
    <w:p w14:paraId="0AC1912C" w14:textId="33308264" w:rsidR="00664F4D" w:rsidRDefault="00664F4D" w:rsidP="00664F4D">
      <w:pPr>
        <w:pStyle w:val="Heading3"/>
      </w:pPr>
      <w:bookmarkStart w:id="4" w:name="_Toc228521054"/>
      <w:r>
        <w:t>Tool Selection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3969"/>
        <w:gridCol w:w="3763"/>
      </w:tblGrid>
      <w:tr w:rsidR="00664F4D" w:rsidRPr="00664F4D" w14:paraId="14A49F00" w14:textId="77777777" w:rsidTr="00664F4D">
        <w:tc>
          <w:tcPr>
            <w:tcW w:w="0" w:type="auto"/>
            <w:hideMark/>
          </w:tcPr>
          <w:p w14:paraId="7061B56C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6F79DE74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Justification for Selection</w:t>
            </w:r>
          </w:p>
        </w:tc>
        <w:tc>
          <w:tcPr>
            <w:tcW w:w="0" w:type="auto"/>
            <w:hideMark/>
          </w:tcPr>
          <w:p w14:paraId="3157E979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Potential Operational Impact </w:t>
            </w:r>
          </w:p>
        </w:tc>
      </w:tr>
      <w:tr w:rsidR="00664F4D" w:rsidRPr="00664F4D" w14:paraId="37D97864" w14:textId="77777777" w:rsidTr="00664F4D">
        <w:tc>
          <w:tcPr>
            <w:tcW w:w="0" w:type="auto"/>
            <w:hideMark/>
          </w:tcPr>
          <w:p w14:paraId="0A7486E3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Nmap</w:t>
            </w:r>
          </w:p>
        </w:tc>
        <w:tc>
          <w:tcPr>
            <w:tcW w:w="0" w:type="auto"/>
            <w:hideMark/>
          </w:tcPr>
          <w:p w14:paraId="33677BAC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Industry standard for stealthy port discovery and service versioning.</w:t>
            </w:r>
          </w:p>
        </w:tc>
        <w:tc>
          <w:tcPr>
            <w:tcW w:w="0" w:type="auto"/>
            <w:hideMark/>
          </w:tcPr>
          <w:p w14:paraId="24003AB8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Low; minimal bandwidth consumption.</w:t>
            </w:r>
          </w:p>
        </w:tc>
      </w:tr>
      <w:tr w:rsidR="00664F4D" w:rsidRPr="00664F4D" w14:paraId="23767994" w14:textId="77777777" w:rsidTr="00664F4D">
        <w:tc>
          <w:tcPr>
            <w:tcW w:w="0" w:type="auto"/>
            <w:hideMark/>
          </w:tcPr>
          <w:p w14:paraId="2CEC5C1C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Nessus</w:t>
            </w:r>
          </w:p>
        </w:tc>
        <w:tc>
          <w:tcPr>
            <w:tcW w:w="0" w:type="auto"/>
            <w:hideMark/>
          </w:tcPr>
          <w:p w14:paraId="02967877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Comprehensive vulnerability assessment tool used to baseline infrastructure risks. </w:t>
            </w:r>
          </w:p>
        </w:tc>
        <w:tc>
          <w:tcPr>
            <w:tcW w:w="0" w:type="auto"/>
            <w:hideMark/>
          </w:tcPr>
          <w:p w14:paraId="61981BFC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Medium; high-frequency probing can trigger WAF rate-limiting. </w:t>
            </w:r>
          </w:p>
        </w:tc>
      </w:tr>
      <w:tr w:rsidR="00664F4D" w:rsidRPr="00664F4D" w14:paraId="4296DFB7" w14:textId="77777777" w:rsidTr="00664F4D">
        <w:tc>
          <w:tcPr>
            <w:tcW w:w="0" w:type="auto"/>
            <w:hideMark/>
          </w:tcPr>
          <w:p w14:paraId="1322E3E2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OWASP ZAP</w:t>
            </w:r>
          </w:p>
        </w:tc>
        <w:tc>
          <w:tcPr>
            <w:tcW w:w="0" w:type="auto"/>
            <w:hideMark/>
          </w:tcPr>
          <w:p w14:paraId="3C8D02A9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Dynamic Application Security Testing (DAST) specifically for web vulnerabilities. </w:t>
            </w:r>
          </w:p>
        </w:tc>
        <w:tc>
          <w:tcPr>
            <w:tcW w:w="0" w:type="auto"/>
            <w:hideMark/>
          </w:tcPr>
          <w:p w14:paraId="08ABD1A8" w14:textId="77777777" w:rsidR="00664F4D" w:rsidRPr="00664F4D" w:rsidRDefault="00664F4D" w:rsidP="00664F4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664F4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Medium; aggressive active scanning can lead to temporary site instability or DoS.</w:t>
            </w:r>
          </w:p>
        </w:tc>
      </w:tr>
    </w:tbl>
    <w:p w14:paraId="67EA97F5" w14:textId="0BC0C772" w:rsidR="00664F4D" w:rsidRPr="00664F4D" w:rsidRDefault="00664F4D" w:rsidP="00664F4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664F4D">
        <w:rPr>
          <w:rFonts w:ascii="Arial" w:eastAsia="Times New Roman" w:hAnsi="Arial" w:cs="Arial"/>
          <w:kern w:val="0"/>
          <w:lang w:eastAsia="en-GB"/>
          <w14:ligatures w14:val="none"/>
        </w:rPr>
        <w:t xml:space="preserve">To mitigate operational impact, scans were conducted using "safe" check modes where possible to ensure the application remained available to other users during the audit. </w:t>
      </w:r>
    </w:p>
    <w:p w14:paraId="33B3C177" w14:textId="362E2882" w:rsidR="000E4F6C" w:rsidRDefault="00DC0EB1" w:rsidP="00664F4D">
      <w:pPr>
        <w:pStyle w:val="Heading2"/>
      </w:pPr>
      <w:bookmarkStart w:id="5" w:name="_Toc228521055"/>
      <w:r w:rsidRPr="000E4F6C">
        <w:t>Audit Framework</w:t>
      </w:r>
      <w:bookmarkEnd w:id="5"/>
    </w:p>
    <w:p w14:paraId="5EA7952D" w14:textId="0F9D2E46" w:rsidR="00DC0EB1" w:rsidRPr="00DC0EB1" w:rsidRDefault="00DC0EB1" w:rsidP="00DC0EB1">
      <w:r w:rsidRPr="00DC0EB1">
        <w:t>To ensure a standardi</w:t>
      </w:r>
      <w:r>
        <w:t>s</w:t>
      </w:r>
      <w:r w:rsidRPr="00DC0EB1">
        <w:t>ed and repeatable process, this audit utili</w:t>
      </w:r>
      <w:r w:rsidR="00427620">
        <w:t>s</w:t>
      </w:r>
      <w:r w:rsidRPr="00DC0EB1">
        <w:t xml:space="preserve">es the </w:t>
      </w:r>
      <w:sdt>
        <w:sdtPr>
          <w:id w:val="-1246794192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OWA25 \l 1033 </w:instrText>
          </w:r>
          <w:r>
            <w:fldChar w:fldCharType="separate"/>
          </w:r>
          <w:r w:rsidRPr="00DC0EB1">
            <w:rPr>
              <w:noProof/>
              <w:lang w:val="en-US"/>
            </w:rPr>
            <w:t>(OWASP, 2025)</w:t>
          </w:r>
          <w:r>
            <w:fldChar w:fldCharType="end"/>
          </w:r>
        </w:sdtContent>
      </w:sdt>
      <w:r>
        <w:t xml:space="preserve"> </w:t>
      </w:r>
      <w:r w:rsidRPr="00DC0EB1">
        <w:t>as the primary framework for identifying and categori</w:t>
      </w:r>
      <w:r w:rsidR="00427620">
        <w:t>s</w:t>
      </w:r>
      <w:r w:rsidRPr="00DC0EB1">
        <w:t>ing vulnerabilities. This framework ensures that discovered flaws</w:t>
      </w:r>
      <w:r>
        <w:t xml:space="preserve">, </w:t>
      </w:r>
      <w:r w:rsidRPr="00DC0EB1">
        <w:t>ranging from Broken Access Control to Security Misconfigurations</w:t>
      </w:r>
      <w:r>
        <w:t xml:space="preserve">, </w:t>
      </w:r>
      <w:r w:rsidRPr="00DC0EB1">
        <w:t xml:space="preserve">are aligned with the most critical current risks to web applications. </w:t>
      </w:r>
    </w:p>
    <w:p w14:paraId="5E12DB21" w14:textId="747D301C" w:rsidR="00DC0EB1" w:rsidRDefault="00DC0EB1" w:rsidP="00664F4D">
      <w:pPr>
        <w:pStyle w:val="Heading2"/>
      </w:pPr>
      <w:bookmarkStart w:id="6" w:name="_Toc228521056"/>
      <w:r>
        <w:t>Process</w:t>
      </w:r>
      <w:bookmarkEnd w:id="6"/>
    </w:p>
    <w:p w14:paraId="146D68FE" w14:textId="048DF346" w:rsidR="00DC0EB1" w:rsidRDefault="00DC0EB1" w:rsidP="00DC0EB1">
      <w:r>
        <w:t>A systematic two-step process was followed using a hybridi</w:t>
      </w:r>
      <w:r w:rsidR="00427620">
        <w:t>s</w:t>
      </w:r>
      <w:r>
        <w:t xml:space="preserve">ed testing environment consisting of a macOS host and </w:t>
      </w:r>
      <w:r w:rsidRPr="00DC0EB1">
        <w:t>a Kali Linux Virtual Machine running via UTM:</w:t>
      </w:r>
    </w:p>
    <w:p w14:paraId="4461903F" w14:textId="2BF795BE" w:rsidR="00DC0EB1" w:rsidRPr="00DC0EB1" w:rsidRDefault="00DC0EB1" w:rsidP="00DC0EB1">
      <w:pPr>
        <w:pStyle w:val="ListParagraph"/>
        <w:numPr>
          <w:ilvl w:val="0"/>
          <w:numId w:val="12"/>
        </w:numPr>
      </w:pPr>
      <w:r w:rsidRPr="00DC0EB1">
        <w:t xml:space="preserve">Infrastructure Mapping (Scans): Active scanning was performed using Nmap for port discovery and Nessus Essentials to baseline the server infrastructure (See </w:t>
      </w:r>
      <w:r>
        <w:fldChar w:fldCharType="begin"/>
      </w:r>
      <w:r>
        <w:instrText xml:space="preserve"> REF _Ref228516931 \h </w:instrText>
      </w:r>
      <w:r>
        <w:fldChar w:fldCharType="separate"/>
      </w:r>
      <w:r>
        <w:t>Appendix D: Nessus Network Security Scan: Infrastructure Overview</w:t>
      </w:r>
      <w:r>
        <w:fldChar w:fldCharType="end"/>
      </w:r>
      <w:r>
        <w:t xml:space="preserve"> </w:t>
      </w:r>
      <w:r w:rsidRPr="00DC0EB1">
        <w:t>and</w:t>
      </w:r>
      <w:r>
        <w:t xml:space="preserve"> </w:t>
      </w:r>
      <w:r>
        <w:fldChar w:fldCharType="begin"/>
      </w:r>
      <w:r>
        <w:instrText xml:space="preserve"> REF _Ref228517452 \h </w:instrText>
      </w:r>
      <w:r>
        <w:fldChar w:fldCharType="separate"/>
      </w:r>
      <w:r>
        <w:t>Appendix E: Nessus Detailed Vulnerability and Service Enumeration</w:t>
      </w:r>
      <w:r>
        <w:fldChar w:fldCharType="end"/>
      </w:r>
      <w:r w:rsidRPr="00DC0EB1">
        <w:t>).</w:t>
      </w:r>
    </w:p>
    <w:p w14:paraId="6DE78EA9" w14:textId="2D17FC38" w:rsidR="00DC0EB1" w:rsidRDefault="00DC0EB1" w:rsidP="00DC0EB1">
      <w:pPr>
        <w:pStyle w:val="ListParagraph"/>
        <w:numPr>
          <w:ilvl w:val="0"/>
          <w:numId w:val="12"/>
        </w:numPr>
      </w:pPr>
      <w:r w:rsidRPr="00DC0EB1">
        <w:lastRenderedPageBreak/>
        <w:t xml:space="preserve">Pattern-Based Vulnerability Search (Audit): A Dynamic Application Security Testing (DAST) scan was conducted at 07:56:29 using OWASP ZAP 2.17.0. This was supplemented by manual "pattern-based" probing via the Arc Browser developer tools on the host machine to confirm exploitability for SQL Injection and Cross-Site Scripting (See </w:t>
      </w:r>
      <w:r w:rsidR="007714ED">
        <w:fldChar w:fldCharType="begin"/>
      </w:r>
      <w:r w:rsidR="007714ED">
        <w:instrText xml:space="preserve"> REF _Ref228517468 \h </w:instrText>
      </w:r>
      <w:r w:rsidR="007714ED">
        <w:fldChar w:fldCharType="separate"/>
      </w:r>
      <w:r w:rsidR="007714ED">
        <w:t>Appendix B: Manual SQL Injection (SQLi) and Authentication Bypass Evidence</w:t>
      </w:r>
      <w:r w:rsidR="007714ED">
        <w:fldChar w:fldCharType="end"/>
      </w:r>
      <w:r w:rsidR="007714ED">
        <w:t xml:space="preserve"> </w:t>
      </w:r>
      <w:r w:rsidRPr="00DC0EB1">
        <w:t xml:space="preserve">and </w:t>
      </w:r>
      <w:r w:rsidR="007714ED">
        <w:fldChar w:fldCharType="begin"/>
      </w:r>
      <w:r w:rsidR="007714ED">
        <w:instrText xml:space="preserve"> REF _Ref228516942 \h </w:instrText>
      </w:r>
      <w:r w:rsidR="007714ED">
        <w:fldChar w:fldCharType="separate"/>
      </w:r>
      <w:r w:rsidR="007714ED">
        <w:t>Appendix C: Web Server Fingerprinting and HTTP Header</w:t>
      </w:r>
      <w:r w:rsidR="007714ED">
        <w:fldChar w:fldCharType="end"/>
      </w:r>
      <w:r w:rsidRPr="00DC0EB1">
        <w:t xml:space="preserve">). </w:t>
      </w:r>
    </w:p>
    <w:p w14:paraId="7D137F04" w14:textId="77777777" w:rsidR="00664F4D" w:rsidRDefault="00664F4D" w:rsidP="00664F4D">
      <w:pPr>
        <w:pStyle w:val="Heading2"/>
      </w:pPr>
      <w:bookmarkStart w:id="7" w:name="_Toc228521057"/>
      <w:r>
        <w:t>Assumptions, Limitations, and Timeline</w:t>
      </w:r>
      <w:bookmarkEnd w:id="7"/>
    </w:p>
    <w:p w14:paraId="3DC3F764" w14:textId="40162E90" w:rsidR="00664F4D" w:rsidRDefault="00664F4D" w:rsidP="009E0E33">
      <w:pPr>
        <w:pStyle w:val="Heading3"/>
      </w:pPr>
      <w:bookmarkStart w:id="8" w:name="_Toc228521058"/>
      <w:r>
        <w:t>Assumptions</w:t>
      </w:r>
      <w:bookmarkEnd w:id="8"/>
    </w:p>
    <w:p w14:paraId="7C12488F" w14:textId="70D8871A" w:rsidR="00664F4D" w:rsidRDefault="00664F4D" w:rsidP="00664F4D">
      <w:r>
        <w:t xml:space="preserve">It is assumed that the Cloudflare IP addresses identified represent the total external attack surface for the web application. </w:t>
      </w:r>
    </w:p>
    <w:p w14:paraId="21E403A3" w14:textId="482A2DB0" w:rsidR="00664F4D" w:rsidRDefault="00664F4D" w:rsidP="009E0E33">
      <w:pPr>
        <w:pStyle w:val="Heading3"/>
      </w:pPr>
      <w:bookmarkStart w:id="9" w:name="_Toc228521059"/>
      <w:r>
        <w:t>Limitations</w:t>
      </w:r>
      <w:bookmarkEnd w:id="9"/>
    </w:p>
    <w:p w14:paraId="64767F5F" w14:textId="32B697A3" w:rsidR="00664F4D" w:rsidRDefault="00664F4D" w:rsidP="00664F4D">
      <w:r>
        <w:t xml:space="preserve">The presence of Cloudflare’s reverse proxy and WAF (Web Application Firewall) may have obfuscated or blocked aggressive scan payloads, potentially masking additional backend vulnerabilities. </w:t>
      </w:r>
    </w:p>
    <w:p w14:paraId="31014F3B" w14:textId="1B0D27C3" w:rsidR="00664F4D" w:rsidRDefault="00664F4D" w:rsidP="009E0E33">
      <w:pPr>
        <w:pStyle w:val="Heading3"/>
      </w:pPr>
      <w:bookmarkStart w:id="10" w:name="_Toc228521060"/>
      <w:r>
        <w:t>Timeline</w:t>
      </w:r>
      <w:bookmarkEnd w:id="10"/>
    </w:p>
    <w:p w14:paraId="1A495D9B" w14:textId="77777777" w:rsidR="00664F4D" w:rsidRDefault="00664F4D" w:rsidP="00664F4D">
      <w:r>
        <w:rPr>
          <w:b/>
          <w:bCs/>
        </w:rPr>
        <w:t>Phase 1: Reconnaissance (1 Hour):</w:t>
      </w:r>
      <w:r>
        <w:t xml:space="preserve"> Passive </w:t>
      </w:r>
      <w:proofErr w:type="spellStart"/>
      <w:r>
        <w:t>footprinting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nslookup</w:t>
      </w:r>
      <w:proofErr w:type="spellEnd"/>
      <w:r>
        <w:t xml:space="preserve"> queries. </w:t>
      </w:r>
    </w:p>
    <w:p w14:paraId="0B98CE9D" w14:textId="77777777" w:rsidR="00664F4D" w:rsidRDefault="00664F4D" w:rsidP="00664F4D">
      <w:r>
        <w:rPr>
          <w:b/>
          <w:bCs/>
        </w:rPr>
        <w:t>Phase 2: Infrastructure Scanning (2 Hours):</w:t>
      </w:r>
      <w:r>
        <w:t xml:space="preserve"> Nmap port mapping and Nessus vulnerability enumeration. </w:t>
      </w:r>
    </w:p>
    <w:p w14:paraId="003B2592" w14:textId="77777777" w:rsidR="00664F4D" w:rsidRDefault="00664F4D" w:rsidP="00664F4D">
      <w:r>
        <w:rPr>
          <w:b/>
          <w:bCs/>
        </w:rPr>
        <w:t>Phase 3: Web Audit &amp; Manual Probing (2 Hours):</w:t>
      </w:r>
      <w:r>
        <w:t xml:space="preserve"> OWASP ZAP DAST scan followed by manual validation of SQLi and XSS. </w:t>
      </w:r>
    </w:p>
    <w:p w14:paraId="781CFEEB" w14:textId="77777777" w:rsidR="00664F4D" w:rsidRDefault="00664F4D" w:rsidP="00664F4D">
      <w:r>
        <w:rPr>
          <w:b/>
          <w:bCs/>
        </w:rPr>
        <w:t>Phase 4: Evaluation &amp; Reporting (3 Hours):</w:t>
      </w:r>
      <w:r>
        <w:t xml:space="preserve"> Analysis of logs and documentation of findings.</w:t>
      </w:r>
    </w:p>
    <w:p w14:paraId="382ACA24" w14:textId="77777777" w:rsidR="00664F4D" w:rsidRPr="00664F4D" w:rsidRDefault="00664F4D" w:rsidP="00664F4D"/>
    <w:p w14:paraId="435699EF" w14:textId="77777777" w:rsidR="00505510" w:rsidRPr="00505510" w:rsidRDefault="00505510" w:rsidP="00505510"/>
    <w:p w14:paraId="6C5C3851" w14:textId="77777777" w:rsidR="00505510" w:rsidRDefault="00505510" w:rsidP="0050551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8E97B1B" w14:textId="77777777" w:rsidR="00505510" w:rsidRDefault="00505510" w:rsidP="00505510">
      <w:pPr>
        <w:pStyle w:val="Heading1"/>
      </w:pPr>
      <w:bookmarkStart w:id="11" w:name="_Toc228521061"/>
      <w:r>
        <w:lastRenderedPageBreak/>
        <w:t>Audit Findings</w:t>
      </w:r>
      <w:bookmarkEnd w:id="11"/>
    </w:p>
    <w:p w14:paraId="08CB2C86" w14:textId="74238297" w:rsidR="007714ED" w:rsidRDefault="007714ED" w:rsidP="007714ED">
      <w:pPr>
        <w:pStyle w:val="Heading2"/>
      </w:pPr>
      <w:bookmarkStart w:id="12" w:name="_Toc228521062"/>
      <w:r>
        <w:t>Injection Vulnerabilities (OWASP A03:2021)</w:t>
      </w:r>
      <w:bookmarkEnd w:id="12"/>
    </w:p>
    <w:p w14:paraId="7577D430" w14:textId="77777777" w:rsidR="007714ED" w:rsidRDefault="007714ED" w:rsidP="007714ED">
      <w:r>
        <w:rPr>
          <w:b/>
          <w:bCs/>
        </w:rPr>
        <w:t>Finding:</w:t>
      </w:r>
      <w:r>
        <w:t xml:space="preserve"> Cross-Site Scripting (XSS) and SQL Injection (SQLi)</w:t>
      </w:r>
    </w:p>
    <w:p w14:paraId="11142888" w14:textId="74531CB3" w:rsidR="007714ED" w:rsidRDefault="007714ED" w:rsidP="007714ED">
      <w:r>
        <w:rPr>
          <w:b/>
          <w:bCs/>
        </w:rPr>
        <w:t>Technical Detail:</w:t>
      </w:r>
      <w:r>
        <w:t xml:space="preserve"> </w:t>
      </w:r>
      <w:r w:rsidR="000E4F6C">
        <w:t>Manual probing of the "Comments" section revealed that the application does not properly sanitise user input. This failure to validate input before processing allows for the execution of unauthori</w:t>
      </w:r>
      <w:r w:rsidR="00427620">
        <w:t>s</w:t>
      </w:r>
      <w:r w:rsidR="000E4F6C">
        <w:t>ed commands, a high-risk flaw described in the</w:t>
      </w:r>
      <w:r w:rsidR="00D80BA2">
        <w:t xml:space="preserve"> </w:t>
      </w:r>
      <w:r w:rsidR="00D80BA2">
        <w:t>OWASP Injection Prevention Cheat Sheet</w:t>
      </w:r>
      <w:r w:rsidR="000E4F6C">
        <w:t xml:space="preserve"> </w:t>
      </w:r>
      <w:sdt>
        <w:sdtPr>
          <w:id w:val="2121949871"/>
          <w:citation/>
        </w:sdtPr>
        <w:sdtContent>
          <w:r w:rsidR="000E4F6C">
            <w:fldChar w:fldCharType="begin"/>
          </w:r>
          <w:r w:rsidR="000E4F6C">
            <w:rPr>
              <w:lang w:val="en-US"/>
            </w:rPr>
            <w:instrText xml:space="preserve"> CITATION OWA26 \l 1033 </w:instrText>
          </w:r>
          <w:r w:rsidR="000E4F6C">
            <w:fldChar w:fldCharType="separate"/>
          </w:r>
          <w:r w:rsidR="000E4F6C" w:rsidRPr="000E4F6C">
            <w:rPr>
              <w:noProof/>
              <w:lang w:val="en-US"/>
            </w:rPr>
            <w:t>(OWASP, 2026)</w:t>
          </w:r>
          <w:r w:rsidR="000E4F6C">
            <w:fldChar w:fldCharType="end"/>
          </w:r>
        </w:sdtContent>
      </w:sdt>
      <w:r>
        <w:t>.</w:t>
      </w:r>
    </w:p>
    <w:p w14:paraId="4D639CE2" w14:textId="664A5129" w:rsidR="007714ED" w:rsidRDefault="007714ED" w:rsidP="007714ED">
      <w:r>
        <w:rPr>
          <w:b/>
          <w:bCs/>
        </w:rPr>
        <w:t>Manual Evidence:</w:t>
      </w:r>
      <w:r>
        <w:t xml:space="preserve"> As seen in </w:t>
      </w:r>
      <w:r>
        <w:fldChar w:fldCharType="begin"/>
      </w:r>
      <w:r>
        <w:instrText xml:space="preserve"> REF _Ref228517468 \h </w:instrText>
      </w:r>
      <w:r>
        <w:fldChar w:fldCharType="separate"/>
      </w:r>
      <w:r>
        <w:t>Appendix B: Manual SQL Injection (SQLi) and Authentication Bypass Evidence</w:t>
      </w:r>
      <w:r>
        <w:fldChar w:fldCharType="end"/>
      </w:r>
      <w:r>
        <w:t xml:space="preserve"> a JavaScript payload was successfully injected, which is evidenced by the browser console showing an attempt to execute the script.</w:t>
      </w:r>
    </w:p>
    <w:p w14:paraId="01865BC7" w14:textId="77777777" w:rsidR="007714ED" w:rsidRDefault="007714ED" w:rsidP="007714ED">
      <w:r>
        <w:rPr>
          <w:b/>
          <w:bCs/>
        </w:rPr>
        <w:t>Database Impact:</w:t>
      </w:r>
      <w:r>
        <w:t xml:space="preserve"> The application also accepts SQL syntax (e.g., </w:t>
      </w:r>
      <w:r>
        <w:rPr>
          <w:rStyle w:val="HTMLCode"/>
          <w:rFonts w:ascii="Arial" w:eastAsiaTheme="minorHAnsi" w:hAnsi="Arial" w:cs="Arial"/>
        </w:rPr>
        <w:t>' OR 1=1--</w:t>
      </w:r>
      <w:r>
        <w:t>) in name fields, which are then stored and displayed by the database.</w:t>
      </w:r>
    </w:p>
    <w:p w14:paraId="1A7B9452" w14:textId="77777777" w:rsidR="007714ED" w:rsidRDefault="007714ED" w:rsidP="007714ED">
      <w:r>
        <w:rPr>
          <w:b/>
          <w:bCs/>
        </w:rPr>
        <w:t>Risk:</w:t>
      </w:r>
      <w:r>
        <w:t xml:space="preserve"> </w:t>
      </w:r>
      <w:r>
        <w:rPr>
          <w:b/>
          <w:bCs/>
        </w:rPr>
        <w:t>High</w:t>
      </w:r>
      <w:r>
        <w:t>. These vulnerabilities allow for potential session hijacking and full data exfiltration of the user database.</w:t>
      </w:r>
    </w:p>
    <w:p w14:paraId="11F5DC05" w14:textId="11DD36A1" w:rsidR="007714ED" w:rsidRDefault="007714ED" w:rsidP="007714ED">
      <w:pPr>
        <w:pStyle w:val="Heading2"/>
      </w:pPr>
      <w:bookmarkStart w:id="13" w:name="_Toc228521063"/>
      <w:r>
        <w:t>Broken Access Control (OWASP A01:2021)</w:t>
      </w:r>
      <w:bookmarkEnd w:id="13"/>
    </w:p>
    <w:p w14:paraId="20065CB6" w14:textId="77777777" w:rsidR="007714ED" w:rsidRDefault="007714ED" w:rsidP="007714ED">
      <w:r>
        <w:rPr>
          <w:b/>
          <w:bCs/>
        </w:rPr>
        <w:t>Finding:</w:t>
      </w:r>
      <w:r>
        <w:t xml:space="preserve"> Absence of Anti-CSRF Tokens</w:t>
      </w:r>
    </w:p>
    <w:p w14:paraId="2F1F6662" w14:textId="77777777" w:rsidR="007714ED" w:rsidRDefault="007714ED" w:rsidP="007714ED">
      <w:r>
        <w:rPr>
          <w:b/>
          <w:bCs/>
        </w:rPr>
        <w:t>Technical Detail:</w:t>
      </w:r>
      <w:r>
        <w:t xml:space="preserve"> Automated analysis identified that the application fails to implement anti-Cross-Site Request Forgery (CSRF) tokens on critical pages, such as </w:t>
      </w:r>
      <w:r>
        <w:rPr>
          <w:rStyle w:val="HTMLCode"/>
          <w:rFonts w:ascii="Arial" w:eastAsiaTheme="minorHAnsi" w:hAnsi="Arial" w:cs="Arial"/>
        </w:rPr>
        <w:t>/Account/Register</w:t>
      </w:r>
      <w:r>
        <w:t xml:space="preserve">. </w:t>
      </w:r>
    </w:p>
    <w:p w14:paraId="62A77888" w14:textId="3CAFD0B8" w:rsidR="007714ED" w:rsidRDefault="007714ED" w:rsidP="007714ED">
      <w:r>
        <w:rPr>
          <w:b/>
          <w:bCs/>
        </w:rPr>
        <w:t>Evidence:</w:t>
      </w:r>
      <w:r>
        <w:t xml:space="preserve"> </w:t>
      </w:r>
      <w:r w:rsidR="000E4F6C">
        <w:t xml:space="preserve">The scan report confirms that five separate instances of this vulnerability were found. Per the </w:t>
      </w:r>
      <w:sdt>
        <w:sdtPr>
          <w:id w:val="520832814"/>
          <w:citation/>
        </w:sdtPr>
        <w:sdtContent>
          <w:r w:rsidR="000E4F6C">
            <w:fldChar w:fldCharType="begin"/>
          </w:r>
          <w:r w:rsidR="000E4F6C">
            <w:rPr>
              <w:lang w:val="en-US"/>
            </w:rPr>
            <w:instrText xml:space="preserve"> CITATION MIT262 \l 1033 </w:instrText>
          </w:r>
          <w:r w:rsidR="000E4F6C">
            <w:fldChar w:fldCharType="separate"/>
          </w:r>
          <w:r w:rsidR="000E4F6C" w:rsidRPr="000E4F6C">
            <w:rPr>
              <w:noProof/>
              <w:lang w:val="en-US"/>
            </w:rPr>
            <w:t>(MITRE, 2026)</w:t>
          </w:r>
          <w:r w:rsidR="000E4F6C">
            <w:fldChar w:fldCharType="end"/>
          </w:r>
        </w:sdtContent>
      </w:sdt>
      <w:r w:rsidR="000E4F6C">
        <w:t xml:space="preserve"> definition of </w:t>
      </w:r>
      <w:r w:rsidR="000E4F6C" w:rsidRPr="000E4F6C">
        <w:t>CWE-352</w:t>
      </w:r>
      <w:r w:rsidR="000E4F6C">
        <w:t>, the lack of unique tokens allows for unauthori</w:t>
      </w:r>
      <w:r w:rsidR="00427620">
        <w:t>s</w:t>
      </w:r>
      <w:r w:rsidR="000E4F6C">
        <w:t>ed requests to be processed as if they were legitimate user actions.</w:t>
      </w:r>
    </w:p>
    <w:p w14:paraId="4DC7E112" w14:textId="39F0C717" w:rsidR="007714ED" w:rsidRDefault="007714ED" w:rsidP="007714ED">
      <w:r>
        <w:rPr>
          <w:b/>
          <w:bCs/>
        </w:rPr>
        <w:t>Risk:</w:t>
      </w:r>
      <w:r>
        <w:t xml:space="preserve"> </w:t>
      </w:r>
      <w:r>
        <w:rPr>
          <w:b/>
          <w:bCs/>
        </w:rPr>
        <w:t>Medium</w:t>
      </w:r>
      <w:r>
        <w:t>. An attacker could craft a malicious link that forces a logged-in user to perform unauthorised registration or account changes without their knowledge. (</w:t>
      </w:r>
      <w:r>
        <w:fldChar w:fldCharType="begin"/>
      </w:r>
      <w:r>
        <w:instrText xml:space="preserve"> REF _Ref228517004 \h </w:instrText>
      </w:r>
      <w:r>
        <w:fldChar w:fldCharType="separate"/>
      </w:r>
      <w:r>
        <w:t>Appendix A: OWASP ZAP Automated Dynamic Analysis Report</w:t>
      </w:r>
      <w:r>
        <w:fldChar w:fldCharType="end"/>
      </w:r>
      <w:r>
        <w:t xml:space="preserve">). </w:t>
      </w:r>
    </w:p>
    <w:p w14:paraId="081241BD" w14:textId="7ED94839" w:rsidR="007714ED" w:rsidRDefault="007714ED" w:rsidP="007714ED">
      <w:pPr>
        <w:pStyle w:val="Heading2"/>
      </w:pPr>
      <w:bookmarkStart w:id="14" w:name="_Toc228521064"/>
      <w:r>
        <w:t>Security Misconfiguration (OWASP A05:2021)</w:t>
      </w:r>
      <w:bookmarkEnd w:id="14"/>
    </w:p>
    <w:p w14:paraId="3F70AD1A" w14:textId="77777777" w:rsidR="007714ED" w:rsidRDefault="007714ED" w:rsidP="007714ED">
      <w:r>
        <w:rPr>
          <w:b/>
          <w:bCs/>
        </w:rPr>
        <w:t>Finding:</w:t>
      </w:r>
      <w:r>
        <w:t xml:space="preserve"> Verbose Header Leakage and Missing Security Headers</w:t>
      </w:r>
    </w:p>
    <w:p w14:paraId="60AD962F" w14:textId="77777777" w:rsidR="007714ED" w:rsidRDefault="007714ED" w:rsidP="007714ED">
      <w:r>
        <w:rPr>
          <w:b/>
          <w:bCs/>
        </w:rPr>
        <w:t>Technical Detail:</w:t>
      </w:r>
      <w:r>
        <w:t xml:space="preserve"> The web server is configured to be "verbose," meaning it leaks specific technology stack information in the HTTP response headers. </w:t>
      </w:r>
    </w:p>
    <w:p w14:paraId="7E677DCF" w14:textId="62050C24" w:rsidR="007714ED" w:rsidRDefault="007714ED" w:rsidP="007714ED">
      <w:r>
        <w:rPr>
          <w:b/>
          <w:bCs/>
        </w:rPr>
        <w:t>Evidence:</w:t>
      </w:r>
      <w:r>
        <w:t xml:space="preserve"> </w:t>
      </w:r>
      <w:r>
        <w:rPr>
          <w:b/>
          <w:bCs/>
        </w:rPr>
        <w:fldChar w:fldCharType="begin"/>
      </w:r>
      <w:r>
        <w:instrText xml:space="preserve"> REF _Ref228516942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>Appendix C: Web Server Fingerprinting and HTTP Header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 xml:space="preserve">shows the server disclosing </w:t>
      </w:r>
      <w:r>
        <w:rPr>
          <w:rStyle w:val="HTMLCode"/>
          <w:rFonts w:ascii="Arial" w:eastAsiaTheme="minorHAnsi" w:hAnsi="Arial" w:cs="Arial"/>
        </w:rPr>
        <w:t>X-</w:t>
      </w:r>
      <w:proofErr w:type="spellStart"/>
      <w:r>
        <w:rPr>
          <w:rStyle w:val="HTMLCode"/>
          <w:rFonts w:ascii="Arial" w:eastAsiaTheme="minorHAnsi" w:hAnsi="Arial" w:cs="Arial"/>
        </w:rPr>
        <w:t>AspNet</w:t>
      </w:r>
      <w:proofErr w:type="spellEnd"/>
      <w:r>
        <w:rPr>
          <w:rStyle w:val="HTMLCode"/>
          <w:rFonts w:ascii="Arial" w:eastAsiaTheme="minorHAnsi" w:hAnsi="Arial" w:cs="Arial"/>
        </w:rPr>
        <w:t>-Version: 4.0.30319</w:t>
      </w:r>
      <w:r>
        <w:t xml:space="preserve"> and </w:t>
      </w:r>
      <w:r>
        <w:rPr>
          <w:rStyle w:val="HTMLCode"/>
          <w:rFonts w:ascii="Arial" w:eastAsiaTheme="minorHAnsi" w:hAnsi="Arial" w:cs="Arial"/>
        </w:rPr>
        <w:t>X-Powered-By: ASP.NET</w:t>
      </w:r>
      <w:r>
        <w:t>.</w:t>
      </w:r>
    </w:p>
    <w:p w14:paraId="63526E40" w14:textId="77777777" w:rsidR="007714ED" w:rsidRDefault="007714ED" w:rsidP="007714ED">
      <w:r>
        <w:rPr>
          <w:b/>
          <w:bCs/>
        </w:rPr>
        <w:lastRenderedPageBreak/>
        <w:t>Missing Protections:</w:t>
      </w:r>
      <w:r>
        <w:t xml:space="preserve"> The ZAP </w:t>
      </w:r>
      <w:r w:rsidRPr="007714ED">
        <w:t>report also flagged a missing Content Security Policy (CSP) and Anti-clickjacking headers (X-Frame-Options).</w:t>
      </w:r>
      <w:r>
        <w:t xml:space="preserve"> </w:t>
      </w:r>
    </w:p>
    <w:p w14:paraId="6C5C776C" w14:textId="5D8C9BED" w:rsidR="007714ED" w:rsidRDefault="007714ED" w:rsidP="007714ED">
      <w:r>
        <w:rPr>
          <w:b/>
          <w:bCs/>
        </w:rPr>
        <w:t>Risk:</w:t>
      </w:r>
      <w:r>
        <w:t xml:space="preserve"> </w:t>
      </w:r>
      <w:r>
        <w:rPr>
          <w:b/>
          <w:bCs/>
        </w:rPr>
        <w:t>Low to Medium</w:t>
      </w:r>
      <w:r>
        <w:t xml:space="preserve">. </w:t>
      </w:r>
      <w:r w:rsidR="000E4F6C">
        <w:t xml:space="preserve">This information disclosure provides attackers with the exact software versions needed to find specific, unpatched exploits, failing to meet the "Protect" function requirements of the </w:t>
      </w:r>
      <w:sdt>
        <w:sdtPr>
          <w:id w:val="1333639713"/>
          <w:citation/>
        </w:sdtPr>
        <w:sdtContent>
          <w:r w:rsidR="000E4F6C">
            <w:fldChar w:fldCharType="begin"/>
          </w:r>
          <w:r w:rsidR="000E4F6C">
            <w:rPr>
              <w:b/>
              <w:bCs/>
              <w:lang w:val="en-US"/>
            </w:rPr>
            <w:instrText xml:space="preserve"> CITATION NIS24 \l 1033 </w:instrText>
          </w:r>
          <w:r w:rsidR="000E4F6C">
            <w:fldChar w:fldCharType="separate"/>
          </w:r>
          <w:r w:rsidR="000E4F6C" w:rsidRPr="000E4F6C">
            <w:rPr>
              <w:noProof/>
              <w:lang w:val="en-US"/>
            </w:rPr>
            <w:t>(NIST, 2024)</w:t>
          </w:r>
          <w:r w:rsidR="000E4F6C">
            <w:fldChar w:fldCharType="end"/>
          </w:r>
        </w:sdtContent>
      </w:sdt>
      <w:r w:rsidR="000E4F6C">
        <w:t xml:space="preserve"> framework. </w:t>
      </w:r>
      <w:r>
        <w:t>(</w:t>
      </w:r>
      <w:r>
        <w:fldChar w:fldCharType="begin"/>
      </w:r>
      <w:r>
        <w:instrText xml:space="preserve"> REF _Ref228517004 \h </w:instrText>
      </w:r>
      <w:r>
        <w:fldChar w:fldCharType="separate"/>
      </w:r>
      <w:r>
        <w:t>Appendix A: OWASP ZAP Automated Dynamic Analysis Report</w:t>
      </w:r>
      <w:r>
        <w:fldChar w:fldCharType="end"/>
      </w:r>
      <w:r>
        <w:t xml:space="preserve">) </w:t>
      </w:r>
    </w:p>
    <w:p w14:paraId="463EDF39" w14:textId="77777777" w:rsidR="00505510" w:rsidRDefault="00505510" w:rsidP="0050551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50657F5" w14:textId="77777777" w:rsidR="00505510" w:rsidRDefault="00505510" w:rsidP="00505510">
      <w:pPr>
        <w:pStyle w:val="Heading1"/>
      </w:pPr>
      <w:bookmarkStart w:id="15" w:name="_Toc228521065"/>
      <w:r>
        <w:lastRenderedPageBreak/>
        <w:t>Recommendations &amp; Mitigations</w:t>
      </w:r>
      <w:bookmarkEnd w:id="15"/>
    </w:p>
    <w:p w14:paraId="4DC456C6" w14:textId="77777777" w:rsidR="007714ED" w:rsidRDefault="007714ED" w:rsidP="007714ED">
      <w:r>
        <w:t xml:space="preserve">To reduce the current high-risk profile of </w:t>
      </w:r>
      <w:r w:rsidRPr="007714ED">
        <w:t>hack-yourself-first.com</w:t>
      </w:r>
      <w:r>
        <w:t>, the following technical controls should be implemented:</w:t>
      </w:r>
    </w:p>
    <w:p w14:paraId="0041C6EB" w14:textId="77777777" w:rsidR="007714ED" w:rsidRDefault="007714ED" w:rsidP="007714ED">
      <w:pPr>
        <w:pStyle w:val="Heading2"/>
      </w:pPr>
      <w:bookmarkStart w:id="16" w:name="_Toc228521066"/>
      <w:r>
        <w:t>4.1 Mitigation of Injection Vulnerabilities</w:t>
      </w:r>
      <w:bookmarkEnd w:id="16"/>
    </w:p>
    <w:p w14:paraId="15BEF11B" w14:textId="4F75DD12" w:rsidR="000E4F6C" w:rsidRDefault="007714ED" w:rsidP="007714ED">
      <w:r>
        <w:rPr>
          <w:b/>
          <w:bCs/>
        </w:rPr>
        <w:t>Implement Output Encoding:</w:t>
      </w:r>
      <w:r>
        <w:t xml:space="preserve"> </w:t>
      </w:r>
      <w:r w:rsidR="000E4F6C">
        <w:t xml:space="preserve">To stop Cross-Site Scripting (XSS), the application must encode all user-supplied data before it is rendered in the browser </w:t>
      </w:r>
      <w:sdt>
        <w:sdtPr>
          <w:id w:val="-138342765"/>
          <w:citation/>
        </w:sdtPr>
        <w:sdtContent>
          <w:r w:rsidR="000E4F6C">
            <w:fldChar w:fldCharType="begin"/>
          </w:r>
          <w:r w:rsidR="000E4F6C">
            <w:rPr>
              <w:b/>
              <w:bCs/>
              <w:lang w:val="en-US"/>
            </w:rPr>
            <w:instrText xml:space="preserve"> CITATION OWA26 \l 1033 </w:instrText>
          </w:r>
          <w:r w:rsidR="000E4F6C">
            <w:fldChar w:fldCharType="separate"/>
          </w:r>
          <w:r w:rsidR="000E4F6C" w:rsidRPr="000E4F6C">
            <w:rPr>
              <w:noProof/>
              <w:lang w:val="en-US"/>
            </w:rPr>
            <w:t>(OWASP, 2026)</w:t>
          </w:r>
          <w:r w:rsidR="000E4F6C">
            <w:fldChar w:fldCharType="end"/>
          </w:r>
        </w:sdtContent>
      </w:sdt>
      <w:r w:rsidR="000E4F6C">
        <w:t>.</w:t>
      </w:r>
    </w:p>
    <w:p w14:paraId="178812F6" w14:textId="3271DD0D" w:rsidR="007714ED" w:rsidRDefault="007714ED" w:rsidP="007714ED">
      <w:r>
        <w:rPr>
          <w:b/>
          <w:bCs/>
        </w:rPr>
        <w:t>Utilise Parameterised Queries:</w:t>
      </w:r>
      <w:r>
        <w:t xml:space="preserve"> </w:t>
      </w:r>
      <w:r w:rsidR="000E4F6C">
        <w:t xml:space="preserve">To prevent SQL Injection, developers must use prepared statements. This is the primary defence recommended by </w:t>
      </w:r>
      <w:sdt>
        <w:sdtPr>
          <w:id w:val="1850827708"/>
          <w:citation/>
        </w:sdtPr>
        <w:sdtContent>
          <w:r w:rsidR="000E4F6C">
            <w:fldChar w:fldCharType="begin"/>
          </w:r>
          <w:r w:rsidR="000E4F6C">
            <w:rPr>
              <w:b/>
              <w:bCs/>
              <w:lang w:val="en-US"/>
            </w:rPr>
            <w:instrText xml:space="preserve"> CITATION OWA25 \l 1033 </w:instrText>
          </w:r>
          <w:r w:rsidR="000E4F6C">
            <w:fldChar w:fldCharType="separate"/>
          </w:r>
          <w:r w:rsidR="000E4F6C" w:rsidRPr="000E4F6C">
            <w:rPr>
              <w:noProof/>
              <w:lang w:val="en-US"/>
            </w:rPr>
            <w:t>(OWASP, 2025)</w:t>
          </w:r>
          <w:r w:rsidR="000E4F6C">
            <w:fldChar w:fldCharType="end"/>
          </w:r>
        </w:sdtContent>
      </w:sdt>
      <w:r w:rsidR="000E4F6C">
        <w:t xml:space="preserve"> to ensure the database treats input as data, not code.</w:t>
      </w:r>
    </w:p>
    <w:p w14:paraId="5A4C2D46" w14:textId="77777777" w:rsidR="007714ED" w:rsidRDefault="007714ED" w:rsidP="007714ED">
      <w:pPr>
        <w:pStyle w:val="Heading2"/>
      </w:pPr>
      <w:bookmarkStart w:id="17" w:name="_Toc228521067"/>
      <w:r>
        <w:t>4.2 Implementation of Anti-CSRF Protections</w:t>
      </w:r>
      <w:bookmarkEnd w:id="17"/>
    </w:p>
    <w:p w14:paraId="3771C254" w14:textId="77777777" w:rsidR="007714ED" w:rsidRDefault="007714ED" w:rsidP="007714ED">
      <w:r>
        <w:rPr>
          <w:b/>
          <w:bCs/>
        </w:rPr>
        <w:t>Enforce Anti-Forgery Tokens:</w:t>
      </w:r>
      <w:r>
        <w:t xml:space="preserve"> The application should include a unique, cryptographically strong token in every state-changing request (such as registration and login). </w:t>
      </w:r>
    </w:p>
    <w:p w14:paraId="2238D993" w14:textId="42EF9094" w:rsidR="007714ED" w:rsidRDefault="007714ED" w:rsidP="007714ED">
      <w:r>
        <w:rPr>
          <w:b/>
          <w:bCs/>
        </w:rPr>
        <w:t>Verification:</w:t>
      </w:r>
      <w:r>
        <w:t xml:space="preserve"> The server must verify this token before processing any request to ensure the action was intentionally initiated by the user. (See</w:t>
      </w:r>
      <w:r>
        <w:rPr>
          <w:b/>
          <w:bCs/>
        </w:rPr>
        <w:t xml:space="preserve"> </w:t>
      </w:r>
      <w:r>
        <w:fldChar w:fldCharType="begin"/>
      </w:r>
      <w:r>
        <w:rPr>
          <w:b/>
          <w:bCs/>
        </w:rPr>
        <w:instrText xml:space="preserve"> REF _Ref228517004 \h </w:instrText>
      </w:r>
      <w:r>
        <w:fldChar w:fldCharType="separate"/>
      </w:r>
      <w:r>
        <w:t>Appendix A: OWASP ZAP Automated Dynamic Analysis Report</w:t>
      </w:r>
      <w:r>
        <w:fldChar w:fldCharType="end"/>
      </w:r>
      <w:r>
        <w:t xml:space="preserve">). </w:t>
      </w:r>
    </w:p>
    <w:p w14:paraId="79FF93B2" w14:textId="77777777" w:rsidR="007714ED" w:rsidRDefault="007714ED" w:rsidP="007714ED">
      <w:pPr>
        <w:pStyle w:val="Heading2"/>
      </w:pPr>
      <w:bookmarkStart w:id="18" w:name="_Toc228521068"/>
      <w:r>
        <w:t>4.3 Hardening Server Configurations</w:t>
      </w:r>
      <w:bookmarkEnd w:id="18"/>
    </w:p>
    <w:p w14:paraId="5CD215D0" w14:textId="6ED47D16" w:rsidR="007714ED" w:rsidRDefault="007714ED" w:rsidP="007714ED">
      <w:r>
        <w:rPr>
          <w:b/>
          <w:bCs/>
        </w:rPr>
        <w:t>Disable Verbose Headers:</w:t>
      </w:r>
      <w:r>
        <w:t xml:space="preserve"> </w:t>
      </w:r>
      <w:r w:rsidR="000E4F6C">
        <w:t xml:space="preserve">Configure the web server to suppress headers to prevent technology fingerprinting, adhering to </w:t>
      </w:r>
      <w:r w:rsidR="000E4F6C" w:rsidRPr="000E4F6C">
        <w:t>NIST SP 800-53</w:t>
      </w:r>
      <w:r w:rsidR="000E4F6C">
        <w:t xml:space="preserve"> security controls for system and information integrity </w:t>
      </w:r>
      <w:sdt>
        <w:sdtPr>
          <w:id w:val="-1722437528"/>
          <w:citation/>
        </w:sdtPr>
        <w:sdtContent>
          <w:r w:rsidR="000E4F6C">
            <w:fldChar w:fldCharType="begin"/>
          </w:r>
          <w:r w:rsidR="000E4F6C">
            <w:rPr>
              <w:lang w:val="en-US"/>
            </w:rPr>
            <w:instrText xml:space="preserve"> CITATION NIS24 \l 1033 </w:instrText>
          </w:r>
          <w:r w:rsidR="000E4F6C">
            <w:fldChar w:fldCharType="separate"/>
          </w:r>
          <w:r w:rsidR="000E4F6C" w:rsidRPr="000E4F6C">
            <w:rPr>
              <w:noProof/>
              <w:lang w:val="en-US"/>
            </w:rPr>
            <w:t>(NIST, 2024)</w:t>
          </w:r>
          <w:r w:rsidR="000E4F6C">
            <w:fldChar w:fldCharType="end"/>
          </w:r>
        </w:sdtContent>
      </w:sdt>
      <w:r w:rsidR="000E4F6C">
        <w:t xml:space="preserve">. </w:t>
      </w:r>
      <w:r>
        <w:t xml:space="preserve">(Refer to </w:t>
      </w:r>
      <w:r>
        <w:rPr>
          <w:b/>
          <w:bCs/>
        </w:rPr>
        <w:fldChar w:fldCharType="begin"/>
      </w:r>
      <w:r>
        <w:instrText xml:space="preserve"> REF _Ref228516942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>Appendix C: Web Server Fingerprinting and HTTP Header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fldChar w:fldCharType="begin"/>
      </w:r>
      <w:r>
        <w:instrText xml:space="preserve"> REF _Ref228517004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>Appendix A: OWASP ZAP Automated Dynamic Analysis Report</w:t>
      </w:r>
      <w:r>
        <w:rPr>
          <w:b/>
          <w:bCs/>
        </w:rPr>
        <w:fldChar w:fldCharType="end"/>
      </w:r>
      <w:r>
        <w:t xml:space="preserve">). </w:t>
      </w:r>
    </w:p>
    <w:p w14:paraId="029BBA09" w14:textId="77777777" w:rsidR="007714ED" w:rsidRDefault="007714ED" w:rsidP="007714ED">
      <w:r>
        <w:rPr>
          <w:b/>
          <w:bCs/>
        </w:rPr>
        <w:t>Deploy Security Headers:</w:t>
      </w:r>
    </w:p>
    <w:p w14:paraId="2B3CAD35" w14:textId="77777777" w:rsidR="007714ED" w:rsidRDefault="007714ED" w:rsidP="007714ED">
      <w:r>
        <w:rPr>
          <w:b/>
          <w:bCs/>
        </w:rPr>
        <w:t>Content Security Policy (CSP):</w:t>
      </w:r>
      <w:r>
        <w:t xml:space="preserve"> Implement a robust CSP to restrict where scripts can be loaded from, significantly reducing XSS impact. </w:t>
      </w:r>
    </w:p>
    <w:p w14:paraId="51CD9E1A" w14:textId="77777777" w:rsidR="007714ED" w:rsidRDefault="007714ED" w:rsidP="007714ED">
      <w:r>
        <w:rPr>
          <w:b/>
          <w:bCs/>
        </w:rPr>
        <w:t>X-Frame-Options:</w:t>
      </w:r>
      <w:r>
        <w:t xml:space="preserve"> Set this header to </w:t>
      </w:r>
      <w:r>
        <w:rPr>
          <w:rStyle w:val="HTMLCode"/>
          <w:rFonts w:ascii="Arial" w:eastAsiaTheme="minorHAnsi" w:hAnsi="Arial" w:cs="Arial"/>
        </w:rPr>
        <w:t>DENY</w:t>
      </w:r>
      <w:r>
        <w:t xml:space="preserve"> or </w:t>
      </w:r>
      <w:r>
        <w:rPr>
          <w:rStyle w:val="HTMLCode"/>
          <w:rFonts w:ascii="Arial" w:eastAsiaTheme="minorHAnsi" w:hAnsi="Arial" w:cs="Arial"/>
        </w:rPr>
        <w:t>SAMEORIGIN</w:t>
      </w:r>
      <w:r>
        <w:t xml:space="preserve"> to prevent clickjacking attacks. </w:t>
      </w:r>
    </w:p>
    <w:p w14:paraId="58371FBD" w14:textId="77777777" w:rsidR="007714ED" w:rsidRDefault="007714ED" w:rsidP="007714ED">
      <w:r>
        <w:rPr>
          <w:b/>
          <w:bCs/>
        </w:rPr>
        <w:t>HTTP Strict Transport Security (HSTS):</w:t>
      </w:r>
      <w:r>
        <w:t xml:space="preserve"> Implement HSTS to ensure all connections are made over HTTPS. </w:t>
      </w:r>
    </w:p>
    <w:p w14:paraId="55C97CC3" w14:textId="77777777" w:rsidR="007714ED" w:rsidRDefault="007714ED" w:rsidP="007714ED">
      <w:pPr>
        <w:pStyle w:val="Heading2"/>
      </w:pPr>
      <w:bookmarkStart w:id="19" w:name="_Toc228521069"/>
      <w:r>
        <w:t>4.4 Lifecycle Management</w:t>
      </w:r>
      <w:bookmarkEnd w:id="19"/>
    </w:p>
    <w:p w14:paraId="22AE5FE4" w14:textId="67B19638" w:rsidR="00505510" w:rsidRPr="005C2F9F" w:rsidRDefault="007714ED" w:rsidP="00505510">
      <w:r>
        <w:rPr>
          <w:b/>
          <w:bCs/>
        </w:rPr>
        <w:t>Patch Management:</w:t>
      </w:r>
      <w:r>
        <w:t xml:space="preserve"> The outdated </w:t>
      </w:r>
      <w:r w:rsidRPr="005C2F9F">
        <w:t>jQuery</w:t>
      </w:r>
      <w:r>
        <w:t xml:space="preserve"> library identified by the scanner must be updated to the latest stable version to eliminate known vulnerabilities. (See</w:t>
      </w:r>
      <w:r w:rsidR="005C2F9F">
        <w:rPr>
          <w:b/>
          <w:bCs/>
        </w:rPr>
        <w:t xml:space="preserve"> </w:t>
      </w:r>
      <w:r w:rsidR="005C2F9F">
        <w:rPr>
          <w:b/>
          <w:bCs/>
        </w:rPr>
        <w:fldChar w:fldCharType="begin"/>
      </w:r>
      <w:r w:rsidR="005C2F9F">
        <w:rPr>
          <w:b/>
          <w:bCs/>
        </w:rPr>
        <w:instrText xml:space="preserve"> REF _Ref228517004 \h </w:instrText>
      </w:r>
      <w:r w:rsidR="005C2F9F">
        <w:rPr>
          <w:b/>
          <w:bCs/>
        </w:rPr>
      </w:r>
      <w:r w:rsidR="005C2F9F">
        <w:rPr>
          <w:b/>
          <w:bCs/>
        </w:rPr>
        <w:fldChar w:fldCharType="separate"/>
      </w:r>
      <w:r w:rsidR="005C2F9F">
        <w:t>Appendix A: OWASP ZAP Automated Dynamic Analysis Report</w:t>
      </w:r>
      <w:r w:rsidR="005C2F9F">
        <w:rPr>
          <w:b/>
          <w:bCs/>
        </w:rPr>
        <w:fldChar w:fldCharType="end"/>
      </w:r>
      <w:r>
        <w:t xml:space="preserve">). </w:t>
      </w:r>
    </w:p>
    <w:bookmarkStart w:id="20" w:name="_Toc22852107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75121797"/>
        <w:docPartObj>
          <w:docPartGallery w:val="Bibliographies"/>
          <w:docPartUnique/>
        </w:docPartObj>
      </w:sdtPr>
      <w:sdtContent>
        <w:p w14:paraId="16A16487" w14:textId="77777777" w:rsidR="00505510" w:rsidRDefault="00505510">
          <w:pPr>
            <w:pStyle w:val="Heading1"/>
          </w:pPr>
          <w:r>
            <w:t>Bibliography</w:t>
          </w:r>
          <w:bookmarkEnd w:id="20"/>
        </w:p>
        <w:sdt>
          <w:sdtPr>
            <w:id w:val="111145805"/>
            <w:bibliography/>
          </w:sdtPr>
          <w:sdtContent>
            <w:p w14:paraId="033FFEBE" w14:textId="77777777" w:rsidR="000E4F6C" w:rsidRDefault="00505510" w:rsidP="000E4F6C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0E4F6C">
                <w:rPr>
                  <w:noProof/>
                </w:rPr>
                <w:t xml:space="preserve">MITRE, 2026. </w:t>
              </w:r>
              <w:r w:rsidR="000E4F6C">
                <w:rPr>
                  <w:i/>
                  <w:iCs/>
                  <w:noProof/>
                </w:rPr>
                <w:t xml:space="preserve">CWE-200: Exposure of Sensitive Information to an Unauthorized Actor. </w:t>
              </w:r>
              <w:r w:rsidR="000E4F6C">
                <w:rPr>
                  <w:noProof/>
                </w:rPr>
                <w:t xml:space="preserve">[Online] </w:t>
              </w:r>
              <w:r w:rsidR="000E4F6C">
                <w:rPr>
                  <w:noProof/>
                </w:rPr>
                <w:br/>
                <w:t xml:space="preserve">Available at: </w:t>
              </w:r>
              <w:r w:rsidR="000E4F6C">
                <w:rPr>
                  <w:noProof/>
                  <w:u w:val="single"/>
                </w:rPr>
                <w:t>https://cwe.mitre.org/data/definitions/200.html</w:t>
              </w:r>
              <w:r w:rsidR="000E4F6C">
                <w:rPr>
                  <w:noProof/>
                </w:rPr>
                <w:br/>
                <w:t>[Accessed 1 May 2026].</w:t>
              </w:r>
            </w:p>
            <w:p w14:paraId="491C7319" w14:textId="77777777" w:rsidR="000E4F6C" w:rsidRDefault="000E4F6C" w:rsidP="000E4F6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MITRE, 2026. </w:t>
              </w:r>
              <w:r>
                <w:rPr>
                  <w:i/>
                  <w:iCs/>
                  <w:noProof/>
                </w:rPr>
                <w:t xml:space="preserve">CWE-352: Cross-Site Request Forgery (CSRF).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https://cwe.mitre.org/data/definitions/352.html</w:t>
              </w:r>
              <w:r>
                <w:rPr>
                  <w:noProof/>
                </w:rPr>
                <w:br/>
                <w:t>[Accessed 1 May 2026].</w:t>
              </w:r>
            </w:p>
            <w:p w14:paraId="63786923" w14:textId="77777777" w:rsidR="000E4F6C" w:rsidRDefault="000E4F6C" w:rsidP="000E4F6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MITRE, 2026. </w:t>
              </w:r>
              <w:r>
                <w:rPr>
                  <w:i/>
                  <w:iCs/>
                  <w:noProof/>
                </w:rPr>
                <w:t xml:space="preserve">CWE-79: Improper Neutralization of Input During Web Page Generation ('Cross-site Scripting').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https://cwe.mitre.org/data/definitions/79.html</w:t>
              </w:r>
              <w:r>
                <w:rPr>
                  <w:noProof/>
                </w:rPr>
                <w:br/>
                <w:t>[Accessed 1 May 2026].</w:t>
              </w:r>
            </w:p>
            <w:p w14:paraId="1D665981" w14:textId="77777777" w:rsidR="000E4F6C" w:rsidRDefault="000E4F6C" w:rsidP="000E4F6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MITRE, 2026. </w:t>
              </w:r>
              <w:r>
                <w:rPr>
                  <w:i/>
                  <w:iCs/>
                  <w:noProof/>
                </w:rPr>
                <w:t xml:space="preserve">CWE-89: Improper Neutralization of Special Elements used in an SQL Command ('SQL Injection').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https://cwe.mitre.org/data/definitions/89.html</w:t>
              </w:r>
              <w:r>
                <w:rPr>
                  <w:noProof/>
                </w:rPr>
                <w:br/>
                <w:t>[Accessed 1 May 2026].</w:t>
              </w:r>
            </w:p>
            <w:p w14:paraId="7A847204" w14:textId="77777777" w:rsidR="000E4F6C" w:rsidRDefault="000E4F6C" w:rsidP="000E4F6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NIST, 2024. </w:t>
              </w:r>
              <w:r>
                <w:rPr>
                  <w:i/>
                  <w:iCs/>
                  <w:noProof/>
                </w:rPr>
                <w:t xml:space="preserve">The NIST Cybersecurity Framework (CSF) 2.0.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https://nvlpubs.nist.gov/nistpubs/CSWP/NIST.CSWP.29.pdf</w:t>
              </w:r>
              <w:r>
                <w:rPr>
                  <w:noProof/>
                </w:rPr>
                <w:br/>
                <w:t>[Accessed 1 May 2026].</w:t>
              </w:r>
            </w:p>
            <w:p w14:paraId="46170095" w14:textId="77777777" w:rsidR="000E4F6C" w:rsidRDefault="000E4F6C" w:rsidP="000E4F6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OWASP, 2025. </w:t>
              </w:r>
              <w:r>
                <w:rPr>
                  <w:i/>
                  <w:iCs/>
                  <w:noProof/>
                </w:rPr>
                <w:t xml:space="preserve">OWASP Top 10:2025.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https://owasp.org/Top10/2025/</w:t>
              </w:r>
              <w:r>
                <w:rPr>
                  <w:noProof/>
                </w:rPr>
                <w:br/>
                <w:t>[Accessed 1 May 2026].</w:t>
              </w:r>
            </w:p>
            <w:p w14:paraId="7B7E3B01" w14:textId="77777777" w:rsidR="000E4F6C" w:rsidRDefault="000E4F6C" w:rsidP="000E4F6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OWASP, 2026. </w:t>
              </w:r>
              <w:r>
                <w:rPr>
                  <w:i/>
                  <w:iCs/>
                  <w:noProof/>
                </w:rPr>
                <w:t xml:space="preserve">Injection Prevention Cheat Sheet.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https://cheatsheetseries.owasp.org/cheatsheets/Injection_Prevention_Cheat_Sheet.html</w:t>
              </w:r>
              <w:r>
                <w:rPr>
                  <w:noProof/>
                </w:rPr>
                <w:br/>
                <w:t>[Accessed 1 May 2026].</w:t>
              </w:r>
            </w:p>
            <w:p w14:paraId="489A5972" w14:textId="481AC448" w:rsidR="00505510" w:rsidRDefault="00505510" w:rsidP="000E4F6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466526A" w14:textId="07AFCB1A" w:rsidR="005D6C6F" w:rsidRDefault="005D6C6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08055D5" w14:textId="77777777" w:rsidR="00DC0EB1" w:rsidRDefault="005D6C6F" w:rsidP="005D6C6F">
      <w:pPr>
        <w:pStyle w:val="Heading1"/>
      </w:pPr>
      <w:bookmarkStart w:id="21" w:name="_Ref228517004"/>
      <w:bookmarkStart w:id="22" w:name="_Ref228516963"/>
      <w:bookmarkStart w:id="23" w:name="_Toc228521071"/>
      <w:r>
        <w:lastRenderedPageBreak/>
        <w:t>Appendix A: OWASP ZAP Automated Dynamic Analysis Report</w:t>
      </w:r>
      <w:bookmarkEnd w:id="21"/>
      <w:bookmarkEnd w:id="23"/>
    </w:p>
    <w:p w14:paraId="1DCE18D5" w14:textId="7DCF3064" w:rsidR="005D6C6F" w:rsidRDefault="005D6C6F" w:rsidP="00DC0EB1">
      <w:r>
        <w:rPr>
          <w:noProof/>
        </w:rPr>
        <w:drawing>
          <wp:inline distT="0" distB="0" distL="0" distR="0" wp14:anchorId="2213D957" wp14:editId="03204DD6">
            <wp:extent cx="4819540" cy="6807200"/>
            <wp:effectExtent l="0" t="0" r="0" b="0"/>
            <wp:docPr id="20170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412" cy="682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</w:p>
    <w:p w14:paraId="6119AD04" w14:textId="77777777" w:rsidR="00DC0EB1" w:rsidRDefault="00DC0EB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4" w:name="_Ref228516954"/>
      <w:r>
        <w:br w:type="page"/>
      </w:r>
    </w:p>
    <w:p w14:paraId="1C2D456E" w14:textId="0956C6EA" w:rsidR="00DC0EB1" w:rsidRDefault="005D6C6F" w:rsidP="00DC0EB1">
      <w:pPr>
        <w:pStyle w:val="Heading1"/>
      </w:pPr>
      <w:bookmarkStart w:id="25" w:name="_Ref228517468"/>
      <w:bookmarkStart w:id="26" w:name="_Toc228521072"/>
      <w:r>
        <w:lastRenderedPageBreak/>
        <w:t>Appendix B: Manual SQL Injection (SQLi) and Authentication Bypass Evidence</w:t>
      </w:r>
      <w:bookmarkEnd w:id="24"/>
      <w:bookmarkEnd w:id="25"/>
      <w:bookmarkEnd w:id="26"/>
    </w:p>
    <w:p w14:paraId="4F386B9A" w14:textId="4571072E" w:rsidR="005D6C6F" w:rsidRDefault="005D6C6F" w:rsidP="00DC0EB1">
      <w:r>
        <w:rPr>
          <w:noProof/>
        </w:rPr>
        <w:drawing>
          <wp:inline distT="0" distB="0" distL="0" distR="0" wp14:anchorId="69E3562E" wp14:editId="21103A3D">
            <wp:extent cx="5731510" cy="3727450"/>
            <wp:effectExtent l="0" t="0" r="0" b="6350"/>
            <wp:docPr id="1356277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77042" name="Picture 1356277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28D0" w14:textId="77777777" w:rsidR="005D6C6F" w:rsidRDefault="005D6C6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FC7E1E" w14:textId="77777777" w:rsidR="00DC0EB1" w:rsidRDefault="005D6C6F" w:rsidP="00DC0EB1">
      <w:pPr>
        <w:pStyle w:val="Heading1"/>
      </w:pPr>
      <w:bookmarkStart w:id="27" w:name="_Ref228516942"/>
      <w:bookmarkStart w:id="28" w:name="_Toc228521073"/>
      <w:r>
        <w:lastRenderedPageBreak/>
        <w:t>Appendix C: Web Server Fingerprinting and HTTP Header</w:t>
      </w:r>
      <w:bookmarkEnd w:id="27"/>
      <w:bookmarkEnd w:id="28"/>
      <w:r>
        <w:t xml:space="preserve"> </w:t>
      </w:r>
    </w:p>
    <w:p w14:paraId="7CDEDF1C" w14:textId="5B48EEC2" w:rsidR="005D6C6F" w:rsidRDefault="005D6C6F" w:rsidP="00DC0EB1">
      <w:r>
        <w:rPr>
          <w:noProof/>
        </w:rPr>
        <w:drawing>
          <wp:inline distT="0" distB="0" distL="0" distR="0" wp14:anchorId="74CAC8B6" wp14:editId="037120D8">
            <wp:extent cx="4817110" cy="3562350"/>
            <wp:effectExtent l="0" t="0" r="0" b="6350"/>
            <wp:docPr id="293457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7890" name="Picture 29345789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356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407EB" w14:textId="77777777" w:rsidR="005D6C6F" w:rsidRDefault="005D6C6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28ABB6A" w14:textId="77777777" w:rsidR="00DC0EB1" w:rsidRDefault="005D6C6F" w:rsidP="005D6C6F">
      <w:pPr>
        <w:pStyle w:val="Heading1"/>
      </w:pPr>
      <w:bookmarkStart w:id="29" w:name="_Ref228516931"/>
      <w:bookmarkStart w:id="30" w:name="_Ref228516861"/>
      <w:bookmarkStart w:id="31" w:name="_Toc228521074"/>
      <w:r>
        <w:lastRenderedPageBreak/>
        <w:t>Appendix D: Nessus Network Security Scan: Infrastructure Overview</w:t>
      </w:r>
      <w:bookmarkEnd w:id="29"/>
      <w:bookmarkEnd w:id="31"/>
    </w:p>
    <w:p w14:paraId="6D1305B5" w14:textId="3A7B77C3" w:rsidR="005D6C6F" w:rsidRPr="007714ED" w:rsidRDefault="005D6C6F">
      <w:r>
        <w:rPr>
          <w:noProof/>
        </w:rPr>
        <w:drawing>
          <wp:inline distT="0" distB="0" distL="0" distR="0" wp14:anchorId="4E4E8EAA" wp14:editId="5887D251">
            <wp:extent cx="5731510" cy="3727450"/>
            <wp:effectExtent l="0" t="0" r="0" b="6350"/>
            <wp:docPr id="1091420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0124" name="Picture 10914201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1034C32C" w14:textId="499513A3" w:rsidR="005D6C6F" w:rsidRDefault="005D6C6F" w:rsidP="005D6C6F">
      <w:pPr>
        <w:pStyle w:val="Heading1"/>
      </w:pPr>
      <w:bookmarkStart w:id="32" w:name="_Ref228517452"/>
      <w:bookmarkStart w:id="33" w:name="_Toc228521075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912CA62" wp14:editId="3D85FEAC">
            <wp:simplePos x="0" y="0"/>
            <wp:positionH relativeFrom="column">
              <wp:posOffset>0</wp:posOffset>
            </wp:positionH>
            <wp:positionV relativeFrom="paragraph">
              <wp:posOffset>826135</wp:posOffset>
            </wp:positionV>
            <wp:extent cx="5731510" cy="3727450"/>
            <wp:effectExtent l="0" t="0" r="0" b="6350"/>
            <wp:wrapSquare wrapText="bothSides"/>
            <wp:docPr id="1585743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3259" name="Picture 15857432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Appendix E: Nessus Detailed Vulnerability and Service Enumeration</w:t>
      </w:r>
      <w:bookmarkEnd w:id="32"/>
      <w:bookmarkEnd w:id="33"/>
    </w:p>
    <w:p w14:paraId="363ACA04" w14:textId="77777777" w:rsidR="00DC0EB1" w:rsidRDefault="00DC0EB1" w:rsidP="00DC0EB1"/>
    <w:p w14:paraId="1D1E4987" w14:textId="2DF77D69" w:rsidR="00DC0EB1" w:rsidRDefault="00DC0EB1">
      <w:r>
        <w:br w:type="page"/>
      </w:r>
    </w:p>
    <w:p w14:paraId="0A92F5EC" w14:textId="03C0A84A" w:rsidR="00DC0EB1" w:rsidRDefault="00DC0EB1" w:rsidP="00DC0EB1">
      <w:pPr>
        <w:pStyle w:val="Heading1"/>
      </w:pPr>
      <w:bookmarkStart w:id="34" w:name="_Ref228517414"/>
      <w:bookmarkStart w:id="35" w:name="_Toc228521076"/>
      <w:r>
        <w:lastRenderedPageBreak/>
        <w:t xml:space="preserve">Appendix F: </w:t>
      </w:r>
      <w:proofErr w:type="spellStart"/>
      <w:r>
        <w:t>NSLookup</w:t>
      </w:r>
      <w:proofErr w:type="spellEnd"/>
      <w:r>
        <w:t xml:space="preserve"> Results</w:t>
      </w:r>
      <w:bookmarkEnd w:id="34"/>
      <w:bookmarkEnd w:id="35"/>
    </w:p>
    <w:p w14:paraId="7F211AF2" w14:textId="77777777" w:rsidR="00DC0EB1" w:rsidRDefault="00DC0EB1" w:rsidP="00DC0EB1"/>
    <w:p w14:paraId="74104520" w14:textId="345418FD" w:rsidR="00DC0EB1" w:rsidRPr="00DC0EB1" w:rsidRDefault="00DC0EB1" w:rsidP="00DC0EB1">
      <w:r>
        <w:rPr>
          <w:noProof/>
        </w:rPr>
        <w:drawing>
          <wp:inline distT="0" distB="0" distL="0" distR="0" wp14:anchorId="194F7921" wp14:editId="5438774F">
            <wp:extent cx="5731510" cy="3727450"/>
            <wp:effectExtent l="0" t="0" r="0" b="6350"/>
            <wp:docPr id="1924095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95057" name="Picture 19240950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EB1" w:rsidRPr="00DC0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028"/>
    <w:multiLevelType w:val="hybridMultilevel"/>
    <w:tmpl w:val="994681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67CE"/>
    <w:multiLevelType w:val="multilevel"/>
    <w:tmpl w:val="416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290B"/>
    <w:multiLevelType w:val="multilevel"/>
    <w:tmpl w:val="9E3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B0839"/>
    <w:multiLevelType w:val="hybridMultilevel"/>
    <w:tmpl w:val="400A0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A0C00"/>
    <w:multiLevelType w:val="multilevel"/>
    <w:tmpl w:val="156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41804"/>
    <w:multiLevelType w:val="multilevel"/>
    <w:tmpl w:val="7D1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A0EAF"/>
    <w:multiLevelType w:val="multilevel"/>
    <w:tmpl w:val="DF3E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62553"/>
    <w:multiLevelType w:val="multilevel"/>
    <w:tmpl w:val="2F2C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A0704"/>
    <w:multiLevelType w:val="multilevel"/>
    <w:tmpl w:val="B6D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550DA"/>
    <w:multiLevelType w:val="multilevel"/>
    <w:tmpl w:val="1A5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A7875"/>
    <w:multiLevelType w:val="multilevel"/>
    <w:tmpl w:val="FC1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B747D"/>
    <w:multiLevelType w:val="multilevel"/>
    <w:tmpl w:val="603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F6237"/>
    <w:multiLevelType w:val="multilevel"/>
    <w:tmpl w:val="437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910D3"/>
    <w:multiLevelType w:val="multilevel"/>
    <w:tmpl w:val="1D9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26419"/>
    <w:multiLevelType w:val="multilevel"/>
    <w:tmpl w:val="A72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04541"/>
    <w:multiLevelType w:val="multilevel"/>
    <w:tmpl w:val="2FFE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920A3C"/>
    <w:multiLevelType w:val="multilevel"/>
    <w:tmpl w:val="C59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41E05"/>
    <w:multiLevelType w:val="multilevel"/>
    <w:tmpl w:val="D2C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7224F"/>
    <w:multiLevelType w:val="multilevel"/>
    <w:tmpl w:val="C44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22CD6"/>
    <w:multiLevelType w:val="multilevel"/>
    <w:tmpl w:val="AC9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264883">
    <w:abstractNumId w:val="5"/>
  </w:num>
  <w:num w:numId="2" w16cid:durableId="1936476956">
    <w:abstractNumId w:val="16"/>
  </w:num>
  <w:num w:numId="3" w16cid:durableId="1043364196">
    <w:abstractNumId w:val="10"/>
  </w:num>
  <w:num w:numId="4" w16cid:durableId="80806771">
    <w:abstractNumId w:val="13"/>
  </w:num>
  <w:num w:numId="5" w16cid:durableId="1826706348">
    <w:abstractNumId w:val="19"/>
  </w:num>
  <w:num w:numId="6" w16cid:durableId="594899039">
    <w:abstractNumId w:val="9"/>
  </w:num>
  <w:num w:numId="7" w16cid:durableId="1408192589">
    <w:abstractNumId w:val="8"/>
  </w:num>
  <w:num w:numId="8" w16cid:durableId="1252161967">
    <w:abstractNumId w:val="15"/>
  </w:num>
  <w:num w:numId="9" w16cid:durableId="1844586716">
    <w:abstractNumId w:val="7"/>
  </w:num>
  <w:num w:numId="10" w16cid:durableId="2093698536">
    <w:abstractNumId w:val="3"/>
  </w:num>
  <w:num w:numId="11" w16cid:durableId="268438293">
    <w:abstractNumId w:val="6"/>
  </w:num>
  <w:num w:numId="12" w16cid:durableId="761493845">
    <w:abstractNumId w:val="0"/>
  </w:num>
  <w:num w:numId="13" w16cid:durableId="704721088">
    <w:abstractNumId w:val="11"/>
  </w:num>
  <w:num w:numId="14" w16cid:durableId="196509021">
    <w:abstractNumId w:val="17"/>
  </w:num>
  <w:num w:numId="15" w16cid:durableId="862128300">
    <w:abstractNumId w:val="4"/>
  </w:num>
  <w:num w:numId="16" w16cid:durableId="1252814994">
    <w:abstractNumId w:val="18"/>
  </w:num>
  <w:num w:numId="17" w16cid:durableId="1039283480">
    <w:abstractNumId w:val="14"/>
  </w:num>
  <w:num w:numId="18" w16cid:durableId="1603955685">
    <w:abstractNumId w:val="1"/>
  </w:num>
  <w:num w:numId="19" w16cid:durableId="461314674">
    <w:abstractNumId w:val="2"/>
  </w:num>
  <w:num w:numId="20" w16cid:durableId="1205605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10"/>
    <w:rsid w:val="000B393D"/>
    <w:rsid w:val="000E4F6C"/>
    <w:rsid w:val="001264AB"/>
    <w:rsid w:val="002D4100"/>
    <w:rsid w:val="002E27E7"/>
    <w:rsid w:val="0040202E"/>
    <w:rsid w:val="00427620"/>
    <w:rsid w:val="00463322"/>
    <w:rsid w:val="004B2528"/>
    <w:rsid w:val="00505510"/>
    <w:rsid w:val="005C2F9F"/>
    <w:rsid w:val="005D6C6F"/>
    <w:rsid w:val="00664F4D"/>
    <w:rsid w:val="007714ED"/>
    <w:rsid w:val="00954965"/>
    <w:rsid w:val="009E0E33"/>
    <w:rsid w:val="00BE0003"/>
    <w:rsid w:val="00C9623B"/>
    <w:rsid w:val="00D80BA2"/>
    <w:rsid w:val="00DC0EB1"/>
    <w:rsid w:val="00F13551"/>
    <w:rsid w:val="00F6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2F81"/>
  <w15:chartTrackingRefBased/>
  <w15:docId w15:val="{A03562F9-2AB0-0149-A510-E616268A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1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05510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5510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505510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05510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05510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05510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05510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05510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05510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5510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551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05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6">
    <w:name w:val="citation-26"/>
    <w:basedOn w:val="DefaultParagraphFont"/>
    <w:rsid w:val="00505510"/>
  </w:style>
  <w:style w:type="character" w:styleId="HTMLCode">
    <w:name w:val="HTML Code"/>
    <w:basedOn w:val="DefaultParagraphFont"/>
    <w:uiPriority w:val="99"/>
    <w:semiHidden/>
    <w:unhideWhenUsed/>
    <w:rsid w:val="00505510"/>
    <w:rPr>
      <w:rFonts w:ascii="Courier New" w:eastAsia="Times New Roman" w:hAnsi="Courier New" w:cs="Courier New"/>
      <w:sz w:val="20"/>
      <w:szCs w:val="20"/>
    </w:rPr>
  </w:style>
  <w:style w:type="character" w:customStyle="1" w:styleId="citation-27">
    <w:name w:val="citation-27"/>
    <w:basedOn w:val="DefaultParagraphFont"/>
    <w:rsid w:val="00505510"/>
  </w:style>
  <w:style w:type="character" w:styleId="Strong">
    <w:name w:val="Strong"/>
    <w:basedOn w:val="DefaultParagraphFont"/>
    <w:uiPriority w:val="22"/>
    <w:qFormat/>
    <w:rsid w:val="00505510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DC0EB1"/>
  </w:style>
  <w:style w:type="table" w:styleId="TableGrid">
    <w:name w:val="Table Grid"/>
    <w:basedOn w:val="TableNormal"/>
    <w:uiPriority w:val="39"/>
    <w:rsid w:val="00664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OWA25</b:Tag>
    <b:SourceType>InternetSite</b:SourceType>
    <b:Guid>{1ACB9A57-E03B-BD42-B604-30EF9F4D1ED0}</b:Guid>
    <b:Author>
      <b:Author>
        <b:Corporate>OWASP</b:Corporate>
      </b:Author>
    </b:Author>
    <b:Title>OWASP Top 10:2025</b:Title>
    <b:URL>https://owasp.org/Top10/2025/</b:URL>
    <b:Year>2025</b:Year>
    <b:YearAccessed>2026</b:YearAccessed>
    <b:MonthAccessed>May</b:MonthAccessed>
    <b:DayAccessed>1</b:DayAccessed>
    <b:RefOrder>1</b:RefOrder>
  </b:Source>
  <b:Source>
    <b:Tag>NIS24</b:Tag>
    <b:SourceType>DocumentFromInternetSite</b:SourceType>
    <b:Guid>{C28C9CCC-B532-C849-9CAD-2A0225A9D6DC}</b:Guid>
    <b:Title>The NIST Cybersecurity Framework (CSF) 2.0</b:Title>
    <b:URL>https://nvlpubs.nist.gov/nistpubs/CSWP/NIST.CSWP.29.pdf</b:URL>
    <b:Year>2024</b:Year>
    <b:YearAccessed>2026</b:YearAccessed>
    <b:MonthAccessed>May</b:MonthAccessed>
    <b:DayAccessed>1</b:DayAccessed>
    <b:Author>
      <b:Author>
        <b:Corporate>NIST</b:Corporate>
      </b:Author>
    </b:Author>
    <b:Month>February</b:Month>
    <b:Day>26</b:Day>
    <b:RefOrder>2</b:RefOrder>
  </b:Source>
  <b:Source>
    <b:Tag>MIT26</b:Tag>
    <b:SourceType>InternetSite</b:SourceType>
    <b:Guid>{64C0957E-61EB-5046-BE9A-FEA97B469299}</b:Guid>
    <b:Title>CWE-89: Improper Neutralization of Special Elements used in an SQL Command ('SQL Injection')</b:Title>
    <b:URL>https://cwe.mitre.org/data/definitions/89.html</b:URL>
    <b:Year>2026</b:Year>
    <b:YearAccessed>2026</b:YearAccessed>
    <b:MonthAccessed>May</b:MonthAccessed>
    <b:DayAccessed>1</b:DayAccessed>
    <b:Author>
      <b:Author>
        <b:Corporate>MITRE</b:Corporate>
      </b:Author>
    </b:Author>
    <b:RefOrder>3</b:RefOrder>
  </b:Source>
  <b:Source>
    <b:Tag>MIT261</b:Tag>
    <b:SourceType>InternetSite</b:SourceType>
    <b:Guid>{5B0AC336-FF50-C246-92D6-D98B41AE421A}</b:Guid>
    <b:Author>
      <b:Author>
        <b:Corporate>MITRE</b:Corporate>
      </b:Author>
    </b:Author>
    <b:Title>CWE-79: Improper Neutralization of Input During Web Page Generation ('Cross-site Scripting')</b:Title>
    <b:URL>https://cwe.mitre.org/data/definitions/79.html</b:URL>
    <b:Year>2026</b:Year>
    <b:YearAccessed>2026</b:YearAccessed>
    <b:MonthAccessed>May</b:MonthAccessed>
    <b:DayAccessed>1</b:DayAccessed>
    <b:RefOrder>4</b:RefOrder>
  </b:Source>
  <b:Source>
    <b:Tag>MIT262</b:Tag>
    <b:SourceType>InternetSite</b:SourceType>
    <b:Guid>{790CEA87-D59E-2045-B283-09F14116D4ED}</b:Guid>
    <b:Author>
      <b:Author>
        <b:Corporate>MITRE</b:Corporate>
      </b:Author>
    </b:Author>
    <b:Title>CWE-352: Cross-Site Request Forgery (CSRF)</b:Title>
    <b:URL>https://cwe.mitre.org/data/definitions/352.html</b:URL>
    <b:Year>2026</b:Year>
    <b:YearAccessed>2026</b:YearAccessed>
    <b:MonthAccessed>May</b:MonthAccessed>
    <b:DayAccessed>1</b:DayAccessed>
    <b:RefOrder>5</b:RefOrder>
  </b:Source>
  <b:Source>
    <b:Tag>MIT263</b:Tag>
    <b:SourceType>InternetSite</b:SourceType>
    <b:Guid>{FBEE46BA-6B20-144E-AA0B-80E197C2DC98}</b:Guid>
    <b:Author>
      <b:Author>
        <b:Corporate>MITRE</b:Corporate>
      </b:Author>
    </b:Author>
    <b:Title> CWE-200: Exposure of Sensitive Information to an Unauthorized Actor</b:Title>
    <b:URL>https://cwe.mitre.org/data/definitions/200.html</b:URL>
    <b:Year>2026</b:Year>
    <b:YearAccessed>2026</b:YearAccessed>
    <b:MonthAccessed>May</b:MonthAccessed>
    <b:DayAccessed>1</b:DayAccessed>
    <b:RefOrder>6</b:RefOrder>
  </b:Source>
  <b:Source>
    <b:Tag>OWA26</b:Tag>
    <b:SourceType>InternetSite</b:SourceType>
    <b:Guid>{6D78F32F-0CF8-6A45-B39C-95D400AC9A1B}</b:Guid>
    <b:Author>
      <b:Author>
        <b:Corporate>OWASP</b:Corporate>
      </b:Author>
    </b:Author>
    <b:Title>Injection Prevention Cheat Sheet</b:Title>
    <b:URL>https://cheatsheetseries.owasp.org/cheatsheets/Injection_Prevention_Cheat_Sheet.html</b:URL>
    <b:Year>2026</b:Year>
    <b:YearAccessed>2026</b:YearAccessed>
    <b:MonthAccessed>May</b:MonthAccessed>
    <b:DayAccessed>1</b:DayAccessed>
    <b:RefOrder>9</b:RefOrder>
  </b:Source>
  <b:Source>
    <b:Tag>Eur16</b:Tag>
    <b:SourceType>DocumentFromInternetSite</b:SourceType>
    <b:Guid>{FBA94F50-ABFB-7240-AA4B-448184B95971}</b:Guid>
    <b:Title>REGULATION (EU) 2016/679 OF THE EUROPEAN PARLIAMENT AND OF THE COUNCIL </b:Title>
    <b:URL>https://eur-lex.europa.eu/legal-content/EN/TXT/PDF/?uri=CELEX:32016R0679</b:URL>
    <b:Year>2016</b:Year>
    <b:YearAccessed>2026</b:YearAccessed>
    <b:MonthAccessed>May</b:MonthAccessed>
    <b:DayAccessed>1</b:DayAccessed>
    <b:Author>
      <b:Author>
        <b:Corporate>European Union</b:Corporate>
      </b:Author>
    </b:Author>
    <b:Month>April</b:Month>
    <b:Day>27</b:Day>
    <b:RefOrder>7</b:RefOrder>
  </b:Source>
  <b:Source>
    <b:Tag>Bar26</b:Tag>
    <b:SourceType>InternetSite</b:SourceType>
    <b:Guid>{1E989BB1-FD5F-FC40-99C8-A58E1D1C42F0}</b:Guid>
    <b:Author>
      <b:Author>
        <b:Corporate>Barclays Bank</b:Corporate>
      </b:Author>
    </b:Author>
    <b:Title>Beginner’s guide to PCI DSS</b:Title>
    <b:URL>https://www.barclaycard.co.uk/business/accepting-payments/learn-about-taking-payments/beginners-guide-pci-dss</b:URL>
    <b:Year>2026</b:Year>
    <b:YearAccessed>2026</b:YearAccessed>
    <b:MonthAccessed>May</b:MonthAccessed>
    <b:DayAccessed>1</b:DayAccessed>
    <b:RefOrder>8</b:RefOrder>
  </b:Source>
</b:Sources>
</file>

<file path=customXml/itemProps1.xml><?xml version="1.0" encoding="utf-8"?>
<ds:datastoreItem xmlns:ds="http://schemas.openxmlformats.org/officeDocument/2006/customXml" ds:itemID="{12570FC6-75F5-8E47-A6C1-D66A2E148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2360</Words>
  <Characters>13452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Fraser [Student-PECS]</dc:creator>
  <cp:keywords/>
  <dc:description/>
  <cp:lastModifiedBy>Molly Fraser [Student-PECS]</cp:lastModifiedBy>
  <cp:revision>17</cp:revision>
  <dcterms:created xsi:type="dcterms:W3CDTF">2026-04-30T07:09:00Z</dcterms:created>
  <dcterms:modified xsi:type="dcterms:W3CDTF">2026-05-01T08:50:00Z</dcterms:modified>
</cp:coreProperties>
</file>