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1982" w:rsidRPr="001E1982" w:rsidRDefault="001E1982" w:rsidP="001E1982">
      <w:pPr>
        <w:pStyle w:val="Title"/>
        <w:rPr>
          <w:rFonts w:eastAsia="Times New Roman"/>
          <w:lang w:eastAsia="en-GB"/>
        </w:rPr>
      </w:pPr>
      <w:r w:rsidRPr="001E1982">
        <w:rPr>
          <w:rFonts w:eastAsia="Times New Roman"/>
          <w:lang w:eastAsia="en-GB"/>
        </w:rPr>
        <w:t>Disaster Recovery Plan (DRP) for 'Global Retail Cloud'</w:t>
      </w:r>
    </w:p>
    <w:p w:rsidR="001E1982" w:rsidRPr="001E1982" w:rsidRDefault="001E1982" w:rsidP="001E1982">
      <w:pPr>
        <w:pStyle w:val="Heading1"/>
        <w:rPr>
          <w:rFonts w:eastAsia="Times New Roman"/>
          <w:lang w:eastAsia="en-GB"/>
        </w:rPr>
      </w:pPr>
      <w:r w:rsidRPr="001E1982">
        <w:rPr>
          <w:rFonts w:eastAsia="Times New Roman"/>
          <w:lang w:eastAsia="en-GB"/>
        </w:rPr>
        <w:t>1. Organisational Profile and Identified Risks</w:t>
      </w:r>
    </w:p>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Global Retail Cloud</w:t>
      </w:r>
      <w:r w:rsidRPr="001E1982">
        <w:rPr>
          <w:rFonts w:ascii="Arial" w:eastAsia="Times New Roman" w:hAnsi="Arial" w:cs="Arial"/>
          <w:color w:val="1F1F1F"/>
          <w:kern w:val="0"/>
          <w:lang w:eastAsia="en-GB"/>
          <w14:ligatures w14:val="none"/>
        </w:rPr>
        <w:t xml:space="preserve"> is a hypothetical, high-traffic e-commerce platform operating entirely on public cloud infrastructure (e.g., AWS/Azure). Its core services include a transactional database, web servers, and a product catalogue. High availability and data integrity are crucial, as every minute of downtime directly equates to lost revenue and customer trust.</w:t>
      </w:r>
    </w:p>
    <w:p w:rsidR="001E1982" w:rsidRPr="001E1982" w:rsidRDefault="001E1982" w:rsidP="001E1982">
      <w:pPr>
        <w:pStyle w:val="Heading2"/>
        <w:rPr>
          <w:rFonts w:eastAsia="Times New Roman"/>
          <w:lang w:eastAsia="en-GB"/>
        </w:rPr>
      </w:pPr>
      <w:r w:rsidRPr="001E1982">
        <w:rPr>
          <w:rFonts w:eastAsia="Times New Roman"/>
          <w:lang w:eastAsia="en-GB"/>
        </w:rPr>
        <w:t>Identified Risks and Potential Impact</w:t>
      </w:r>
    </w:p>
    <w:tbl>
      <w:tblPr>
        <w:tblW w:w="0" w:type="auto"/>
        <w:tblCellSpacing w:w="15" w:type="dxa"/>
        <w:tblCellMar>
          <w:left w:w="0" w:type="dxa"/>
          <w:right w:w="0" w:type="dxa"/>
        </w:tblCellMar>
        <w:tblLook w:val="04A0" w:firstRow="1" w:lastRow="0" w:firstColumn="1" w:lastColumn="0" w:noHBand="0" w:noVBand="1"/>
      </w:tblPr>
      <w:tblGrid>
        <w:gridCol w:w="1746"/>
        <w:gridCol w:w="2566"/>
        <w:gridCol w:w="2907"/>
        <w:gridCol w:w="1791"/>
      </w:tblGrid>
      <w:tr w:rsidR="001E1982" w:rsidRPr="001E198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Specific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Potential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Severity</w:t>
            </w:r>
          </w:p>
        </w:tc>
      </w:tr>
      <w:tr w:rsidR="001E1982" w:rsidRPr="001E1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System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Regional Cloud Data Centre Outage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Complete cessation of all sales, loss of real-time transactional data, and severe reputational damage.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Catastrophic</w:t>
            </w:r>
          </w:p>
        </w:tc>
      </w:tr>
      <w:tr w:rsidR="001E1982" w:rsidRPr="001E1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Cyberattack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Database Corruption or Encryption (e.g., Ransomware)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Loss of customer data (PII), regulatory fines (GDPR), inability to process orders, and prolonged recovery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High</w:t>
            </w:r>
          </w:p>
        </w:tc>
      </w:tr>
      <w:tr w:rsidR="001E1982" w:rsidRPr="001E1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Human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Accidental Deletion or Misconfiguration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Loss of application configuration or critical production data, leading to intermittent service failure or partial outage.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Medium-High</w:t>
            </w:r>
          </w:p>
        </w:tc>
      </w:tr>
      <w:tr w:rsidR="001E1982" w:rsidRPr="001E1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Supply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Third-Party API Failure (e.g., payment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Inability to complete transactions, leading to cart abandonment and revenue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Medium</w:t>
            </w:r>
          </w:p>
        </w:tc>
      </w:tr>
    </w:tbl>
    <w:p w:rsidR="001E1982" w:rsidRPr="001E1982" w:rsidRDefault="001E1982" w:rsidP="001E1982">
      <w:pPr>
        <w:pStyle w:val="Heading1"/>
        <w:rPr>
          <w:rFonts w:eastAsia="Times New Roman"/>
          <w:lang w:eastAsia="en-GB"/>
        </w:rPr>
      </w:pPr>
      <w:r w:rsidRPr="001E1982">
        <w:rPr>
          <w:rFonts w:eastAsia="Times New Roman"/>
          <w:lang w:eastAsia="en-GB"/>
        </w:rPr>
        <w:lastRenderedPageBreak/>
        <w:t>2. Disaster Recovery Strategy (Three-Phase Approach)</w:t>
      </w:r>
    </w:p>
    <w:p w:rsidR="001E1982" w:rsidRPr="001E1982" w:rsidRDefault="001E1982" w:rsidP="001E1982">
      <w:pPr>
        <w:spacing w:after="24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lang w:eastAsia="en-GB"/>
          <w14:ligatures w14:val="none"/>
        </w:rPr>
        <w:t>The objective is to achieve a Recovery Point Objective (RPO) of under 15 minutes and a Recovery Time Objective (RTO) of under 4 hours for critical services (database and web front-end) to minimise financial and reputational damage.</w:t>
      </w:r>
    </w:p>
    <w:p w:rsidR="001E1982" w:rsidRPr="001E1982" w:rsidRDefault="001E1982" w:rsidP="001E1982">
      <w:pPr>
        <w:pStyle w:val="Heading2"/>
        <w:rPr>
          <w:rFonts w:eastAsia="Times New Roman"/>
          <w:lang w:eastAsia="en-GB"/>
        </w:rPr>
      </w:pPr>
      <w:r w:rsidRPr="001E1982">
        <w:rPr>
          <w:rFonts w:eastAsia="Times New Roman"/>
          <w:lang w:eastAsia="en-GB"/>
        </w:rPr>
        <w:t>Phase 1: Preparation (Prevention and Readiness)</w:t>
      </w:r>
    </w:p>
    <w:p w:rsidR="001E1982" w:rsidRPr="001E1982" w:rsidRDefault="001E1982" w:rsidP="001E1982">
      <w:pPr>
        <w:numPr>
          <w:ilvl w:val="0"/>
          <w:numId w:val="1"/>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Architecture:</w:t>
      </w:r>
      <w:r w:rsidRPr="001E1982">
        <w:rPr>
          <w:rFonts w:ascii="Arial" w:eastAsia="Times New Roman" w:hAnsi="Arial" w:cs="Arial"/>
          <w:color w:val="1F1F1F"/>
          <w:kern w:val="0"/>
          <w:lang w:eastAsia="en-GB"/>
          <w14:ligatures w14:val="none"/>
        </w:rPr>
        <w:t xml:space="preserve"> Implement a </w:t>
      </w:r>
      <w:r w:rsidRPr="001E1982">
        <w:rPr>
          <w:rFonts w:ascii="Arial" w:eastAsia="Times New Roman" w:hAnsi="Arial" w:cs="Arial"/>
          <w:color w:val="1F1F1F"/>
          <w:kern w:val="0"/>
          <w:bdr w:val="none" w:sz="0" w:space="0" w:color="auto" w:frame="1"/>
          <w:lang w:eastAsia="en-GB"/>
          <w14:ligatures w14:val="none"/>
        </w:rPr>
        <w:t>Multi-Region Active-Passive Architecture</w:t>
      </w:r>
      <w:r w:rsidRPr="001E1982">
        <w:rPr>
          <w:rFonts w:ascii="Arial" w:eastAsia="Times New Roman" w:hAnsi="Arial" w:cs="Arial"/>
          <w:color w:val="1F1F1F"/>
          <w:kern w:val="0"/>
          <w:lang w:eastAsia="en-GB"/>
          <w14:ligatures w14:val="none"/>
        </w:rPr>
        <w:t>. The primary region (Active) handles all traffic, while the secondary region (Passive) holds constantly updated copies of the data and environment, ready for immediate failover.</w:t>
      </w:r>
    </w:p>
    <w:p w:rsidR="001E1982" w:rsidRPr="001E1982" w:rsidRDefault="001E1982" w:rsidP="001E1982">
      <w:pPr>
        <w:numPr>
          <w:ilvl w:val="0"/>
          <w:numId w:val="1"/>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Backups and Replication:</w:t>
      </w:r>
    </w:p>
    <w:p w:rsidR="001E1982" w:rsidRPr="001E1982" w:rsidRDefault="001E1982" w:rsidP="001E1982">
      <w:pPr>
        <w:numPr>
          <w:ilvl w:val="1"/>
          <w:numId w:val="1"/>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lang w:eastAsia="en-GB"/>
          <w14:ligatures w14:val="none"/>
        </w:rPr>
        <w:t xml:space="preserve">Use </w:t>
      </w:r>
      <w:r w:rsidRPr="001E1982">
        <w:rPr>
          <w:rFonts w:ascii="Arial" w:eastAsia="Times New Roman" w:hAnsi="Arial" w:cs="Arial"/>
          <w:color w:val="1F1F1F"/>
          <w:kern w:val="0"/>
          <w:bdr w:val="none" w:sz="0" w:space="0" w:color="auto" w:frame="1"/>
          <w:lang w:eastAsia="en-GB"/>
          <w14:ligatures w14:val="none"/>
        </w:rPr>
        <w:t>Continuous Data Protection (CDP)</w:t>
      </w:r>
      <w:r w:rsidRPr="001E1982">
        <w:rPr>
          <w:rFonts w:ascii="Arial" w:eastAsia="Times New Roman" w:hAnsi="Arial" w:cs="Arial"/>
          <w:color w:val="1F1F1F"/>
          <w:kern w:val="0"/>
          <w:lang w:eastAsia="en-GB"/>
          <w14:ligatures w14:val="none"/>
        </w:rPr>
        <w:t xml:space="preserve"> tools, such as </w:t>
      </w:r>
      <w:r w:rsidRPr="001E1982">
        <w:rPr>
          <w:rFonts w:ascii="Arial" w:eastAsia="Times New Roman" w:hAnsi="Arial" w:cs="Arial"/>
          <w:color w:val="1F1F1F"/>
          <w:kern w:val="0"/>
          <w:bdr w:val="none" w:sz="0" w:space="0" w:color="auto" w:frame="1"/>
          <w:lang w:eastAsia="en-GB"/>
          <w14:ligatures w14:val="none"/>
        </w:rPr>
        <w:t>AWS Elastic Disaster Recovery (DRS)</w:t>
      </w:r>
      <w:r w:rsidRPr="001E1982">
        <w:rPr>
          <w:rFonts w:ascii="Arial" w:eastAsia="Times New Roman" w:hAnsi="Arial" w:cs="Arial"/>
          <w:color w:val="1F1F1F"/>
          <w:kern w:val="0"/>
          <w:lang w:eastAsia="en-GB"/>
          <w14:ligatures w14:val="none"/>
        </w:rPr>
        <w:t xml:space="preserve"> or Azure Site Recovery, to replicate the primary transactional database (DB) to the Passive region with near real-time synchronisation.</w:t>
      </w:r>
    </w:p>
    <w:p w:rsidR="001E1982" w:rsidRPr="001E1982" w:rsidRDefault="001E1982" w:rsidP="001E1982">
      <w:pPr>
        <w:numPr>
          <w:ilvl w:val="1"/>
          <w:numId w:val="1"/>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lang w:eastAsia="en-GB"/>
          <w14:ligatures w14:val="none"/>
        </w:rPr>
        <w:t xml:space="preserve">Employ immutable, air-gapped backups for application configurations and non-transactional data, stored using a tool like </w:t>
      </w:r>
      <w:proofErr w:type="spellStart"/>
      <w:r w:rsidRPr="001E1982">
        <w:rPr>
          <w:rFonts w:ascii="Arial" w:eastAsia="Times New Roman" w:hAnsi="Arial" w:cs="Arial"/>
          <w:color w:val="1F1F1F"/>
          <w:kern w:val="0"/>
          <w:bdr w:val="none" w:sz="0" w:space="0" w:color="auto" w:frame="1"/>
          <w:lang w:eastAsia="en-GB"/>
          <w14:ligatures w14:val="none"/>
        </w:rPr>
        <w:t>Bacula</w:t>
      </w:r>
      <w:proofErr w:type="spellEnd"/>
      <w:r w:rsidRPr="001E1982">
        <w:rPr>
          <w:rFonts w:ascii="Arial" w:eastAsia="Times New Roman" w:hAnsi="Arial" w:cs="Arial"/>
          <w:color w:val="1F1F1F"/>
          <w:kern w:val="0"/>
          <w:lang w:eastAsia="en-GB"/>
          <w14:ligatures w14:val="none"/>
        </w:rPr>
        <w:t xml:space="preserve"> (or cloud native equivalent) in a separate, isolated third region. This protects against ransomware propagation.</w:t>
      </w:r>
    </w:p>
    <w:p w:rsidR="001E1982" w:rsidRPr="001E1982" w:rsidRDefault="001E1982" w:rsidP="001E1982">
      <w:pPr>
        <w:numPr>
          <w:ilvl w:val="0"/>
          <w:numId w:val="1"/>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Testing:</w:t>
      </w:r>
      <w:r w:rsidRPr="001E1982">
        <w:rPr>
          <w:rFonts w:ascii="Arial" w:eastAsia="Times New Roman" w:hAnsi="Arial" w:cs="Arial"/>
          <w:color w:val="1F1F1F"/>
          <w:kern w:val="0"/>
          <w:lang w:eastAsia="en-GB"/>
          <w14:ligatures w14:val="none"/>
        </w:rPr>
        <w:t xml:space="preserve"> Conduct mandatory, semi-annual, full </w:t>
      </w:r>
      <w:r w:rsidRPr="001E1982">
        <w:rPr>
          <w:rFonts w:ascii="Arial" w:eastAsia="Times New Roman" w:hAnsi="Arial" w:cs="Arial"/>
          <w:color w:val="1F1F1F"/>
          <w:kern w:val="0"/>
          <w:bdr w:val="none" w:sz="0" w:space="0" w:color="auto" w:frame="1"/>
          <w:lang w:eastAsia="en-GB"/>
          <w14:ligatures w14:val="none"/>
        </w:rPr>
        <w:t>Disaster Recovery Drills</w:t>
      </w:r>
      <w:r w:rsidRPr="001E1982">
        <w:rPr>
          <w:rFonts w:ascii="Arial" w:eastAsia="Times New Roman" w:hAnsi="Arial" w:cs="Arial"/>
          <w:color w:val="1F1F1F"/>
          <w:kern w:val="0"/>
          <w:lang w:eastAsia="en-GB"/>
          <w14:ligatures w14:val="none"/>
        </w:rPr>
        <w:t xml:space="preserve"> to validate RTO/RPO metrics and train the response team.</w:t>
      </w:r>
    </w:p>
    <w:p w:rsidR="001E1982" w:rsidRPr="001E1982" w:rsidRDefault="001E1982" w:rsidP="001E1982">
      <w:pPr>
        <w:pStyle w:val="Heading2"/>
        <w:rPr>
          <w:rFonts w:eastAsia="Times New Roman"/>
          <w:lang w:eastAsia="en-GB"/>
        </w:rPr>
      </w:pPr>
      <w:r w:rsidRPr="001E1982">
        <w:rPr>
          <w:rFonts w:eastAsia="Times New Roman"/>
          <w:lang w:eastAsia="en-GB"/>
        </w:rPr>
        <w:t>Phase 2: Response and Activation (During Disruption)</w:t>
      </w:r>
    </w:p>
    <w:p w:rsidR="001E1982" w:rsidRPr="001E1982" w:rsidRDefault="001E1982" w:rsidP="001E1982">
      <w:pPr>
        <w:numPr>
          <w:ilvl w:val="0"/>
          <w:numId w:val="2"/>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Detection and Declaration:</w:t>
      </w:r>
      <w:r w:rsidRPr="001E1982">
        <w:rPr>
          <w:rFonts w:ascii="Arial" w:eastAsia="Times New Roman" w:hAnsi="Arial" w:cs="Arial"/>
          <w:color w:val="1F1F1F"/>
          <w:kern w:val="0"/>
          <w:lang w:eastAsia="en-GB"/>
          <w14:ligatures w14:val="none"/>
        </w:rPr>
        <w:t xml:space="preserve"> Security Operations Centre (SOC) detects the failure (e.g., Data Centre Outage or corruption). The Incident Commander formally declares a disaster.</w:t>
      </w:r>
    </w:p>
    <w:p w:rsidR="001E1982" w:rsidRPr="001E1982" w:rsidRDefault="001E1982" w:rsidP="001E1982">
      <w:pPr>
        <w:numPr>
          <w:ilvl w:val="0"/>
          <w:numId w:val="2"/>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Failover Execution:</w:t>
      </w:r>
    </w:p>
    <w:p w:rsidR="001E1982" w:rsidRPr="001E1982" w:rsidRDefault="001E1982" w:rsidP="001E1982">
      <w:pPr>
        <w:numPr>
          <w:ilvl w:val="1"/>
          <w:numId w:val="2"/>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Automated Failover:</w:t>
      </w:r>
      <w:r w:rsidRPr="001E1982">
        <w:rPr>
          <w:rFonts w:ascii="Arial" w:eastAsia="Times New Roman" w:hAnsi="Arial" w:cs="Arial"/>
          <w:color w:val="1F1F1F"/>
          <w:kern w:val="0"/>
          <w:lang w:eastAsia="en-GB"/>
          <w14:ligatures w14:val="none"/>
        </w:rPr>
        <w:t xml:space="preserve"> Initiate the switchover of the DNS records (e.g., using AWS Route 53 or Azure Traffic Manager) to redirect all customer traffic to the infrastructure in the Passive Region.</w:t>
      </w:r>
    </w:p>
    <w:p w:rsidR="001E1982" w:rsidRPr="001E1982" w:rsidRDefault="001E1982" w:rsidP="001E1982">
      <w:pPr>
        <w:numPr>
          <w:ilvl w:val="1"/>
          <w:numId w:val="2"/>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Data Consistency Check:</w:t>
      </w:r>
      <w:r w:rsidRPr="001E1982">
        <w:rPr>
          <w:rFonts w:ascii="Arial" w:eastAsia="Times New Roman" w:hAnsi="Arial" w:cs="Arial"/>
          <w:color w:val="1F1F1F"/>
          <w:kern w:val="0"/>
          <w:lang w:eastAsia="en-GB"/>
          <w14:ligatures w14:val="none"/>
        </w:rPr>
        <w:t xml:space="preserve"> The recovery team verifies the integrity of the replicated database in the new Active region using automated scripts.</w:t>
      </w:r>
    </w:p>
    <w:p w:rsidR="001E1982" w:rsidRPr="001E1982" w:rsidRDefault="001E1982" w:rsidP="001E1982">
      <w:pPr>
        <w:numPr>
          <w:ilvl w:val="0"/>
          <w:numId w:val="2"/>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Communication:</w:t>
      </w:r>
      <w:r w:rsidRPr="001E1982">
        <w:rPr>
          <w:rFonts w:ascii="Arial" w:eastAsia="Times New Roman" w:hAnsi="Arial" w:cs="Arial"/>
          <w:color w:val="1F1F1F"/>
          <w:kern w:val="0"/>
          <w:lang w:eastAsia="en-GB"/>
          <w14:ligatures w14:val="none"/>
        </w:rPr>
        <w:t xml:space="preserve"> Activate the communications plan to inform internal stakeholders and external customers (via static status page) about the disruption and expected recovery time.</w:t>
      </w:r>
    </w:p>
    <w:p w:rsidR="001E1982" w:rsidRPr="001E1982" w:rsidRDefault="001E1982" w:rsidP="001E1982">
      <w:pPr>
        <w:pStyle w:val="Heading2"/>
        <w:rPr>
          <w:rFonts w:eastAsia="Times New Roman"/>
          <w:lang w:eastAsia="en-GB"/>
        </w:rPr>
      </w:pPr>
      <w:r w:rsidRPr="001E1982">
        <w:rPr>
          <w:rFonts w:eastAsia="Times New Roman"/>
          <w:lang w:eastAsia="en-GB"/>
        </w:rPr>
        <w:t>Phase 3: Restoration and Review (After Recovery)</w:t>
      </w:r>
    </w:p>
    <w:p w:rsidR="001E1982" w:rsidRPr="001E1982" w:rsidRDefault="001E1982" w:rsidP="001E1982">
      <w:pPr>
        <w:numPr>
          <w:ilvl w:val="0"/>
          <w:numId w:val="3"/>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Reversion:</w:t>
      </w:r>
      <w:r w:rsidRPr="001E1982">
        <w:rPr>
          <w:rFonts w:ascii="Arial" w:eastAsia="Times New Roman" w:hAnsi="Arial" w:cs="Arial"/>
          <w:color w:val="1F1F1F"/>
          <w:kern w:val="0"/>
          <w:lang w:eastAsia="en-GB"/>
          <w14:ligatures w14:val="none"/>
        </w:rPr>
        <w:t xml:space="preserve"> Once the primary region is stabilised or rebuilt, plan a controlled </w:t>
      </w:r>
      <w:r w:rsidRPr="001E1982">
        <w:rPr>
          <w:rFonts w:ascii="Arial" w:eastAsia="Times New Roman" w:hAnsi="Arial" w:cs="Arial"/>
          <w:color w:val="1F1F1F"/>
          <w:kern w:val="0"/>
          <w:bdr w:val="none" w:sz="0" w:space="0" w:color="auto" w:frame="1"/>
          <w:lang w:eastAsia="en-GB"/>
          <w14:ligatures w14:val="none"/>
        </w:rPr>
        <w:t>failback</w:t>
      </w:r>
      <w:r w:rsidRPr="001E1982">
        <w:rPr>
          <w:rFonts w:ascii="Arial" w:eastAsia="Times New Roman" w:hAnsi="Arial" w:cs="Arial"/>
          <w:color w:val="1F1F1F"/>
          <w:kern w:val="0"/>
          <w:lang w:eastAsia="en-GB"/>
          <w14:ligatures w14:val="none"/>
        </w:rPr>
        <w:t xml:space="preserve"> procedure, replicating data from the temporary Active region back to the original region, and then switching traffic back.</w:t>
      </w:r>
    </w:p>
    <w:p w:rsidR="001E1982" w:rsidRPr="001E1982" w:rsidRDefault="001E1982" w:rsidP="001E1982">
      <w:pPr>
        <w:numPr>
          <w:ilvl w:val="0"/>
          <w:numId w:val="3"/>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Root Cause Analysis (RCA):</w:t>
      </w:r>
      <w:r w:rsidRPr="001E1982">
        <w:rPr>
          <w:rFonts w:ascii="Arial" w:eastAsia="Times New Roman" w:hAnsi="Arial" w:cs="Arial"/>
          <w:color w:val="1F1F1F"/>
          <w:kern w:val="0"/>
          <w:lang w:eastAsia="en-GB"/>
          <w14:ligatures w14:val="none"/>
        </w:rPr>
        <w:t xml:space="preserve"> Conduct a formal review to determine the exact cause of the disaster (e.g., failure of a specific server, </w:t>
      </w:r>
      <w:proofErr w:type="spellStart"/>
      <w:r w:rsidRPr="001E1982">
        <w:rPr>
          <w:rFonts w:ascii="Arial" w:eastAsia="Times New Roman" w:hAnsi="Arial" w:cs="Arial"/>
          <w:color w:val="1F1F1F"/>
          <w:kern w:val="0"/>
          <w:lang w:eastAsia="en-GB"/>
          <w14:ligatures w14:val="none"/>
        </w:rPr>
        <w:t>cyber attack</w:t>
      </w:r>
      <w:proofErr w:type="spellEnd"/>
      <w:r w:rsidRPr="001E1982">
        <w:rPr>
          <w:rFonts w:ascii="Arial" w:eastAsia="Times New Roman" w:hAnsi="Arial" w:cs="Arial"/>
          <w:color w:val="1F1F1F"/>
          <w:kern w:val="0"/>
          <w:lang w:eastAsia="en-GB"/>
          <w14:ligatures w14:val="none"/>
        </w:rPr>
        <w:t xml:space="preserve"> vector) and update systems and the DRP accordingly.</w:t>
      </w:r>
    </w:p>
    <w:p w:rsidR="001E1982" w:rsidRPr="001E1982" w:rsidRDefault="001E1982" w:rsidP="001E1982">
      <w:pPr>
        <w:numPr>
          <w:ilvl w:val="0"/>
          <w:numId w:val="3"/>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Vulnerability Patching:</w:t>
      </w:r>
      <w:r w:rsidRPr="001E1982">
        <w:rPr>
          <w:rFonts w:ascii="Arial" w:eastAsia="Times New Roman" w:hAnsi="Arial" w:cs="Arial"/>
          <w:color w:val="1F1F1F"/>
          <w:kern w:val="0"/>
          <w:lang w:eastAsia="en-GB"/>
          <w14:ligatures w14:val="none"/>
        </w:rPr>
        <w:t xml:space="preserve"> Address any security or operational vulnerabilities discovered during the RCA or the recovery process.</w:t>
      </w:r>
    </w:p>
    <w:p w:rsidR="001E1982" w:rsidRPr="001E1982" w:rsidRDefault="001E1982" w:rsidP="001E1982">
      <w:pPr>
        <w:pStyle w:val="Heading1"/>
        <w:rPr>
          <w:rFonts w:eastAsia="Times New Roman"/>
          <w:lang w:eastAsia="en-GB"/>
        </w:rPr>
      </w:pPr>
      <w:r w:rsidRPr="001E1982">
        <w:rPr>
          <w:rFonts w:eastAsia="Times New Roman"/>
          <w:lang w:eastAsia="en-GB"/>
        </w:rPr>
        <w:lastRenderedPageBreak/>
        <w:t>3. Legal, Ethical, and Professional Considerations</w:t>
      </w:r>
    </w:p>
    <w:p w:rsidR="001E1982" w:rsidRPr="001E1982" w:rsidRDefault="001E1982" w:rsidP="001E1982">
      <w:pPr>
        <w:pStyle w:val="Heading2"/>
        <w:rPr>
          <w:rFonts w:eastAsia="Times New Roman"/>
          <w:lang w:eastAsia="en-GB"/>
        </w:rPr>
      </w:pPr>
      <w:r w:rsidRPr="001E1982">
        <w:rPr>
          <w:rFonts w:eastAsia="Times New Roman"/>
          <w:lang w:eastAsia="en-GB"/>
        </w:rPr>
        <w:t>Legal and Compliance</w:t>
      </w:r>
    </w:p>
    <w:p w:rsidR="001E1982" w:rsidRPr="001E1982" w:rsidRDefault="001E1982" w:rsidP="001E1982">
      <w:pPr>
        <w:numPr>
          <w:ilvl w:val="0"/>
          <w:numId w:val="4"/>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GDPR (General Data Protection Regulation):</w:t>
      </w:r>
      <w:r w:rsidRPr="001E1982">
        <w:rPr>
          <w:rFonts w:ascii="Arial" w:eastAsia="Times New Roman" w:hAnsi="Arial" w:cs="Arial"/>
          <w:color w:val="1F1F1F"/>
          <w:kern w:val="0"/>
          <w:lang w:eastAsia="en-GB"/>
          <w14:ligatures w14:val="none"/>
        </w:rPr>
        <w:t xml:space="preserve"> The DRP ensures business continuity and protects data subjects' rights by maintaining the availability and integrity of PII (GDPR Article 32). The multi-region approach must confirm that data storage locations comply with data residency requirements (ICO, 2024).</w:t>
      </w:r>
    </w:p>
    <w:p w:rsidR="001E1982" w:rsidRPr="001E1982" w:rsidRDefault="001E1982" w:rsidP="001E1982">
      <w:pPr>
        <w:pStyle w:val="Heading2"/>
        <w:rPr>
          <w:rFonts w:eastAsia="Times New Roman"/>
          <w:lang w:eastAsia="en-GB"/>
        </w:rPr>
      </w:pPr>
      <w:r w:rsidRPr="001E1982">
        <w:rPr>
          <w:rFonts w:eastAsia="Times New Roman"/>
          <w:lang w:eastAsia="en-GB"/>
        </w:rPr>
        <w:t>Ethical and Professional</w:t>
      </w:r>
    </w:p>
    <w:p w:rsidR="001E1982" w:rsidRPr="001E1982" w:rsidRDefault="001E1982" w:rsidP="001E1982">
      <w:pPr>
        <w:numPr>
          <w:ilvl w:val="0"/>
          <w:numId w:val="5"/>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Transparency:</w:t>
      </w:r>
      <w:r w:rsidRPr="001E1982">
        <w:rPr>
          <w:rFonts w:ascii="Arial" w:eastAsia="Times New Roman" w:hAnsi="Arial" w:cs="Arial"/>
          <w:color w:val="1F1F1F"/>
          <w:kern w:val="0"/>
          <w:lang w:eastAsia="en-GB"/>
          <w14:ligatures w14:val="none"/>
        </w:rPr>
        <w:t xml:space="preserve"> Ethically, Global Retail Cloud must be transparent with customers during a major outage, providing accurate and timely updates via a robust communication channel.</w:t>
      </w:r>
    </w:p>
    <w:p w:rsidR="001E1982" w:rsidRPr="001E1982" w:rsidRDefault="001E1982" w:rsidP="001E1982">
      <w:pPr>
        <w:numPr>
          <w:ilvl w:val="0"/>
          <w:numId w:val="5"/>
        </w:num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bdr w:val="none" w:sz="0" w:space="0" w:color="auto" w:frame="1"/>
          <w:lang w:eastAsia="en-GB"/>
          <w14:ligatures w14:val="none"/>
        </w:rPr>
        <w:t>Fiduciary Duty:</w:t>
      </w:r>
      <w:r w:rsidRPr="001E1982">
        <w:rPr>
          <w:rFonts w:ascii="Arial" w:eastAsia="Times New Roman" w:hAnsi="Arial" w:cs="Arial"/>
          <w:color w:val="1F1F1F"/>
          <w:kern w:val="0"/>
          <w:lang w:eastAsia="en-GB"/>
          <w14:ligatures w14:val="none"/>
        </w:rPr>
        <w:t xml:space="preserve"> The DRP demonstrates professional competence and upholds the fiduciary duty to stakeholders by protecting the company’s assets (data and revenue) and reputation from foreseeable risks. Implementing regular testing (Phase 1) is a professional standard of due diligence (BCI, 2023).</w:t>
      </w:r>
    </w:p>
    <w:p w:rsidR="001E1982" w:rsidRPr="001E1982" w:rsidRDefault="001E1982" w:rsidP="001E1982">
      <w:pPr>
        <w:spacing w:after="120" w:line="240" w:lineRule="auto"/>
        <w:rPr>
          <w:rFonts w:ascii="Arial" w:eastAsia="Times New Roman" w:hAnsi="Arial" w:cs="Arial"/>
          <w:color w:val="1F1F1F"/>
          <w:kern w:val="0"/>
          <w:lang w:eastAsia="en-GB"/>
          <w14:ligatures w14:val="none"/>
        </w:rPr>
      </w:pPr>
    </w:p>
    <w:p w:rsidR="001E1982" w:rsidRPr="001E1982" w:rsidRDefault="001E1982" w:rsidP="001E1982">
      <w:pPr>
        <w:pStyle w:val="Heading1"/>
        <w:rPr>
          <w:rFonts w:eastAsia="Times New Roman"/>
          <w:lang w:eastAsia="en-GB"/>
        </w:rPr>
      </w:pPr>
      <w:r w:rsidRPr="001E1982">
        <w:rPr>
          <w:rFonts w:eastAsia="Times New Roman"/>
          <w:lang w:eastAsia="en-GB"/>
        </w:rPr>
        <w:t>References</w:t>
      </w:r>
    </w:p>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lang w:eastAsia="en-GB"/>
          <w14:ligatures w14:val="none"/>
        </w:rPr>
        <w:t xml:space="preserve">BCI (Business Continuity Institute). (2023) </w:t>
      </w:r>
      <w:r w:rsidRPr="001E1982">
        <w:rPr>
          <w:rFonts w:ascii="Arial" w:eastAsia="Times New Roman" w:hAnsi="Arial" w:cs="Arial"/>
          <w:i/>
          <w:iCs/>
          <w:color w:val="1F1F1F"/>
          <w:kern w:val="0"/>
          <w:bdr w:val="none" w:sz="0" w:space="0" w:color="auto" w:frame="1"/>
          <w:lang w:eastAsia="en-GB"/>
          <w14:ligatures w14:val="none"/>
        </w:rPr>
        <w:t>Good Practice Guidelines</w:t>
      </w:r>
      <w:r w:rsidRPr="001E1982">
        <w:rPr>
          <w:rFonts w:ascii="Arial" w:eastAsia="Times New Roman" w:hAnsi="Arial" w:cs="Arial"/>
          <w:color w:val="1F1F1F"/>
          <w:kern w:val="0"/>
          <w:lang w:eastAsia="en-GB"/>
          <w14:ligatures w14:val="none"/>
        </w:rPr>
        <w:t xml:space="preserve">. Available at: </w:t>
      </w:r>
      <w:hyperlink r:id="rId5" w:tgtFrame="_blank" w:history="1">
        <w:r w:rsidRPr="001E1982">
          <w:rPr>
            <w:rFonts w:ascii="Arial" w:eastAsia="Times New Roman" w:hAnsi="Arial" w:cs="Arial"/>
            <w:color w:val="0B57D0"/>
            <w:kern w:val="0"/>
            <w:u w:val="single"/>
            <w:bdr w:val="none" w:sz="0" w:space="0" w:color="auto" w:frame="1"/>
            <w:lang w:eastAsia="en-GB"/>
            <w14:ligatures w14:val="none"/>
          </w:rPr>
          <w:t>https://www.thebci.org/knowledge/good-practice-guidelines</w:t>
        </w:r>
      </w:hyperlink>
      <w:r w:rsidRPr="001E1982">
        <w:rPr>
          <w:rFonts w:ascii="Arial" w:eastAsia="Times New Roman" w:hAnsi="Arial" w:cs="Arial"/>
          <w:color w:val="1F1F1F"/>
          <w:kern w:val="0"/>
          <w:lang w:eastAsia="en-GB"/>
          <w14:ligatures w14:val="none"/>
        </w:rPr>
        <w:t xml:space="preserve"> (Accessed: 15 December 2025).</w:t>
      </w:r>
    </w:p>
    <w:p w:rsidR="001E1982" w:rsidRPr="001E1982" w:rsidRDefault="001E1982" w:rsidP="001E1982">
      <w:pPr>
        <w:spacing w:after="0" w:line="240" w:lineRule="auto"/>
        <w:rPr>
          <w:rFonts w:ascii="Arial" w:eastAsia="Times New Roman" w:hAnsi="Arial" w:cs="Arial"/>
          <w:color w:val="1F1F1F"/>
          <w:kern w:val="0"/>
          <w:lang w:eastAsia="en-GB"/>
          <w14:ligatures w14:val="none"/>
        </w:rPr>
      </w:pPr>
      <w:r w:rsidRPr="001E1982">
        <w:rPr>
          <w:rFonts w:ascii="Arial" w:eastAsia="Times New Roman" w:hAnsi="Arial" w:cs="Arial"/>
          <w:color w:val="1F1F1F"/>
          <w:kern w:val="0"/>
          <w:lang w:eastAsia="en-GB"/>
          <w14:ligatures w14:val="none"/>
        </w:rPr>
        <w:t xml:space="preserve">ICO. (2024) </w:t>
      </w:r>
      <w:r w:rsidRPr="001E1982">
        <w:rPr>
          <w:rFonts w:ascii="Arial" w:eastAsia="Times New Roman" w:hAnsi="Arial" w:cs="Arial"/>
          <w:i/>
          <w:iCs/>
          <w:color w:val="1F1F1F"/>
          <w:kern w:val="0"/>
          <w:bdr w:val="none" w:sz="0" w:space="0" w:color="auto" w:frame="1"/>
          <w:lang w:eastAsia="en-GB"/>
          <w14:ligatures w14:val="none"/>
        </w:rPr>
        <w:t>Security</w:t>
      </w:r>
      <w:r w:rsidRPr="001E1982">
        <w:rPr>
          <w:rFonts w:ascii="Arial" w:eastAsia="Times New Roman" w:hAnsi="Arial" w:cs="Arial"/>
          <w:color w:val="1F1F1F"/>
          <w:kern w:val="0"/>
          <w:lang w:eastAsia="en-GB"/>
          <w14:ligatures w14:val="none"/>
        </w:rPr>
        <w:t xml:space="preserve">. Available at: </w:t>
      </w:r>
      <w:hyperlink r:id="rId6" w:tgtFrame="_blank" w:history="1">
        <w:r w:rsidRPr="001E1982">
          <w:rPr>
            <w:rFonts w:ascii="Arial" w:eastAsia="Times New Roman" w:hAnsi="Arial" w:cs="Arial"/>
            <w:color w:val="0B57D0"/>
            <w:kern w:val="0"/>
            <w:u w:val="single"/>
            <w:bdr w:val="none" w:sz="0" w:space="0" w:color="auto" w:frame="1"/>
            <w:lang w:eastAsia="en-GB"/>
            <w14:ligatures w14:val="none"/>
          </w:rPr>
          <w:t>https://ico.org.uk/for-organisations/uk-gdpr-guidance-and-resources/security/</w:t>
        </w:r>
      </w:hyperlink>
      <w:r w:rsidRPr="001E1982">
        <w:rPr>
          <w:rFonts w:ascii="Arial" w:eastAsia="Times New Roman" w:hAnsi="Arial" w:cs="Arial"/>
          <w:color w:val="1F1F1F"/>
          <w:kern w:val="0"/>
          <w:lang w:eastAsia="en-GB"/>
          <w14:ligatures w14:val="none"/>
        </w:rPr>
        <w:t xml:space="preserve"> (Accessed: 15 December 2025).</w:t>
      </w:r>
    </w:p>
    <w:p w:rsidR="001E1982" w:rsidRPr="001E1982" w:rsidRDefault="001E1982"/>
    <w:sectPr w:rsidR="001E1982" w:rsidRPr="001E1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5600"/>
    <w:multiLevelType w:val="multilevel"/>
    <w:tmpl w:val="F098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41813"/>
    <w:multiLevelType w:val="multilevel"/>
    <w:tmpl w:val="A11E7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37674A"/>
    <w:multiLevelType w:val="multilevel"/>
    <w:tmpl w:val="9BE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47E70"/>
    <w:multiLevelType w:val="multilevel"/>
    <w:tmpl w:val="BB46D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927FF8"/>
    <w:multiLevelType w:val="multilevel"/>
    <w:tmpl w:val="45F6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340955">
    <w:abstractNumId w:val="3"/>
  </w:num>
  <w:num w:numId="2" w16cid:durableId="375013913">
    <w:abstractNumId w:val="1"/>
  </w:num>
  <w:num w:numId="3" w16cid:durableId="2041279415">
    <w:abstractNumId w:val="4"/>
  </w:num>
  <w:num w:numId="4" w16cid:durableId="109326875">
    <w:abstractNumId w:val="0"/>
  </w:num>
  <w:num w:numId="5" w16cid:durableId="1753089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82"/>
    <w:rsid w:val="001E1982"/>
    <w:rsid w:val="002D0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57CC"/>
  <w15:chartTrackingRefBased/>
  <w15:docId w15:val="{2AD72B34-5917-A64F-9EBE-BBCC7068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1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1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1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982"/>
    <w:rPr>
      <w:rFonts w:eastAsiaTheme="majorEastAsia" w:cstheme="majorBidi"/>
      <w:color w:val="272727" w:themeColor="text1" w:themeTint="D8"/>
    </w:rPr>
  </w:style>
  <w:style w:type="paragraph" w:styleId="Title">
    <w:name w:val="Title"/>
    <w:basedOn w:val="Normal"/>
    <w:next w:val="Normal"/>
    <w:link w:val="TitleChar"/>
    <w:uiPriority w:val="10"/>
    <w:qFormat/>
    <w:rsid w:val="001E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982"/>
    <w:pPr>
      <w:spacing w:before="160"/>
      <w:jc w:val="center"/>
    </w:pPr>
    <w:rPr>
      <w:i/>
      <w:iCs/>
      <w:color w:val="404040" w:themeColor="text1" w:themeTint="BF"/>
    </w:rPr>
  </w:style>
  <w:style w:type="character" w:customStyle="1" w:styleId="QuoteChar">
    <w:name w:val="Quote Char"/>
    <w:basedOn w:val="DefaultParagraphFont"/>
    <w:link w:val="Quote"/>
    <w:uiPriority w:val="29"/>
    <w:rsid w:val="001E1982"/>
    <w:rPr>
      <w:i/>
      <w:iCs/>
      <w:color w:val="404040" w:themeColor="text1" w:themeTint="BF"/>
    </w:rPr>
  </w:style>
  <w:style w:type="paragraph" w:styleId="ListParagraph">
    <w:name w:val="List Paragraph"/>
    <w:basedOn w:val="Normal"/>
    <w:uiPriority w:val="34"/>
    <w:qFormat/>
    <w:rsid w:val="001E1982"/>
    <w:pPr>
      <w:ind w:left="720"/>
      <w:contextualSpacing/>
    </w:pPr>
  </w:style>
  <w:style w:type="character" w:styleId="IntenseEmphasis">
    <w:name w:val="Intense Emphasis"/>
    <w:basedOn w:val="DefaultParagraphFont"/>
    <w:uiPriority w:val="21"/>
    <w:qFormat/>
    <w:rsid w:val="001E1982"/>
    <w:rPr>
      <w:i/>
      <w:iCs/>
      <w:color w:val="0F4761" w:themeColor="accent1" w:themeShade="BF"/>
    </w:rPr>
  </w:style>
  <w:style w:type="paragraph" w:styleId="IntenseQuote">
    <w:name w:val="Intense Quote"/>
    <w:basedOn w:val="Normal"/>
    <w:next w:val="Normal"/>
    <w:link w:val="IntenseQuoteChar"/>
    <w:uiPriority w:val="30"/>
    <w:qFormat/>
    <w:rsid w:val="001E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982"/>
    <w:rPr>
      <w:i/>
      <w:iCs/>
      <w:color w:val="0F4761" w:themeColor="accent1" w:themeShade="BF"/>
    </w:rPr>
  </w:style>
  <w:style w:type="character" w:styleId="IntenseReference">
    <w:name w:val="Intense Reference"/>
    <w:basedOn w:val="DefaultParagraphFont"/>
    <w:uiPriority w:val="32"/>
    <w:qFormat/>
    <w:rsid w:val="001E1982"/>
    <w:rPr>
      <w:b/>
      <w:bCs/>
      <w:smallCaps/>
      <w:color w:val="0F4761" w:themeColor="accent1" w:themeShade="BF"/>
      <w:spacing w:val="5"/>
    </w:rPr>
  </w:style>
  <w:style w:type="paragraph" w:styleId="NormalWeb">
    <w:name w:val="Normal (Web)"/>
    <w:basedOn w:val="Normal"/>
    <w:uiPriority w:val="99"/>
    <w:semiHidden/>
    <w:unhideWhenUsed/>
    <w:rsid w:val="001E19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1982"/>
    <w:rPr>
      <w:b/>
      <w:bCs/>
    </w:rPr>
  </w:style>
  <w:style w:type="character" w:styleId="Hyperlink">
    <w:name w:val="Hyperlink"/>
    <w:basedOn w:val="DefaultParagraphFont"/>
    <w:uiPriority w:val="99"/>
    <w:semiHidden/>
    <w:unhideWhenUsed/>
    <w:rsid w:val="001E19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o.org.uk/for-organisations/uk-gdpr-guidance-and-resources/security/" TargetMode="External"/><Relationship Id="rId5" Type="http://schemas.openxmlformats.org/officeDocument/2006/relationships/hyperlink" Target="https://www.google.com/search?q=https://www.thebci.org/knowledge/good-practice-guid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1</cp:revision>
  <dcterms:created xsi:type="dcterms:W3CDTF">2025-12-15T07:30:00Z</dcterms:created>
  <dcterms:modified xsi:type="dcterms:W3CDTF">2025-12-15T07:31:00Z</dcterms:modified>
</cp:coreProperties>
</file>