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Calibri" w:cs="Calibri" w:eastAsia="Calibri" w:hAnsi="Calibri"/>
          <w:b/>
          <w:bCs/>
          <w:color w:val="01696F"/>
          <w:sz w:val="60"/>
          <w:szCs w:val="60"/>
        </w:rPr>
        <w:t xml:space="preserve">PedEndoLit Dashboard</w:t>
      </w:r>
    </w:p>
    <w:p>
      <w:pPr>
        <w:spacing w:after="120" w:before="0"/>
      </w:pPr>
      <w:r>
        <w:rPr>
          <w:rFonts w:ascii="Calibri" w:cs="Calibri" w:eastAsia="Calibri" w:hAnsi="Calibri"/>
          <w:b w:val="false"/>
          <w:bCs w:val="false"/>
          <w:color w:val="333333"/>
          <w:sz w:val="40"/>
          <w:szCs w:val="40"/>
        </w:rPr>
        <w:t xml:space="preserve">Article Classifier — Reference Specification</w:t>
      </w:r>
    </w:p>
    <w:p>
      <w:pPr>
        <w:spacing w:after="60" w:before="0"/>
      </w:pPr>
      <w:r>
        <w:rPr>
          <w:rFonts w:ascii="Calibri" w:cs="Calibri" w:eastAsia="Calibri" w:hAnsi="Calibri"/>
          <w:color w:val="666666"/>
          <w:sz w:val="22"/>
          <w:szCs w:val="22"/>
        </w:rPr>
        <w:t xml:space="preserve">Version 2.4.2  |  Last updated: May 2026</w:t>
      </w:r>
    </w:p>
    <w:p>
      <w:pPr>
        <w:spacing w:after="200" w:before="0"/>
      </w:pPr>
      <w:r>
        <w:rPr>
          <w:rFonts w:ascii="Calibri" w:cs="Calibri" w:eastAsia="Calibri" w:hAnsi="Calibri"/>
          <w:color w:val="666666"/>
          <w:sz w:val="22"/>
          <w:szCs w:val="22"/>
        </w:rPr>
        <w:t xml:space="preserve">UPMC Children's Hospital of Pittsburgh — Pediatric Endocrinology</w:t>
      </w:r>
    </w:p>
    <w:p>
      <w:pPr>
        <w:pStyle w:val="Heading1"/>
      </w:pPr>
      <w:r>
        <w:t xml:space="preserve">Overview</w:t>
      </w:r>
    </w:p>
    <w:p>
      <w:pPr>
        <w:spacing w:after="100"/>
      </w:pPr>
      <w:r>
        <w:rPr>
          <w:rFonts w:ascii="Calibri" w:cs="Calibri" w:eastAsia="Calibri" w:hAnsi="Calibri"/>
          <w:color w:val="1A1A1A"/>
          <w:sz w:val="22"/>
          <w:szCs w:val="22"/>
        </w:rPr>
        <w:t xml:space="preserve">The PedEndoLit classifier is a Python-based, rule-driven pipeline that automatically assigns every article retrieved from PubMed to an impact tier, clinical topic, study type, diabetes subtype, age range, board relevance flag, society attribution, and a set of searchable hashtag filters.</w:t>
      </w:r>
    </w:p>
    <w:p>
      <w:pPr>
        <w:spacing w:after="100"/>
      </w:pPr>
      <w:r>
        <w:rPr>
          <w:rFonts w:ascii="Calibri" w:cs="Calibri" w:eastAsia="Calibri" w:hAnsi="Calibri"/>
          <w:color w:val="1A1A1A"/>
          <w:sz w:val="22"/>
          <w:szCs w:val="22"/>
        </w:rPr>
        <w:t xml:space="preserve">This document is the authoritative reference for all classification logic as implemented in reclassify_v2.py (v2.4.2). It covers every decision rule in the order they execute, along with design rationale for pre-checks and edge-case handling.</w:t>
      </w:r>
    </w:p>
    <w:p>
      <w:pPr>
        <w:spacing w:after="0" w:before="60"/>
      </w:pPr>
      <w:r>
        <w:t xml:space="preserve"/>
      </w:r>
    </w:p>
    <w:p>
      <w:pPr>
        <w:spacing w:after="100"/>
      </w:pPr>
      <w:r>
        <w:rPr>
          <w:rFonts w:ascii="Calibri" w:cs="Calibri" w:eastAsia="Calibri" w:hAnsi="Calibri"/>
          <w:b/>
          <w:bCs/>
          <w:color w:val="1A1A1A"/>
          <w:sz w:val="22"/>
          <w:szCs w:val="22"/>
        </w:rPr>
        <w:t xml:space="preserve">The pipeline runs in this order for every article:</w:t>
      </w:r>
    </w:p>
    <w:p>
      <w:pPr>
        <w:pStyle w:val="ListParagraph"/>
        <w:numPr>
          <w:ilvl w:val="0"/>
          <w:numId w:val="2"/>
        </w:numPr>
        <w:spacing w:after="60"/>
      </w:pPr>
      <w:r>
        <w:rPr>
          <w:rFonts w:ascii="Calibri" w:cs="Calibri" w:eastAsia="Calibri" w:hAnsi="Calibri"/>
          <w:color w:val="1A1A1A"/>
          <w:sz w:val="22"/>
          <w:szCs w:val="22"/>
        </w:rPr>
        <w:t xml:space="preserve">Exclusion check (archive if matched)</w:t>
      </w:r>
    </w:p>
    <w:p>
      <w:pPr>
        <w:pStyle w:val="ListParagraph"/>
        <w:numPr>
          <w:ilvl w:val="0"/>
          <w:numId w:val="2"/>
        </w:numPr>
        <w:spacing w:after="60"/>
      </w:pPr>
      <w:r>
        <w:rPr>
          <w:rFonts w:ascii="Calibri" w:cs="Calibri" w:eastAsia="Calibri" w:hAnsi="Calibri"/>
          <w:color w:val="1A1A1A"/>
          <w:sz w:val="22"/>
          <w:szCs w:val="22"/>
        </w:rPr>
        <w:t xml:space="preserve">Topic + subtopic classification (25-branch waterfall, first match wins)</w:t>
      </w:r>
    </w:p>
    <w:p>
      <w:pPr>
        <w:pStyle w:val="ListParagraph"/>
        <w:numPr>
          <w:ilvl w:val="0"/>
          <w:numId w:val="2"/>
        </w:numPr>
        <w:spacing w:after="60"/>
      </w:pPr>
      <w:r>
        <w:rPr>
          <w:rFonts w:ascii="Calibri" w:cs="Calibri" w:eastAsia="Calibri" w:hAnsi="Calibri"/>
          <w:color w:val="1A1A1A"/>
          <w:sz w:val="22"/>
          <w:szCs w:val="22"/>
        </w:rPr>
        <w:t xml:space="preserve">Study type classification</w:t>
      </w:r>
    </w:p>
    <w:p>
      <w:pPr>
        <w:pStyle w:val="ListParagraph"/>
        <w:numPr>
          <w:ilvl w:val="0"/>
          <w:numId w:val="2"/>
        </w:numPr>
        <w:spacing w:after="60"/>
      </w:pPr>
      <w:r>
        <w:rPr>
          <w:rFonts w:ascii="Calibri" w:cs="Calibri" w:eastAsia="Calibri" w:hAnsi="Calibri"/>
          <w:color w:val="1A1A1A"/>
          <w:sz w:val="22"/>
          <w:szCs w:val="22"/>
        </w:rPr>
        <w:t xml:space="preserve">Impact tier assignment</w:t>
      </w:r>
    </w:p>
    <w:p>
      <w:pPr>
        <w:pStyle w:val="ListParagraph"/>
        <w:numPr>
          <w:ilvl w:val="0"/>
          <w:numId w:val="2"/>
        </w:numPr>
        <w:spacing w:after="60"/>
      </w:pPr>
      <w:r>
        <w:rPr>
          <w:rFonts w:ascii="Calibri" w:cs="Calibri" w:eastAsia="Calibri" w:hAnsi="Calibri"/>
          <w:color w:val="1A1A1A"/>
          <w:sz w:val="22"/>
          <w:szCs w:val="22"/>
        </w:rPr>
        <w:t xml:space="preserve">Negative outcome cap (RCT/Clinical Trial only)</w:t>
      </w:r>
    </w:p>
    <w:p>
      <w:pPr>
        <w:pStyle w:val="ListParagraph"/>
        <w:numPr>
          <w:ilvl w:val="0"/>
          <w:numId w:val="2"/>
        </w:numPr>
        <w:spacing w:after="60"/>
      </w:pPr>
      <w:r>
        <w:rPr>
          <w:rFonts w:ascii="Calibri" w:cs="Calibri" w:eastAsia="Calibri" w:hAnsi="Calibri"/>
          <w:color w:val="1A1A1A"/>
          <w:sz w:val="22"/>
          <w:szCs w:val="22"/>
        </w:rPr>
        <w:t xml:space="preserve">Diabetes subtype detection</w:t>
      </w:r>
    </w:p>
    <w:p>
      <w:pPr>
        <w:pStyle w:val="ListParagraph"/>
        <w:numPr>
          <w:ilvl w:val="0"/>
          <w:numId w:val="2"/>
        </w:numPr>
        <w:spacing w:after="60"/>
      </w:pPr>
      <w:r>
        <w:rPr>
          <w:rFonts w:ascii="Calibri" w:cs="Calibri" w:eastAsia="Calibri" w:hAnsi="Calibri"/>
          <w:color w:val="1A1A1A"/>
          <w:sz w:val="22"/>
          <w:szCs w:val="22"/>
        </w:rPr>
        <w:t xml:space="preserve">Age range detection</w:t>
      </w:r>
    </w:p>
    <w:p>
      <w:pPr>
        <w:pStyle w:val="ListParagraph"/>
        <w:numPr>
          <w:ilvl w:val="0"/>
          <w:numId w:val="2"/>
        </w:numPr>
        <w:spacing w:after="60"/>
      </w:pPr>
      <w:r>
        <w:rPr>
          <w:rFonts w:ascii="Calibri" w:cs="Calibri" w:eastAsia="Calibri" w:hAnsi="Calibri"/>
          <w:color w:val="1A1A1A"/>
          <w:sz w:val="22"/>
          <w:szCs w:val="22"/>
        </w:rPr>
        <w:t xml:space="preserve">Society attribution</w:t>
      </w:r>
    </w:p>
    <w:p>
      <w:pPr>
        <w:pStyle w:val="ListParagraph"/>
        <w:numPr>
          <w:ilvl w:val="0"/>
          <w:numId w:val="2"/>
        </w:numPr>
        <w:spacing w:after="60"/>
      </w:pPr>
      <w:r>
        <w:rPr>
          <w:rFonts w:ascii="Calibri" w:cs="Calibri" w:eastAsia="Calibri" w:hAnsi="Calibri"/>
          <w:color w:val="1A1A1A"/>
          <w:sz w:val="22"/>
          <w:szCs w:val="22"/>
        </w:rPr>
        <w:t xml:space="preserve">Board relevance scoring</w:t>
      </w:r>
    </w:p>
    <w:p>
      <w:pPr>
        <w:pStyle w:val="ListParagraph"/>
        <w:numPr>
          <w:ilvl w:val="0"/>
          <w:numId w:val="2"/>
        </w:numPr>
        <w:spacing w:after="60"/>
      </w:pPr>
      <w:r>
        <w:rPr>
          <w:rFonts w:ascii="Calibri" w:cs="Calibri" w:eastAsia="Calibri" w:hAnsi="Calibri"/>
          <w:color w:val="1A1A1A"/>
          <w:sz w:val="22"/>
          <w:szCs w:val="22"/>
        </w:rPr>
        <w:t xml:space="preserve">Clinical bottom-line extraction</w:t>
      </w:r>
    </w:p>
    <w:p>
      <w:pPr>
        <w:pStyle w:val="ListParagraph"/>
        <w:numPr>
          <w:ilvl w:val="0"/>
          <w:numId w:val="2"/>
        </w:numPr>
        <w:spacing w:after="60"/>
      </w:pPr>
      <w:r>
        <w:rPr>
          <w:rFonts w:ascii="Calibri" w:cs="Calibri" w:eastAsia="Calibri" w:hAnsi="Calibri"/>
          <w:color w:val="1A1A1A"/>
          <w:sz w:val="22"/>
          <w:szCs w:val="22"/>
        </w:rPr>
        <w:t xml:space="preserve">Primary tag generation</w:t>
      </w:r>
    </w:p>
    <w:p>
      <w:pPr>
        <w:pStyle w:val="ListParagraph"/>
        <w:numPr>
          <w:ilvl w:val="0"/>
          <w:numId w:val="2"/>
        </w:numPr>
        <w:spacing w:after="60"/>
      </w:pPr>
      <w:r>
        <w:rPr>
          <w:rFonts w:ascii="Calibri" w:cs="Calibri" w:eastAsia="Calibri" w:hAnsi="Calibri"/>
          <w:color w:val="1A1A1A"/>
          <w:sz w:val="22"/>
          <w:szCs w:val="22"/>
        </w:rPr>
        <w:t xml:space="preserve">Secondary cross-topic tag generation</w:t>
      </w:r>
    </w:p>
    <w:p>
      <w:pPr>
        <w:pStyle w:val="ListParagraph"/>
        <w:numPr>
          <w:ilvl w:val="0"/>
          <w:numId w:val="2"/>
        </w:numPr>
        <w:spacing w:after="60"/>
      </w:pPr>
      <w:r>
        <w:rPr>
          <w:rFonts w:ascii="Calibri" w:cs="Calibri" w:eastAsia="Calibri" w:hAnsi="Calibri"/>
          <w:color w:val="1A1A1A"/>
          <w:sz w:val="22"/>
          <w:szCs w:val="22"/>
        </w:rPr>
        <w:t xml:space="preserve">Open access classification</w:t>
      </w:r>
    </w:p>
    <w:p>
      <w:pPr>
        <w:spacing w:after="0" w:before="80"/>
      </w:pPr>
      <w:r>
        <w:t xml:space="preserve"/>
      </w:r>
    </w:p>
    <w:p>
      <w:r>
        <w:br w:type="page"/>
      </w:r>
    </w:p>
    <w:p>
      <w:pPr>
        <w:pStyle w:val="Heading1"/>
      </w:pPr>
      <w:r>
        <w:t xml:space="preserve">Exclusion Rules</w:t>
      </w:r>
    </w:p>
    <w:p>
      <w:pPr>
        <w:spacing w:after="100"/>
      </w:pPr>
      <w:r>
        <w:rPr>
          <w:rFonts w:ascii="Calibri" w:cs="Calibri" w:eastAsia="Calibri" w:hAnsi="Calibri"/>
          <w:color w:val="1A1A1A"/>
          <w:sz w:val="22"/>
          <w:szCs w:val="22"/>
        </w:rPr>
        <w:t xml:space="preserve">Articles are excluded (archived) before any classification is attempted. Once excluded, an article is removed from the Active Dashboard and all default filter views.</w:t>
      </w:r>
    </w:p>
    <w:p>
      <w:pPr>
        <w:spacing w:after="0" w:before="60"/>
      </w:pPr>
      <w:r>
        <w:t xml:space="preserve"/>
      </w:r>
    </w:p>
    <w:p>
      <w:pPr>
        <w:pStyle w:val="Heading2"/>
      </w:pPr>
      <w:r>
        <w:t xml:space="preserve">Erratum / Retraction</w:t>
      </w:r>
    </w:p>
    <w:p>
      <w:pPr>
        <w:spacing w:after="100"/>
      </w:pPr>
      <w:r>
        <w:rPr>
          <w:rFonts w:ascii="Calibri" w:cs="Calibri" w:eastAsia="Calibri" w:hAnsi="Calibri"/>
          <w:color w:val="1A1A1A"/>
          <w:sz w:val="22"/>
          <w:szCs w:val="22"/>
        </w:rPr>
        <w:t xml:space="preserve">Excluded immediately if any of the following apply:</w:t>
      </w:r>
    </w:p>
    <w:p>
      <w:pPr>
        <w:pStyle w:val="ListParagraph"/>
        <w:numPr>
          <w:ilvl w:val="0"/>
          <w:numId w:val="2"/>
        </w:numPr>
        <w:spacing w:after="60"/>
      </w:pPr>
      <w:r>
        <w:rPr>
          <w:rFonts w:ascii="Calibri" w:cs="Calibri" w:eastAsia="Calibri" w:hAnsi="Calibri"/>
          <w:color w:val="1A1A1A"/>
          <w:sz w:val="22"/>
          <w:szCs w:val="22"/>
        </w:rPr>
        <w:t xml:space="preserve">Title starts with "ERRATUM" or "CORRECTION:" or "RETRACTION:"</w:t>
      </w:r>
    </w:p>
    <w:p>
      <w:pPr>
        <w:pStyle w:val="ListParagraph"/>
        <w:numPr>
          <w:ilvl w:val="0"/>
          <w:numId w:val="2"/>
        </w:numPr>
        <w:spacing w:after="60"/>
      </w:pPr>
      <w:r>
        <w:rPr>
          <w:rFonts w:ascii="Calibri" w:cs="Calibri" w:eastAsia="Calibri" w:hAnsi="Calibri"/>
          <w:color w:val="1A1A1A"/>
          <w:sz w:val="22"/>
          <w:szCs w:val="22"/>
        </w:rPr>
        <w:t xml:space="preserve">PubMed pub_type includes "erratum", "published erratum", or "retraction of publication"</w:t>
      </w:r>
    </w:p>
    <w:p>
      <w:pPr>
        <w:spacing w:after="0" w:before="60"/>
      </w:pPr>
      <w:r>
        <w:t xml:space="preserve"/>
      </w:r>
    </w:p>
    <w:p>
      <w:pPr>
        <w:pStyle w:val="Heading2"/>
      </w:pPr>
      <w:r>
        <w:t xml:space="preserve">Hard-Exclusion Topics</w:t>
      </w:r>
    </w:p>
    <w:p>
      <w:pPr>
        <w:spacing w:after="100"/>
      </w:pPr>
      <w:r>
        <w:rPr>
          <w:rFonts w:ascii="Calibri" w:cs="Calibri" w:eastAsia="Calibri" w:hAnsi="Calibri"/>
          <w:color w:val="1A1A1A"/>
          <w:sz w:val="22"/>
          <w:szCs w:val="22"/>
        </w:rPr>
        <w:t xml:space="preserve">Articles matching any of the following phrases (title + abstract, lowercased) are excluded as irrelevant to pediatric endocrinology:</w:t>
      </w:r>
    </w:p>
    <w:p>
      <w:pPr>
        <w:pStyle w:val="ListParagraph"/>
        <w:numPr>
          <w:ilvl w:val="0"/>
          <w:numId w:val="2"/>
        </w:numPr>
        <w:spacing w:after="60"/>
      </w:pPr>
      <w:r>
        <w:rPr>
          <w:rFonts w:ascii="Calibri" w:cs="Calibri" w:eastAsia="Calibri" w:hAnsi="Calibri"/>
          <w:color w:val="1A1A1A"/>
          <w:sz w:val="22"/>
          <w:szCs w:val="22"/>
        </w:rPr>
        <w:t xml:space="preserve">Reproductive medicine: recurrent implantation failure, platelet-rich plasma, in vitro fertilization, IVF, endometrial receptivity, frozen embryo transfer, vaginal progesterone, adenomyosis, artificial cycle frozen embryo, Crinone, embryo transfer cycle</w:t>
      </w:r>
    </w:p>
    <w:p>
      <w:pPr>
        <w:pStyle w:val="ListParagraph"/>
        <w:numPr>
          <w:ilvl w:val="0"/>
          <w:numId w:val="2"/>
        </w:numPr>
        <w:spacing w:after="60"/>
      </w:pPr>
      <w:r>
        <w:rPr>
          <w:rFonts w:ascii="Calibri" w:cs="Calibri" w:eastAsia="Calibri" w:hAnsi="Calibri"/>
          <w:color w:val="1A1A1A"/>
          <w:sz w:val="22"/>
          <w:szCs w:val="22"/>
        </w:rPr>
        <w:t xml:space="preserve">Geriatric / cognitive: dementia risk, Alzheimer, cognitive decline in older, geriatric frailty, elderly patients</w:t>
      </w:r>
    </w:p>
    <w:p>
      <w:pPr>
        <w:pStyle w:val="ListParagraph"/>
        <w:numPr>
          <w:ilvl w:val="0"/>
          <w:numId w:val="2"/>
        </w:numPr>
        <w:spacing w:after="60"/>
      </w:pPr>
      <w:r>
        <w:rPr>
          <w:rFonts w:ascii="Calibri" w:cs="Calibri" w:eastAsia="Calibri" w:hAnsi="Calibri"/>
          <w:color w:val="1A1A1A"/>
          <w:sz w:val="22"/>
          <w:szCs w:val="22"/>
        </w:rPr>
        <w:t xml:space="preserve">Adult-specific: erectile dysfunction, menopausal hormone therapy, postmenopausal women, hemodialysis patients, dialysis, renal transplant recipient</w:t>
      </w:r>
    </w:p>
    <w:p>
      <w:pPr>
        <w:pStyle w:val="ListParagraph"/>
        <w:numPr>
          <w:ilvl w:val="0"/>
          <w:numId w:val="2"/>
        </w:numPr>
        <w:spacing w:after="60"/>
      </w:pPr>
      <w:r>
        <w:rPr>
          <w:rFonts w:ascii="Calibri" w:cs="Calibri" w:eastAsia="Calibri" w:hAnsi="Calibri"/>
          <w:color w:val="1A1A1A"/>
          <w:sz w:val="22"/>
          <w:szCs w:val="22"/>
        </w:rPr>
        <w:t xml:space="preserve">Oncology (non-endocrine): prostate cancer, breast cancer hormone</w:t>
      </w:r>
    </w:p>
    <w:p>
      <w:pPr>
        <w:pStyle w:val="ListParagraph"/>
        <w:numPr>
          <w:ilvl w:val="0"/>
          <w:numId w:val="2"/>
        </w:numPr>
        <w:spacing w:after="60"/>
      </w:pPr>
      <w:r>
        <w:rPr>
          <w:rFonts w:ascii="Calibri" w:cs="Calibri" w:eastAsia="Calibri" w:hAnsi="Calibri"/>
          <w:color w:val="1A1A1A"/>
          <w:sz w:val="22"/>
          <w:szCs w:val="22"/>
        </w:rPr>
        <w:t xml:space="preserve">Non-relevant conditions: gouty arthritis, knee osteoarthritis, colorectal cancer, colorectal carcinoma</w:t>
      </w:r>
    </w:p>
    <w:p>
      <w:pPr>
        <w:pStyle w:val="ListParagraph"/>
        <w:numPr>
          <w:ilvl w:val="0"/>
          <w:numId w:val="2"/>
        </w:numPr>
        <w:spacing w:after="60"/>
      </w:pPr>
      <w:r>
        <w:rPr>
          <w:rFonts w:ascii="Calibri" w:cs="Calibri" w:eastAsia="Calibri" w:hAnsi="Calibri"/>
          <w:color w:val="1A1A1A"/>
          <w:sz w:val="22"/>
          <w:szCs w:val="22"/>
        </w:rPr>
        <w:t xml:space="preserve">Non-human models: zebrafish, social/dominance/stress in fish, in zebrafish</w:t>
      </w:r>
    </w:p>
    <w:p>
      <w:pPr>
        <w:pStyle w:val="ListParagraph"/>
        <w:numPr>
          <w:ilvl w:val="0"/>
          <w:numId w:val="2"/>
        </w:numPr>
        <w:spacing w:after="60"/>
      </w:pPr>
      <w:r>
        <w:rPr>
          <w:rFonts w:ascii="Calibri" w:cs="Calibri" w:eastAsia="Calibri" w:hAnsi="Calibri"/>
          <w:color w:val="1A1A1A"/>
          <w:sz w:val="22"/>
          <w:szCs w:val="22"/>
        </w:rPr>
        <w:t xml:space="preserve">Non-pediatric physiology: university exam, academic stress in university</w:t>
      </w:r>
    </w:p>
    <w:p>
      <w:pPr>
        <w:spacing w:after="0" w:before="60"/>
      </w:pPr>
      <w:r>
        <w:t xml:space="preserve"/>
      </w:r>
    </w:p>
    <w:p>
      <w:pPr>
        <w:pStyle w:val="Heading2"/>
      </w:pPr>
      <w:r>
        <w:t xml:space="preserve">Single Case Reports</w:t>
      </w:r>
    </w:p>
    <w:p>
      <w:pPr>
        <w:spacing w:after="100"/>
      </w:pPr>
      <w:r>
        <w:rPr>
          <w:rFonts w:ascii="Calibri" w:cs="Calibri" w:eastAsia="Calibri" w:hAnsi="Calibri"/>
          <w:color w:val="1A1A1A"/>
          <w:sz w:val="22"/>
          <w:szCs w:val="22"/>
        </w:rPr>
        <w:t xml:space="preserve">Excluded if PubMed pub_type includes "case report" AND does not include "meta-analysis". Case series (multiple patients) are retained.</w:t>
      </w:r>
    </w:p>
    <w:p>
      <w:pPr>
        <w:spacing w:after="0" w:before="60"/>
      </w:pPr>
      <w:r>
        <w:t xml:space="preserve"/>
      </w:r>
    </w:p>
    <w:p>
      <w:pPr>
        <w:pStyle w:val="Heading2"/>
      </w:pPr>
      <w:r>
        <w:t xml:space="preserve">Pure Basic Science</w:t>
      </w:r>
    </w:p>
    <w:p>
      <w:pPr>
        <w:spacing w:after="100"/>
      </w:pPr>
      <w:r>
        <w:rPr>
          <w:rFonts w:ascii="Calibri" w:cs="Calibri" w:eastAsia="Calibri" w:hAnsi="Calibri"/>
          <w:color w:val="1A1A1A"/>
          <w:sz w:val="22"/>
          <w:szCs w:val="22"/>
        </w:rPr>
        <w:t xml:space="preserve">Excluded if the article has ≥2 basic-science terms AND no clinical terms:</w:t>
      </w:r>
    </w:p>
    <w:p>
      <w:pPr>
        <w:pStyle w:val="ListParagraph"/>
        <w:numPr>
          <w:ilvl w:val="0"/>
          <w:numId w:val="2"/>
        </w:numPr>
        <w:spacing w:after="60"/>
      </w:pPr>
      <w:r>
        <w:rPr>
          <w:rFonts w:ascii="Calibri" w:cs="Calibri" w:eastAsia="Calibri" w:hAnsi="Calibri"/>
          <w:color w:val="1A1A1A"/>
          <w:sz w:val="22"/>
          <w:szCs w:val="22"/>
        </w:rPr>
        <w:t xml:space="preserve">Basic-science terms: in vitro, mouse model, rat model, murine, cell line, Drosophila, xenograft, knockout mice, transgenic mice</w:t>
      </w:r>
    </w:p>
    <w:p>
      <w:pPr>
        <w:pStyle w:val="ListParagraph"/>
        <w:numPr>
          <w:ilvl w:val="0"/>
          <w:numId w:val="2"/>
        </w:numPr>
        <w:spacing w:after="60"/>
      </w:pPr>
      <w:r>
        <w:rPr>
          <w:rFonts w:ascii="Calibri" w:cs="Calibri" w:eastAsia="Calibri" w:hAnsi="Calibri"/>
          <w:color w:val="1A1A1A"/>
          <w:sz w:val="22"/>
          <w:szCs w:val="22"/>
        </w:rPr>
        <w:t xml:space="preserve">Clinical terms (any one prevents exclusion): patient, clinical trial, cohort, children, adolescent, pediatric, paediatric, guideline, review, meta-analysis, real-world, registry</w:t>
      </w:r>
    </w:p>
    <w:p>
      <w:pPr>
        <w:spacing w:after="0" w:before="60"/>
      </w:pPr>
      <w:r>
        <w:t xml:space="preserve"/>
      </w:r>
    </w:p>
    <w:p>
      <w:pPr>
        <w:pStyle w:val="Heading2"/>
      </w:pPr>
      <w:r>
        <w:t xml:space="preserve">Adult-Only Studies</w:t>
      </w:r>
    </w:p>
    <w:p>
      <w:pPr>
        <w:spacing w:after="100"/>
      </w:pPr>
      <w:r>
        <w:rPr>
          <w:rFonts w:ascii="Calibri" w:cs="Calibri" w:eastAsia="Calibri" w:hAnsi="Calibri"/>
          <w:color w:val="1A1A1A"/>
          <w:sz w:val="22"/>
          <w:szCs w:val="22"/>
        </w:rPr>
        <w:t xml:space="preserve">Excluded if adult markers are present without any pediatric markers:</w:t>
      </w:r>
    </w:p>
    <w:p>
      <w:pPr>
        <w:pStyle w:val="ListParagraph"/>
        <w:numPr>
          <w:ilvl w:val="0"/>
          <w:numId w:val="2"/>
        </w:numPr>
        <w:spacing w:after="60"/>
      </w:pPr>
      <w:r>
        <w:rPr>
          <w:rFonts w:ascii="Calibri" w:cs="Calibri" w:eastAsia="Calibri" w:hAnsi="Calibri"/>
          <w:color w:val="1A1A1A"/>
          <w:sz w:val="22"/>
          <w:szCs w:val="22"/>
        </w:rPr>
        <w:t xml:space="preserve">Adult markers (regex-matched): adult patients, adult population, adults with type 2, postmenopausal, geriatric, elderly patients, "mean age" followed by 40-99, older adults, age ≥50, age ≥60</w:t>
      </w:r>
    </w:p>
    <w:p>
      <w:pPr>
        <w:pStyle w:val="ListParagraph"/>
        <w:numPr>
          <w:ilvl w:val="0"/>
          <w:numId w:val="2"/>
        </w:numPr>
        <w:spacing w:after="60"/>
      </w:pPr>
      <w:r>
        <w:rPr>
          <w:rFonts w:ascii="Calibri" w:cs="Calibri" w:eastAsia="Calibri" w:hAnsi="Calibri"/>
          <w:color w:val="1A1A1A"/>
          <w:sz w:val="22"/>
          <w:szCs w:val="22"/>
        </w:rPr>
        <w:t xml:space="preserve">Pediatric markers (any one prevents exclusion): child, adolescent, pediatric, paediatric, youth, juvenile, puberty, pubertal, neonatal, infant, young adult, transition, school-age</w:t>
      </w:r>
    </w:p>
    <w:p>
      <w:pPr>
        <w:spacing w:after="0" w:before="80"/>
      </w:pPr>
      <w:r>
        <w:t xml:space="preserve"/>
      </w:r>
    </w:p>
    <w:p>
      <w:r>
        <w:br w:type="page"/>
      </w:r>
    </w:p>
    <w:p>
      <w:pPr>
        <w:pStyle w:val="Heading1"/>
      </w:pPr>
      <w:r>
        <w:t xml:space="preserve">Topic Classification</w:t>
      </w:r>
    </w:p>
    <w:p>
      <w:pPr>
        <w:spacing w:after="100"/>
      </w:pPr>
      <w:r>
        <w:rPr>
          <w:rFonts w:ascii="Calibri" w:cs="Calibri" w:eastAsia="Calibri" w:hAnsi="Calibri"/>
          <w:color w:val="1A1A1A"/>
          <w:sz w:val="22"/>
          <w:szCs w:val="22"/>
        </w:rPr>
        <w:t xml:space="preserve">Topic assignment uses a first-match waterfall with 25 branches executed in priority order. Pre-checks run before their natural position in the waterfall because shared vocabulary across topics would cause misclassification.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Priority</w:t>
            </w:r>
          </w:p>
        </w:tc>
        <w:tc>
          <w:tcPr>
            <w:tcW w:type="dxa" w:w="22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Topic</w:t>
            </w:r>
          </w:p>
        </w:tc>
        <w:tc>
          <w:tcPr>
            <w:tcW w:type="dxa" w:w="58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Detection Logic</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Lipids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Runs before everything. Catches FH articles that contain "insulin" (insulin resistance context) which would otherwise trigger Diabetes. Keywords: familial hypercholesterolemia, heterozygous FH, homozygous FH.</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Cancer Late Effects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Runs before Growth, Thyroid, and Puberty. Cancer survivors share vocabulary with those branches. Matched via &gt;50 high-specificity compound phrases (e.g., "childhood cancer survivor", "radiation-induced growth hormone", "oncofertility").</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IGF-primary articles</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Catches articles where IGF-1/IGF-2 is the subject but no strong diabetes terms are present. Routes to Growth. Prevents "insulin-like growth factor" from triggering Diabetes.</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4</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Adrenal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High-specificity terms: pseudohypoaldosteronism, adrenocortical carcinoma, adrenocortical tumor, pheochromocytoma, primary aldosteronism, adrenal crisis. Also "congenital adrenal hyperplasia" in TITLE (not abstract) only.</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Bone/Calcium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Catches burosumab, FGF23, FGF-23, X-linked hypophosphatemia, XLH, phosphate wasting, hypophosphatemic rickets, pseudohypoparathyroidism, Albright hereditary osteodystrophy — before Pituitary or Growth can claim them.</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6</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General Endocrinology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Broad transition-of-care articles (transition to adult care + multiple endocrine conditions) and autoimmune polyendocrinopathies (APECED, APS-1, multiple endocrine neoplasia).</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7</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Pituitary</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Runs before Growth and Adrenal. Specific pathology terms only: craniopharyngioma, pituitary adenoma/tumor, prolactinoma, hypophysitis, hypopituitarism, acromegaly, diabetes insipidus, AVP-D, SIADH, central hypothyroidism/adrenal insufficiency, copeptin, septo-optic dysplasia. Intentionally excludes bare "pituitary" and bare "hypothalamic".</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8</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Hyperinsulinism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Compound phrases: congenital hyperinsulinism, hyperinsulinism hyperammonemia, hyperinsulinemic hypoglycemia, focal/diffuse hyperinsulinism, nesidioblastosis, hyperinsulinism of infancy. Runs before Diabetes to prevent CGM/insulin/glucose keywords from pulling these articles in.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9</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Technology</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Returns Diabetes topic with Technology subtopic. Keywords: CGM, continuous glucose monitoring, glucose monitoring, insulin pump, closed loop, closed-loop, artificial pancreas, hybrid closed, automated insulin delivery, flash glucose, Libre, Dexcom, Tandem, Omnipod, Medtronic 780, AID system, diabetes technology, time in range.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10</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 General</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Returns Diabetes topic with General subtopic. Keywords: diabetes, insulin, hyperglycemia, hypoglycemia, DKA, diabetic ketoacidosis, HbA1c, glycemic, type 1/2, neonatal diabetes, islet, beta cell, autoimmune diabetes, monogenic diabetes, glucokinase, MODY (word-boundary regex).</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11</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Hyperinsulinism / Hypoglycemia</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Post-Diabetes branch. Catches remaining HI/hypoglycemia articles not already routed by pre-check. Keywords: hyperinsulinism, persistent hypoglycemia, diazoxide, octreotide hypoglycemia, KATP channel, KCNJ11, ABCC8.</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12</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Puberty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High-specificity CPP treatment terms that run before Growth: precocious puberty, central precocious, GnRH agonist/analog, leuprolide, triptorelin, histrelin, nafarelin, puberty/pubertal suppression, thelarche variant.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13</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Growth</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growth hormone, growth disorder, short stature, idiopathic short, IGF-1/IGF-I/IGF1, growth velocity/failure, somatotropin, GHD, SGA, Prader-Willi, Turner syndrome, skeletal dysplasia, achondroplasia, growth chart, somavaratan, lonapegsomatropin, somatrogon.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14</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DSD</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disorder/differences of sex development, DSD, 46,XY/46,XX DSD, ambiguous genitalia, CAH gender, virilizing ovarian/adrenal.</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15</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Puberty (main)</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"hypogonadotropic" added to catch CHH/Kallmann without "puberty" in abstract. Other: puberty, pubertal, delayed puberty, gonadotropin, GnRH, LH-RH, menarche, thelarche, adrenarche, pubarche, Tanner stage, Kallmann syndrome.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16</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PCOS</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polycystic ovary, PCOS, hyperandrogenism adolescent, oligomenorrhea adolescent, hyperandrogenic, anovulation in adolescent, androgen excess, oligo-amenorrhea.</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17</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Obesity/Metabolic (EDC pre-check)</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Endocrine-disrupting chemical articles that mention thyroid pathways as one of several mechanisms are caught here (before the Thyroid branch). Requires both EDC term AND obesity/adipogen/obesogen/metabolic term.</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18</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Thyroid</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hypothyroid, hyperthyroid, Graves, Hashimoto, thyrotoxicosis, goiter, TSH, thyroxine, congenital hypothyroid, thyroid cancer/nodule, antithyroid. "thyroid" uses word-boundary regex to exclude parathyroid/hyperparathyroidism.</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19</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Adrenal (main)</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adrenal, cortisol, Cushing, congenital adrenal hyperplasia, CAH, aldosterone, pheochromocytoma, adrenal insufficiency, glucocorticoid, mineralocorticoid, Addison.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20</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Lipids (main)</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Broader catch: familial hypercholesterolemia, lipid-lowering therapy in children, statin in children/adolescents, pediatric dyslipidemia, lipoprotein(a), Lp(a), or (hypercholesterolemia + lipid).</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21</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Water/Electrolytes</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Cleaned in v2.1 — DI/SIADH/AVP moved to Pituitary. Remaining: hyponatremia, hypernatremia, desmopressin (nocturnal enuresis), water balance, anti-diuretic hormone, salt-wasting.</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22</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Bone/Calcium (main)</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bone density, osteoporosis/osteopenia, calcium, vitamin D, parathyroid, rickets, hypocalcemia/hypercalcemia, bone mineral, fracture risk, hypoparathyroidism/hyperparathyroidism, burosumab, hypophosphatemia, FGF23, denosumab, bisphosphonate, zoledronic acid, pamidronate, DXA, XLH (regex).</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23</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Obesity/Metabolic (main)</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obesity, overweight, metabolic syndrome, NAFLD/NASH, insulin resistance, GLP-1, semaglutide, tirzepatide, liraglutide, weight management, bariatric, BMI, dyslipidemia, lipid disorder.</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24</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Genetics</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Keywords: genetic, exome, whole exome, variant, pathogenic variant, mutation, gnomAD, monogenic, rare disease, chromosome, del(, duplication, imprinting, uniparental disomy.</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25</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General Endocrinology</w:t>
            </w:r>
          </w:p>
        </w:tc>
        <w:tc>
          <w:tcPr>
            <w:tcW w:type="dxa" w:w="5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Default catch-all — reached only if no prior branch matched.</w:t>
            </w:r>
          </w:p>
        </w:tc>
      </w:tr>
    </w:tbl>
    <w:p>
      <w:pPr>
        <w:spacing w:after="0" w:before="80"/>
      </w:pPr>
      <w:r>
        <w:t xml:space="preserve"/>
      </w:r>
    </w:p>
    <w:p>
      <w:pPr>
        <w:pStyle w:val="Heading2"/>
      </w:pPr>
      <w:r>
        <w:t xml:space="preserve">Cancer Late Effects — Pre-check Detail</w:t>
      </w:r>
    </w:p>
    <w:p>
      <w:pPr>
        <w:spacing w:after="100"/>
      </w:pPr>
      <w:r>
        <w:rPr>
          <w:rFonts w:ascii="Calibri" w:cs="Calibri" w:eastAsia="Calibri" w:hAnsi="Calibri"/>
          <w:color w:val="1A1A1A"/>
          <w:sz w:val="22"/>
          <w:szCs w:val="22"/>
        </w:rPr>
        <w:t xml:space="preserve">Because cancer survivor articles share vocabulary with Growth (cranial radiation → GHD), Thyroid (neck/TBI radiation → hypothyroidism), and Puberty (alkylating agents → gonadal failure), a high-specificity compound-phrase list runs first. The pre-check includes:</w:t>
      </w:r>
    </w:p>
    <w:p>
      <w:pPr>
        <w:pStyle w:val="ListParagraph"/>
        <w:numPr>
          <w:ilvl w:val="0"/>
          <w:numId w:val="2"/>
        </w:numPr>
        <w:spacing w:after="60"/>
      </w:pPr>
      <w:r>
        <w:rPr>
          <w:rFonts w:ascii="Calibri" w:cs="Calibri" w:eastAsia="Calibri" w:hAnsi="Calibri"/>
          <w:color w:val="1A1A1A"/>
          <w:sz w:val="22"/>
          <w:szCs w:val="22"/>
        </w:rPr>
        <w:t xml:space="preserve">Survivor identity: "childhood cancer survivor", "pediatric cancer survivor", "off-therapy cancer"</w:t>
      </w:r>
    </w:p>
    <w:p>
      <w:pPr>
        <w:pStyle w:val="ListParagraph"/>
        <w:numPr>
          <w:ilvl w:val="0"/>
          <w:numId w:val="2"/>
        </w:numPr>
        <w:spacing w:after="60"/>
      </w:pPr>
      <w:r>
        <w:rPr>
          <w:rFonts w:ascii="Calibri" w:cs="Calibri" w:eastAsia="Calibri" w:hAnsi="Calibri"/>
          <w:color w:val="1A1A1A"/>
          <w:sz w:val="22"/>
          <w:szCs w:val="22"/>
        </w:rPr>
        <w:t xml:space="preserve">Late effects framing: "late effects of cancer", "endocrine late effect", "oncology late effect", "endocrine sequela"</w:t>
      </w:r>
    </w:p>
    <w:p>
      <w:pPr>
        <w:pStyle w:val="ListParagraph"/>
        <w:numPr>
          <w:ilvl w:val="0"/>
          <w:numId w:val="2"/>
        </w:numPr>
        <w:spacing w:after="60"/>
      </w:pPr>
      <w:r>
        <w:rPr>
          <w:rFonts w:ascii="Calibri" w:cs="Calibri" w:eastAsia="Calibri" w:hAnsi="Calibri"/>
          <w:color w:val="1A1A1A"/>
          <w:sz w:val="22"/>
          <w:szCs w:val="22"/>
        </w:rPr>
        <w:t xml:space="preserve">Radiation-specific: "radiation-induced hypothyroidism/thyroid/GH/gonadal", "cranial radiation growth", "total body irradiation endocrine/thyroid/growth/gonadal"</w:t>
      </w:r>
    </w:p>
    <w:p>
      <w:pPr>
        <w:pStyle w:val="ListParagraph"/>
        <w:numPr>
          <w:ilvl w:val="0"/>
          <w:numId w:val="2"/>
        </w:numPr>
        <w:spacing w:after="60"/>
      </w:pPr>
      <w:r>
        <w:rPr>
          <w:rFonts w:ascii="Calibri" w:cs="Calibri" w:eastAsia="Calibri" w:hAnsi="Calibri"/>
          <w:color w:val="1A1A1A"/>
          <w:sz w:val="22"/>
          <w:szCs w:val="22"/>
        </w:rPr>
        <w:t xml:space="preserve">Chemotherapy-specific: "gonadotoxic chemotherapy/treatment/therapy/radiation", "alkylating agent gonadal", "cisplatin endocrine", "busulfan endocrine"</w:t>
      </w:r>
    </w:p>
    <w:p>
      <w:pPr>
        <w:pStyle w:val="ListParagraph"/>
        <w:numPr>
          <w:ilvl w:val="0"/>
          <w:numId w:val="2"/>
        </w:numPr>
        <w:spacing w:after="60"/>
      </w:pPr>
      <w:r>
        <w:rPr>
          <w:rFonts w:ascii="Calibri" w:cs="Calibri" w:eastAsia="Calibri" w:hAnsi="Calibri"/>
          <w:color w:val="1A1A1A"/>
          <w:sz w:val="22"/>
          <w:szCs w:val="22"/>
        </w:rPr>
        <w:t xml:space="preserve">Fertility preservation: "oncofertility", "fertility preservation in cancer", "ovarian tissue cryopreservation cancer"</w:t>
      </w:r>
    </w:p>
    <w:p>
      <w:pPr>
        <w:pStyle w:val="ListParagraph"/>
        <w:numPr>
          <w:ilvl w:val="0"/>
          <w:numId w:val="2"/>
        </w:numPr>
        <w:spacing w:after="60"/>
      </w:pPr>
      <w:r>
        <w:rPr>
          <w:rFonts w:ascii="Calibri" w:cs="Calibri" w:eastAsia="Calibri" w:hAnsi="Calibri"/>
          <w:color w:val="1A1A1A"/>
          <w:sz w:val="22"/>
          <w:szCs w:val="22"/>
        </w:rPr>
        <w:t xml:space="preserve">BMT/HSCT: "hematopoietic stem cell transplant endocrine", "HSCT endocrine/thyroid/growth"</w:t>
      </w:r>
    </w:p>
    <w:p>
      <w:pPr>
        <w:pStyle w:val="ListParagraph"/>
        <w:numPr>
          <w:ilvl w:val="0"/>
          <w:numId w:val="2"/>
        </w:numPr>
        <w:spacing w:after="60"/>
      </w:pPr>
      <w:r>
        <w:rPr>
          <w:rFonts w:ascii="Calibri" w:cs="Calibri" w:eastAsia="Calibri" w:hAnsi="Calibri"/>
          <w:color w:val="1A1A1A"/>
          <w:sz w:val="22"/>
          <w:szCs w:val="22"/>
        </w:rPr>
        <w:t xml:space="preserve">Specific cancers: "childhood leukemia endocrine/thyroid/growth", "medulloblastoma survivor endocrine", "brain tumor survivor endocrine"</w:t>
      </w:r>
    </w:p>
    <w:p>
      <w:pPr>
        <w:spacing w:after="0" w:before="80"/>
      </w:pPr>
      <w:r>
        <w:t xml:space="preserve"/>
      </w:r>
    </w:p>
    <w:p>
      <w:pPr>
        <w:pStyle w:val="Heading1"/>
      </w:pPr>
      <w:r>
        <w:t xml:space="preserve">Diabetes Subtype Logic</w:t>
      </w:r>
    </w:p>
    <w:p>
      <w:pPr>
        <w:spacing w:after="100"/>
      </w:pPr>
      <w:r>
        <w:rPr>
          <w:rFonts w:ascii="Calibri" w:cs="Calibri" w:eastAsia="Calibri" w:hAnsi="Calibri"/>
          <w:color w:val="1A1A1A"/>
          <w:sz w:val="22"/>
          <w:szCs w:val="22"/>
        </w:rPr>
        <w:t xml:space="preserve">Runs only when topic == "Diabetes". Returns one of six subtypes stored in the diabetes_subtype column. Hyperinsulinism is checked first to prevent misclassification.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Subtype</w:t>
            </w:r>
          </w:p>
        </w:tc>
        <w:tc>
          <w:tcPr>
            <w:tcW w:type="dxa" w:w="76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Detection Keywords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T1D</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"type 1 diabetes", "t1d", "t1dm", "autoimmune diabetes", "islet autoantibody", "latent autoimmune"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T2D</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"type 2 diabetes", "t2d", "t2dm"</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MODY/Monogenic</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"mody" (word-boundary regex), "maturity-onset diabetes of the young", "monogenic diabetes", "hnf1", "hnf4", "gck mutation", "glucokinase", "neonatal diabetes", "transient neonatal", "kcnj11", "abcc8"</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GDM</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"gestational diabetes", "gdm"</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Hyperinsulinism</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"congenital hyperinsulinism", "hyperinsulinism of infancy", "nesidioblastosis", "focal hyperinsulinism" — checked first to prevent misclassification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General</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No specific subtype markers found — catch-all for articles in Diabetes topic</w:t>
            </w:r>
          </w:p>
        </w:tc>
      </w:tr>
    </w:tbl>
    <w:p>
      <w:pPr>
        <w:spacing w:after="0" w:before="80"/>
      </w:pPr>
      <w:r>
        <w:t xml:space="preserve"/>
      </w:r>
    </w:p>
    <w:p>
      <w:r>
        <w:br w:type="page"/>
      </w:r>
    </w:p>
    <w:p>
      <w:pPr>
        <w:pStyle w:val="Heading1"/>
      </w:pPr>
      <w:r>
        <w:t xml:space="preserve">Study Type Classification</w:t>
      </w:r>
    </w:p>
    <w:p>
      <w:pPr>
        <w:spacing w:after="100"/>
      </w:pPr>
      <w:r>
        <w:rPr>
          <w:rFonts w:ascii="Calibri" w:cs="Calibri" w:eastAsia="Calibri" w:hAnsi="Calibri"/>
          <w:color w:val="1A1A1A"/>
          <w:sz w:val="22"/>
          <w:szCs w:val="22"/>
        </w:rPr>
        <w:t xml:space="preserve">Study type is assigned from PubMed pub_types and title/abstract text in priority order (first match wins). The evidence level integer (ev_level) is a secondary signal used by the impact classifier.</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Study Type</w:t>
            </w:r>
          </w:p>
        </w:tc>
        <w:tc>
          <w:tcPr>
            <w:tcW w:type="dxa" w:w="28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Evidence Level</w:t>
            </w:r>
          </w:p>
        </w:tc>
        <w:tc>
          <w:tcPr>
            <w:tcW w:type="dxa" w:w="44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Detection Logic</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Meta-analysis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"meta-analysis" OR text match "meta-analysis"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Systematic Review</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"systematic review" OR text match "systematic review"</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Guideline/Consensus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"guideline"/"practice guideline" OR title/abstract (first 120 chars) contains: "guidelines for", "clinical practice guideline", "consensus statement", "position statement", "expert consensus", "expert panel", "clinical recommendations"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RCT</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"randomized controlled trial"/"randomized" OR ("randomized" + ("trial" or "rct")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Clinical Trial</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"clinical trial" (not already RCT)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Review</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"review" OR title starts with "review" OR "mini review"/"narrative review" in first 120 chars OR title ends with "review" OR ": a review"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Scoping Review</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"scoping review"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Observational/Cohort</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"cohort" or "retrospective" or "prospective cohort"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Registry/Database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"registry" in text OR ("database" + "analysis")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Prospective Study</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"prospective" in text (not already Observational/Cohort)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Real-World Study</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"real-world" or "real world"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Case-Control</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"case-control" or "case control"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Cross-Sectional</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4</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"cross-sectional" in text or pub_type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Pilot Study</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4</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"pilot" + ("study" or "trial")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Survey/Questionnaire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4</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"survey" or "questionnaire"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Health Economics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4</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"economic" + ("cost" or "burden")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Case Series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"case series" or ("cases" + "series") in text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Letter/Correspondence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6</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"letter"/"letter to the editor"</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Editorial/Commentary</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6</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PubMed pub_type "editorial"/"comment" OR "commentary"/"editorial" in first 120 chars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Other</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4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Catch-all — no prior pattern matched</w:t>
            </w:r>
          </w:p>
        </w:tc>
      </w:tr>
    </w:tbl>
    <w:p>
      <w:pPr>
        <w:spacing w:after="0" w:before="80"/>
      </w:pPr>
      <w:r>
        <w:t xml:space="preserve"/>
      </w:r>
    </w:p>
    <w:p>
      <w:pPr>
        <w:pStyle w:val="Heading1"/>
      </w:pPr>
      <w:r>
        <w:t xml:space="preserve">Impact Tier Classification</w:t>
      </w:r>
    </w:p>
    <w:p>
      <w:pPr>
        <w:spacing w:after="100"/>
      </w:pPr>
      <w:r>
        <w:rPr>
          <w:rFonts w:ascii="Calibri" w:cs="Calibri" w:eastAsia="Calibri" w:hAnsi="Calibri"/>
          <w:color w:val="1A1A1A"/>
          <w:sz w:val="22"/>
          <w:szCs w:val="22"/>
        </w:rPr>
        <w:t xml:space="preserve">Impact tier is derived from study type, journal prestige, PA signals, sample size, and multicenter status. Always LOW for case reports, editorials, and letters.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rPr>
          <w:tblHeader/>
        </w:trPr>
        <w:tc>
          <w:tcPr>
            <w:tcW w:type="dxa" w:w="22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Impact Tier</w:t>
            </w:r>
          </w:p>
        </w:tc>
        <w:tc>
          <w:tcPr>
            <w:tcW w:type="dxa" w:w="35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Qualifying Criteria</w:t>
            </w:r>
          </w:p>
        </w:tc>
        <w:tc>
          <w:tcPr>
            <w:tcW w:type="dxa" w:w="43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Clinical Meaning</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PRACTICE-ALTERING (PA)</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All Guideline/Consensus statements; RCTs that are prestige journal + large n or multicenter + ≥1 PA signal; Meta-analyses with ≥2 PA signals or (prestige + ≥1 PA signal); Systematic Reviews with ≥2 PA signals</w:t>
            </w:r>
          </w:p>
        </w:tc>
        <w:tc>
          <w:tcPr>
            <w:tcW w:type="dxa" w:w="43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Directly changes what you do Monday morning. FDA/EMA approvals, landmark society guidelines, major trial results.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HIGH</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All Meta-analyses (not already PA); All Systematic Reviews (not already PA); RCTs not meeting PA threshold (n≥30 or prestige); Clinical Trials (prestige, large n, or ≥1 PA signal); Reviews in prestige journals</w:t>
            </w:r>
          </w:p>
        </w:tc>
        <w:tc>
          <w:tcPr>
            <w:tcW w:type="dxa" w:w="43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Strongest available evidence for topic. Should inform clinical decisions even if no immediate practice change.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MODERATE</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Small RCTs (n&lt;30, non-prestige); Early-phase Clinical Trials; Observational/Cohort, Registry, Prospective, Real-World studies (if large n, multicenter, or prestige); Non-prestige Reviews; Cross-sectional/Survey with prestige + large n</w:t>
            </w:r>
          </w:p>
        </w:tc>
        <w:tc>
          <w:tcPr>
            <w:tcW w:type="dxa" w:w="43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Informative but insufficient for definitive practice change alone. Good for building clinical awareness.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LOW</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Case Series; Editorials/Commentaries; Letters/Correspondence; Small cross-sectional/survey; Observational studies not meeting MODERATE criteria</w:t>
            </w:r>
          </w:p>
        </w:tc>
        <w:tc>
          <w:tcPr>
            <w:tcW w:type="dxa" w:w="43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Background reading. Does not independently guide clinical decisions.</w:t>
            </w:r>
          </w:p>
        </w:tc>
      </w:tr>
    </w:tbl>
    <w:p>
      <w:pPr>
        <w:spacing w:after="0" w:before="60"/>
      </w:pPr>
      <w:r>
        <w:t xml:space="preserve"/>
      </w:r>
    </w:p>
    <w:p>
      <w:pPr>
        <w:pStyle w:val="Heading2"/>
      </w:pPr>
      <w:r>
        <w:t xml:space="preserve">Prestige Journal List</w:t>
      </w:r>
    </w:p>
    <w:p>
      <w:pPr>
        <w:spacing w:after="100"/>
      </w:pPr>
      <w:r>
        <w:rPr>
          <w:rFonts w:ascii="Calibri" w:cs="Calibri" w:eastAsia="Calibri" w:hAnsi="Calibri"/>
          <w:color w:val="1A1A1A"/>
          <w:sz w:val="22"/>
          <w:szCs w:val="22"/>
        </w:rPr>
        <w:t xml:space="preserve">Journals matched as substrings against lowercased journal field. A match enables "prestige" flag in the impact logic.</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Journal</w:t>
            </w:r>
          </w:p>
        </w:tc>
        <w:tc>
          <w:tcPr>
            <w:tcW w:type="dxa" w:w="65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Notes</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Nature Reviews Endocrinology</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Highest IF review journal in endocrinology</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The Lancet (all Lancet titles)</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Includes Lancet Diabetes &amp; Endocrinology — matched via substring "lancet" (v2.2 fix: prior "lancet diabetes" string missed other Lancet variants)</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New England Journal of Medicine</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Matched via "new england journal"</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JAMA</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Matched via "jama"</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BMJ / British Medical Journal</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Matched via "bmj" or "british medical journal"</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Diabetologia</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High-IF diabetes journal; directly relevant to peds endo</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 Care</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Added v2.2 — high-IF ADA journal</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Journal of Clinical Endocrinology &amp; Metabolism (JCEM)</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Added v2.2 — matched via "journal of clinical endocrinology"</w:t>
            </w:r>
          </w:p>
        </w:tc>
      </w:tr>
      <w:tr>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Endocrine Reviews</w:t>
            </w:r>
          </w:p>
        </w:tc>
        <w:tc>
          <w:tcPr>
            <w:tcW w:type="dxa" w:w="65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Added v2.2 — highest IF in field</w:t>
            </w:r>
          </w:p>
        </w:tc>
      </w:tr>
    </w:tbl>
    <w:p>
      <w:pPr>
        <w:spacing w:after="0" w:before="60"/>
      </w:pPr>
      <w:r>
        <w:t xml:space="preserve"/>
      </w:r>
    </w:p>
    <w:p>
      <w:pPr>
        <w:pStyle w:val="Heading2"/>
      </w:pPr>
      <w:r>
        <w:t xml:space="preserve">Practice-Altering (PA) Signals</w:t>
      </w:r>
    </w:p>
    <w:p>
      <w:pPr>
        <w:spacing w:after="100"/>
      </w:pPr>
      <w:r>
        <w:rPr>
          <w:rFonts w:ascii="Calibri" w:cs="Calibri" w:eastAsia="Calibri" w:hAnsi="Calibri"/>
          <w:color w:val="1A1A1A"/>
          <w:sz w:val="22"/>
          <w:szCs w:val="22"/>
        </w:rPr>
        <w:t xml:space="preserve">These keywords in title + abstract contribute to the PA score. Articles with pa_score ≥ 2 OR (pa_score ≥ 1 AND prestige) may qualify for PRACTICE-ALTERING depending on study type.</w:t>
      </w:r>
    </w:p>
    <w:p>
      <w:pPr>
        <w:pStyle w:val="ListParagraph"/>
        <w:numPr>
          <w:ilvl w:val="0"/>
          <w:numId w:val="2"/>
        </w:numPr>
        <w:spacing w:after="60"/>
      </w:pPr>
      <w:r>
        <w:rPr>
          <w:rFonts w:ascii="Calibri" w:cs="Calibri" w:eastAsia="Calibri" w:hAnsi="Calibri"/>
          <w:color w:val="1A1A1A"/>
          <w:sz w:val="22"/>
          <w:szCs w:val="22"/>
        </w:rPr>
        <w:t xml:space="preserve">"guideline", "consensus statement", "position statement"</w:t>
      </w:r>
    </w:p>
    <w:p>
      <w:pPr>
        <w:pStyle w:val="ListParagraph"/>
        <w:numPr>
          <w:ilvl w:val="0"/>
          <w:numId w:val="2"/>
        </w:numPr>
        <w:spacing w:after="60"/>
      </w:pPr>
      <w:r>
        <w:rPr>
          <w:rFonts w:ascii="Calibri" w:cs="Calibri" w:eastAsia="Calibri" w:hAnsi="Calibri"/>
          <w:color w:val="1A1A1A"/>
          <w:sz w:val="22"/>
          <w:szCs w:val="22"/>
        </w:rPr>
        <w:t xml:space="preserve">"clinical practice guideline", "clinical practice recommendation"</w:t>
      </w:r>
    </w:p>
    <w:p>
      <w:pPr>
        <w:pStyle w:val="ListParagraph"/>
        <w:numPr>
          <w:ilvl w:val="0"/>
          <w:numId w:val="2"/>
        </w:numPr>
        <w:spacing w:after="60"/>
      </w:pPr>
      <w:r>
        <w:rPr>
          <w:rFonts w:ascii="Calibri" w:cs="Calibri" w:eastAsia="Calibri" w:hAnsi="Calibri"/>
          <w:color w:val="1A1A1A"/>
          <w:sz w:val="22"/>
          <w:szCs w:val="22"/>
        </w:rPr>
        <w:t xml:space="preserve">"fda approved", "fda approval", "ema approved", "ema approval"</w:t>
      </w:r>
    </w:p>
    <w:p>
      <w:pPr>
        <w:pStyle w:val="ListParagraph"/>
        <w:numPr>
          <w:ilvl w:val="0"/>
          <w:numId w:val="2"/>
        </w:numPr>
        <w:spacing w:after="60"/>
      </w:pPr>
      <w:r>
        <w:rPr>
          <w:rFonts w:ascii="Calibri" w:cs="Calibri" w:eastAsia="Calibri" w:hAnsi="Calibri"/>
          <w:color w:val="1A1A1A"/>
          <w:sz w:val="22"/>
          <w:szCs w:val="22"/>
        </w:rPr>
        <w:t xml:space="preserve">"regulatory approval", "newly approved"</w:t>
      </w:r>
    </w:p>
    <w:p>
      <w:pPr>
        <w:pStyle w:val="ListParagraph"/>
        <w:numPr>
          <w:ilvl w:val="0"/>
          <w:numId w:val="2"/>
        </w:numPr>
        <w:spacing w:after="60"/>
      </w:pPr>
      <w:r>
        <w:rPr>
          <w:rFonts w:ascii="Calibri" w:cs="Calibri" w:eastAsia="Calibri" w:hAnsi="Calibri"/>
          <w:color w:val="1A1A1A"/>
          <w:sz w:val="22"/>
          <w:szCs w:val="22"/>
        </w:rPr>
        <w:t xml:space="preserve">"first-line treatment", "first-line therapy", "first-line recommendation"</w:t>
      </w:r>
    </w:p>
    <w:p>
      <w:pPr>
        <w:pStyle w:val="ListParagraph"/>
        <w:numPr>
          <w:ilvl w:val="0"/>
          <w:numId w:val="2"/>
        </w:numPr>
        <w:spacing w:after="60"/>
      </w:pPr>
      <w:r>
        <w:rPr>
          <w:rFonts w:ascii="Calibri" w:cs="Calibri" w:eastAsia="Calibri" w:hAnsi="Calibri"/>
          <w:color w:val="1A1A1A"/>
          <w:sz w:val="22"/>
          <w:szCs w:val="22"/>
        </w:rPr>
        <w:t xml:space="preserve">"changes clinical practice", "practice-changing"</w:t>
      </w:r>
    </w:p>
    <w:p>
      <w:pPr>
        <w:spacing w:after="100"/>
      </w:pPr>
      <w:r>
        <w:rPr>
          <w:rFonts w:ascii="Calibri" w:cs="Calibri" w:eastAsia="Calibri" w:hAnsi="Calibri"/>
          <w:color w:val="1A1A1A"/>
          <w:sz w:val="22"/>
          <w:szCs w:val="22"/>
        </w:rPr>
        <w:t xml:space="preserve">Note: "management of" and "standard of care" were present in v2.1 and removed in v2.2 — they are too generic and caused non-PA articles to be over-elevated.</w:t>
      </w:r>
    </w:p>
    <w:p>
      <w:pPr>
        <w:spacing w:after="0" w:before="60"/>
      </w:pPr>
      <w:r>
        <w:t xml:space="preserve"/>
      </w:r>
    </w:p>
    <w:p>
      <w:pPr>
        <w:pStyle w:val="Heading2"/>
      </w:pPr>
      <w:r>
        <w:t xml:space="preserve">Sample Size Extraction</w:t>
      </w:r>
    </w:p>
    <w:p>
      <w:pPr>
        <w:spacing w:after="100"/>
      </w:pPr>
      <w:r>
        <w:rPr>
          <w:rFonts w:ascii="Calibri" w:cs="Calibri" w:eastAsia="Calibri" w:hAnsi="Calibri"/>
          <w:color w:val="1A1A1A"/>
          <w:sz w:val="22"/>
          <w:szCs w:val="22"/>
        </w:rPr>
        <w:t xml:space="preserve">Sample size (n) is extracted from title + abstract using the following regex patterns (tried in order):</w:t>
      </w:r>
    </w:p>
    <w:p>
      <w:pPr>
        <w:pStyle w:val="ListParagraph"/>
        <w:numPr>
          <w:ilvl w:val="0"/>
          <w:numId w:val="2"/>
        </w:numPr>
        <w:spacing w:after="60"/>
      </w:pPr>
      <w:r>
        <w:rPr>
          <w:rFonts w:ascii="Calibri" w:cs="Calibri" w:eastAsia="Calibri" w:hAnsi="Calibri"/>
          <w:color w:val="1A1A1A"/>
          <w:sz w:val="22"/>
          <w:szCs w:val="22"/>
        </w:rPr>
        <w:t xml:space="preserve">n = [number]  — e.g., "n = 127"</w:t>
      </w:r>
    </w:p>
    <w:p>
      <w:pPr>
        <w:pStyle w:val="ListParagraph"/>
        <w:numPr>
          <w:ilvl w:val="0"/>
          <w:numId w:val="2"/>
        </w:numPr>
        <w:spacing w:after="60"/>
      </w:pPr>
      <w:r>
        <w:rPr>
          <w:rFonts w:ascii="Calibri" w:cs="Calibri" w:eastAsia="Calibri" w:hAnsi="Calibri"/>
          <w:color w:val="1A1A1A"/>
          <w:sz w:val="22"/>
          <w:szCs w:val="22"/>
        </w:rPr>
        <w:t xml:space="preserve">[number] patients/children/adolescents/participants/subjects/individuals/infants/neonates</w:t>
      </w:r>
    </w:p>
    <w:p>
      <w:pPr>
        <w:pStyle w:val="ListParagraph"/>
        <w:numPr>
          <w:ilvl w:val="0"/>
          <w:numId w:val="2"/>
        </w:numPr>
        <w:spacing w:after="60"/>
      </w:pPr>
      <w:r>
        <w:rPr>
          <w:rFonts w:ascii="Calibri" w:cs="Calibri" w:eastAsia="Calibri" w:hAnsi="Calibri"/>
          <w:color w:val="1A1A1A"/>
          <w:sz w:val="22"/>
          <w:szCs w:val="22"/>
        </w:rPr>
        <w:t xml:space="preserve">"enrolled [number]"</w:t>
      </w:r>
    </w:p>
    <w:p>
      <w:pPr>
        <w:pStyle w:val="ListParagraph"/>
        <w:numPr>
          <w:ilvl w:val="0"/>
          <w:numId w:val="2"/>
        </w:numPr>
        <w:spacing w:after="60"/>
      </w:pPr>
      <w:r>
        <w:rPr>
          <w:rFonts w:ascii="Calibri" w:cs="Calibri" w:eastAsia="Calibri" w:hAnsi="Calibri"/>
          <w:color w:val="1A1A1A"/>
          <w:sz w:val="22"/>
          <w:szCs w:val="22"/>
        </w:rPr>
        <w:t xml:space="preserve">"included [number] patients/children/adolescents/participants"</w:t>
      </w:r>
    </w:p>
    <w:p>
      <w:pPr>
        <w:pStyle w:val="ListParagraph"/>
        <w:numPr>
          <w:ilvl w:val="0"/>
          <w:numId w:val="2"/>
        </w:numPr>
        <w:spacing w:after="60"/>
      </w:pPr>
      <w:r>
        <w:rPr>
          <w:rFonts w:ascii="Calibri" w:cs="Calibri" w:eastAsia="Calibri" w:hAnsi="Calibri"/>
          <w:color w:val="1A1A1A"/>
          <w:sz w:val="22"/>
          <w:szCs w:val="22"/>
        </w:rPr>
        <w:t xml:space="preserve">"total of [number]"</w:t>
      </w:r>
    </w:p>
    <w:p>
      <w:pPr>
        <w:spacing w:after="100"/>
      </w:pPr>
      <w:r>
        <w:rPr>
          <w:rFonts w:ascii="Calibri" w:cs="Calibri" w:eastAsia="Calibri" w:hAnsi="Calibri"/>
          <w:color w:val="1A1A1A"/>
          <w:sz w:val="22"/>
          <w:szCs w:val="22"/>
        </w:rPr>
        <w:t xml:space="preserve">Thresholds: large_n = n ≥ 100; small_n = n &lt; 30.</w:t>
      </w:r>
    </w:p>
    <w:p>
      <w:pPr>
        <w:spacing w:after="0" w:before="60"/>
      </w:pPr>
      <w:r>
        <w:t xml:space="preserve"/>
      </w:r>
    </w:p>
    <w:p>
      <w:pPr>
        <w:pStyle w:val="Heading2"/>
      </w:pPr>
      <w:r>
        <w:t xml:space="preserve">Negative Outcome Cap (v2.3)</w:t>
      </w:r>
    </w:p>
    <w:p>
      <w:pPr>
        <w:spacing w:after="100"/>
      </w:pPr>
      <w:r>
        <w:rPr>
          <w:rFonts w:ascii="Calibri" w:cs="Calibri" w:eastAsia="Calibri" w:hAnsi="Calibri"/>
          <w:color w:val="1A1A1A"/>
          <w:sz w:val="22"/>
          <w:szCs w:val="22"/>
        </w:rPr>
        <w:t xml:space="preserve">RCTs and Clinical Trials that would otherwise qualify as PRACTICE-ALTERING are capped at HIGH if the abstract signals a null or failed primary outcome:</w:t>
      </w:r>
    </w:p>
    <w:p>
      <w:pPr>
        <w:pStyle w:val="ListParagraph"/>
        <w:numPr>
          <w:ilvl w:val="0"/>
          <w:numId w:val="2"/>
        </w:numPr>
        <w:spacing w:after="60"/>
      </w:pPr>
      <w:r>
        <w:rPr>
          <w:rFonts w:ascii="Calibri" w:cs="Calibri" w:eastAsia="Calibri" w:hAnsi="Calibri"/>
          <w:color w:val="1A1A1A"/>
          <w:sz w:val="22"/>
          <w:szCs w:val="22"/>
        </w:rPr>
        <w:t xml:space="preserve">"did not meet the prespecified criteria"</w:t>
      </w:r>
    </w:p>
    <w:p>
      <w:pPr>
        <w:pStyle w:val="ListParagraph"/>
        <w:numPr>
          <w:ilvl w:val="0"/>
          <w:numId w:val="2"/>
        </w:numPr>
        <w:spacing w:after="60"/>
      </w:pPr>
      <w:r>
        <w:rPr>
          <w:rFonts w:ascii="Calibri" w:cs="Calibri" w:eastAsia="Calibri" w:hAnsi="Calibri"/>
          <w:color w:val="1A1A1A"/>
          <w:sz w:val="22"/>
          <w:szCs w:val="22"/>
        </w:rPr>
        <w:t xml:space="preserve">"did not meet its primary endpoint"</w:t>
      </w:r>
    </w:p>
    <w:p>
      <w:pPr>
        <w:pStyle w:val="ListParagraph"/>
        <w:numPr>
          <w:ilvl w:val="0"/>
          <w:numId w:val="2"/>
        </w:numPr>
        <w:spacing w:after="60"/>
      </w:pPr>
      <w:r>
        <w:rPr>
          <w:rFonts w:ascii="Calibri" w:cs="Calibri" w:eastAsia="Calibri" w:hAnsi="Calibri"/>
          <w:color w:val="1A1A1A"/>
          <w:sz w:val="22"/>
          <w:szCs w:val="22"/>
        </w:rPr>
        <w:t xml:space="preserve">"failed to demonstrate"</w:t>
      </w:r>
    </w:p>
    <w:p>
      <w:pPr>
        <w:pStyle w:val="ListParagraph"/>
        <w:numPr>
          <w:ilvl w:val="0"/>
          <w:numId w:val="2"/>
        </w:numPr>
        <w:spacing w:after="60"/>
      </w:pPr>
      <w:r>
        <w:rPr>
          <w:rFonts w:ascii="Calibri" w:cs="Calibri" w:eastAsia="Calibri" w:hAnsi="Calibri"/>
          <w:color w:val="1A1A1A"/>
          <w:sz w:val="22"/>
          <w:szCs w:val="22"/>
        </w:rPr>
        <w:t xml:space="preserve">"noninferiority was not achieved" / "did not demonstrate noninferiority"</w:t>
      </w:r>
    </w:p>
    <w:p>
      <w:pPr>
        <w:pStyle w:val="ListParagraph"/>
        <w:numPr>
          <w:ilvl w:val="0"/>
          <w:numId w:val="2"/>
        </w:numPr>
        <w:spacing w:after="60"/>
      </w:pPr>
      <w:r>
        <w:rPr>
          <w:rFonts w:ascii="Calibri" w:cs="Calibri" w:eastAsia="Calibri" w:hAnsi="Calibri"/>
          <w:color w:val="1A1A1A"/>
          <w:sz w:val="22"/>
          <w:szCs w:val="22"/>
        </w:rPr>
        <w:t xml:space="preserve">"did not alter" / "did not significantly differ"</w:t>
      </w:r>
    </w:p>
    <w:p>
      <w:pPr>
        <w:pStyle w:val="ListParagraph"/>
        <w:numPr>
          <w:ilvl w:val="0"/>
          <w:numId w:val="2"/>
        </w:numPr>
        <w:spacing w:after="60"/>
      </w:pPr>
      <w:r>
        <w:rPr>
          <w:rFonts w:ascii="Calibri" w:cs="Calibri" w:eastAsia="Calibri" w:hAnsi="Calibri"/>
          <w:color w:val="1A1A1A"/>
          <w:sz w:val="22"/>
          <w:szCs w:val="22"/>
        </w:rPr>
        <w:t xml:space="preserve">"was not superior"</w:t>
      </w:r>
    </w:p>
    <w:p>
      <w:pPr>
        <w:pStyle w:val="ListParagraph"/>
        <w:numPr>
          <w:ilvl w:val="0"/>
          <w:numId w:val="2"/>
        </w:numPr>
        <w:spacing w:after="60"/>
      </w:pPr>
      <w:r>
        <w:rPr>
          <w:rFonts w:ascii="Calibri" w:cs="Calibri" w:eastAsia="Calibri" w:hAnsi="Calibri"/>
          <w:color w:val="1A1A1A"/>
          <w:sz w:val="22"/>
          <w:szCs w:val="22"/>
        </w:rPr>
        <w:t xml:space="preserve">"no significant difference in the primary"</w:t>
      </w:r>
    </w:p>
    <w:p>
      <w:pPr>
        <w:pStyle w:val="ListParagraph"/>
        <w:numPr>
          <w:ilvl w:val="0"/>
          <w:numId w:val="2"/>
        </w:numPr>
        <w:spacing w:after="60"/>
      </w:pPr>
      <w:r>
        <w:rPr>
          <w:rFonts w:ascii="Calibri" w:cs="Calibri" w:eastAsia="Calibri" w:hAnsi="Calibri"/>
          <w:color w:val="1A1A1A"/>
          <w:sz w:val="22"/>
          <w:szCs w:val="22"/>
        </w:rPr>
        <w:t xml:space="preserve">"did not significantly reduce" / "did not significantly improve"</w:t>
      </w:r>
    </w:p>
    <w:p>
      <w:pPr>
        <w:pStyle w:val="ListParagraph"/>
        <w:numPr>
          <w:ilvl w:val="0"/>
          <w:numId w:val="2"/>
        </w:numPr>
        <w:spacing w:after="60"/>
      </w:pPr>
      <w:r>
        <w:rPr>
          <w:rFonts w:ascii="Calibri" w:cs="Calibri" w:eastAsia="Calibri" w:hAnsi="Calibri"/>
          <w:color w:val="1A1A1A"/>
          <w:sz w:val="22"/>
          <w:szCs w:val="22"/>
        </w:rPr>
        <w:t xml:space="preserve">"failed to meet"</w:t>
      </w:r>
    </w:p>
    <w:p>
      <w:pPr>
        <w:pStyle w:val="ListParagraph"/>
        <w:numPr>
          <w:ilvl w:val="0"/>
          <w:numId w:val="2"/>
        </w:numPr>
        <w:spacing w:after="60"/>
      </w:pPr>
      <w:r>
        <w:rPr>
          <w:rFonts w:ascii="Calibri" w:cs="Calibri" w:eastAsia="Calibri" w:hAnsi="Calibri"/>
          <w:color w:val="1A1A1A"/>
          <w:sz w:val="22"/>
          <w:szCs w:val="22"/>
        </w:rPr>
        <w:t xml:space="preserve">"primary endpoint was not met" / "primary outcome was not met"</w:t>
      </w:r>
    </w:p>
    <w:p>
      <w:pPr>
        <w:spacing w:after="0" w:before="80"/>
      </w:pPr>
      <w:r>
        <w:t xml:space="preserve"/>
      </w:r>
    </w:p>
    <w:p>
      <w:r>
        <w:br w:type="page"/>
      </w:r>
    </w:p>
    <w:p>
      <w:pPr>
        <w:pStyle w:val="Heading1"/>
      </w:pPr>
      <w:r>
        <w:t xml:space="preserve">Board Relevance Scoring</w:t>
      </w:r>
    </w:p>
    <w:p>
      <w:pPr>
        <w:spacing w:after="100"/>
      </w:pPr>
      <w:r>
        <w:rPr>
          <w:rFonts w:ascii="Calibri" w:cs="Calibri" w:eastAsia="Calibri" w:hAnsi="Calibri"/>
          <w:color w:val="1A1A1A"/>
          <w:sz w:val="22"/>
          <w:szCs w:val="22"/>
        </w:rPr>
        <w:t xml:space="preserve">Board relevance is a binary flag (0/1) stored in the board_relevant column. It identifies articles most likely to appear on or inform preparation for the American Board of Pediatrics (ABP) Pediatric Endocrinology Subspecialty Examination.</w:t>
      </w:r>
    </w:p>
    <w:p>
      <w:pPr>
        <w:spacing w:after="0" w:before="60"/>
      </w:pPr>
      <w:r>
        <w:t xml:space="preserve"/>
      </w:r>
    </w:p>
    <w:p>
      <w:pPr>
        <w:pStyle w:val="Heading2"/>
      </w:pPr>
      <w:r>
        <w:t xml:space="preserve">Board Relevance Rules</w:t>
      </w:r>
    </w:p>
    <w:p>
      <w:pPr>
        <w:spacing w:after="100"/>
      </w:pPr>
      <w:r>
        <w:rPr>
          <w:rFonts w:ascii="Calibri" w:cs="Calibri" w:eastAsia="Calibri" w:hAnsi="Calibri"/>
          <w:b/>
          <w:bCs/>
          <w:color w:val="1A1A1A"/>
          <w:sz w:val="22"/>
          <w:szCs w:val="22"/>
        </w:rPr>
        <w:t xml:space="preserve">An article is board-relevant (= 1) if either of the following is true:</w:t>
      </w:r>
    </w:p>
    <w:p>
      <w:pPr>
        <w:pStyle w:val="ListParagraph"/>
        <w:numPr>
          <w:ilvl w:val="0"/>
          <w:numId w:val="2"/>
        </w:numPr>
        <w:spacing w:after="60"/>
      </w:pPr>
      <w:r>
        <w:rPr>
          <w:rFonts w:ascii="Calibri" w:cs="Calibri" w:eastAsia="Calibri" w:hAnsi="Calibri"/>
          <w:color w:val="1A1A1A"/>
          <w:sz w:val="22"/>
          <w:szCs w:val="22"/>
        </w:rPr>
        <w:t xml:space="preserve">Rule 1: impact == "PRACTICE-ALTERING" — all PA articles are automatically board-relevant.</w:t>
      </w:r>
    </w:p>
    <w:p>
      <w:pPr>
        <w:pStyle w:val="ListParagraph"/>
        <w:numPr>
          <w:ilvl w:val="0"/>
          <w:numId w:val="2"/>
        </w:numPr>
        <w:spacing w:after="60"/>
      </w:pPr>
      <w:r>
        <w:rPr>
          <w:rFonts w:ascii="Calibri" w:cs="Calibri" w:eastAsia="Calibri" w:hAnsi="Calibri"/>
          <w:color w:val="1A1A1A"/>
          <w:sz w:val="22"/>
          <w:szCs w:val="22"/>
        </w:rPr>
        <w:t xml:space="preserve">Rule 2: study_type is one of (Guideline/Consensus, Meta-analysis, RCT, Systematic Review, Clinical Trial, Review, Review Article, Position Statement) AND the article text matches at least one keyword from the BOARD_TOPICS list.</w:t>
      </w:r>
    </w:p>
    <w:p>
      <w:pPr>
        <w:spacing w:after="0" w:before="60"/>
      </w:pPr>
      <w:r>
        <w:t xml:space="preserve"/>
      </w:r>
    </w:p>
    <w:p>
      <w:pPr>
        <w:pStyle w:val="Heading2"/>
      </w:pPr>
      <w:r>
        <w:t xml:space="preserve">ABP Exam Domains (v2.4)</w:t>
      </w:r>
    </w:p>
    <w:p>
      <w:pPr>
        <w:spacing w:after="100"/>
      </w:pPr>
      <w:r>
        <w:rPr>
          <w:rFonts w:ascii="Calibri" w:cs="Calibri" w:eastAsia="Calibri" w:hAnsi="Calibri"/>
          <w:color w:val="1A1A1A"/>
          <w:sz w:val="22"/>
          <w:szCs w:val="22"/>
        </w:rPr>
        <w:t xml:space="preserve">BOARD_TOPICS was rebuilt from the ABP Pediatric Endocrinology Subspecialty Exam content outline, covering 19 domains with their approximate exam weights. The table below lists each domain, its weight, and sample keywords.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280"/>
      </w:tblGrid>
      <w:tr>
        <w:trPr>
          <w:tblHeader/>
        </w:trPr>
        <w:tc>
          <w:tcPr>
            <w:tcW w:type="dxa" w:w="18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ABP Exam Domain</w:t>
            </w:r>
          </w:p>
        </w:tc>
        <w:tc>
          <w:tcPr>
            <w:tcW w:type="dxa" w:w="10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Weight</w:t>
            </w:r>
          </w:p>
        </w:tc>
        <w:tc>
          <w:tcPr>
            <w:tcW w:type="dxa" w:w="72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Sample Keywords (from BOARD_TOPICS list)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3: Diabetes Mellitus</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11%</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T1D management, DKA, insulin regimens, hybrid closed loop, automated insulin delivery, CGM in children, T2D in youth, metformin in children/adolescents, neonatal diabetes, MODY, CFRD, steroid-induced hyperglycemia, diabetes screening/complications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4: Disorders of Growth</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10%</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GHD, GH therapy, IGF-1 deficiency, short stature evaluation, GH stimulation test, Turner/Noonan/Silver-Russell/SGA, skeletal dysplasia, achondroplasia, Prader-Willi, Beckwith-Wiedemann, tall stature, Sotos syndrome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5: Thyroid Gland</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9%</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Congenital hypothyroidism, newborn screening, Hashimoto thyroiditis, Graves disease, antithyroid drugs, methimazole in children, thyroid nodule/cancer in children, differentiated thyroid cancer, radioiodine in children, central hypothyroidism</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6: Disorders of Puberty</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8%</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Precocious puberty, CPP, GnRH agonist/leuprolide/histrelin, delayed puberty, constitutional delay, hypogonadotropic/hypergonadotropic hypogonadism, testosterone/estrogen therapy in adolescents, PCOS in adolescents, gynecomastia, Klinefelter syndrome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7: Adrenal Gland</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7%</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CAH, 21-hydroxylase deficiency, adrenal crisis/insufficiency, Addison disease, Cushing syndrome in children, pheochromocytoma, paraganglioma, adrenal tumor, stress dose steroids, mineralocorticoid replacement, salt-wasting/virilizing CAH</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8: Hypothalamic-Pituitary Axis</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6%</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Craniopharyngioma, hypopituitarism, combined pituitary hormone deficiency, prolactinoma, acromegaly, Cushing disease, septo-optic dysplasia, pituitary adenoma/tumor in children</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9: Hypoglycemia</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Neonatal hypoglycemia, persistent hyperinsulinism, congenital hyperinsulinism, diazoxide, octreotide, focal hyperinsulinism, ketotic hypoglycemia, fasting/hypoglycemia workup</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10: Disorders of Sex Development</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DSD, differences of sex development, ambiguous genitalia, 46,XY/46,XX DSD, androgen insensitivity syndrome, gonadal dysgenesis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11: Posterior Pituitary / Water Metabolism</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Diabetes insipidus, central DI, vasopressin deficiency, desmopressin, SIADH, cerebral salt wasting, hyponatremia/hypernatremia in children</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12: Disorders of Weight Homeostasis</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Pediatric obesity, GLP-1 in adolescents, semaglutide pediatric, liraglutide in children, bariatric surgery adolescent, monogenic obesity, leptin/MC4R deficiency, hypothalamic obesity, syndromic obesity</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13: Mineral and Bone Metabolism</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5%</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Vitamin D deficiency rickets, nutritional rickets, hypoparathyroidism, hypocalcemia management, hypercalcemia in children, osteoporosis in children, X-linked hypophosphatemia, FGF23, hypophosphatemic rickets, hyperparathyroidism</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14: NETs / Combined Endocrine</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Autoimmune polyglandular syndrome, multiple endocrine neoplasia, MEN1/MEN2, neuroendocrine tumor in children, insulinoma</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15: Lipid Disorders</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3%</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Familial hypercholesterolemia, statin in children, pediatric dyslipidemia, LDL lowering in children, heterozygous FH</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16: Gender Medicine</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Gender-affirming care, transgender youth, gender-diverse youth, gender dysphoria in adolescents, pubertal suppression, gender incongruence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Domain 17: Population Health / Screening</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2%</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Newborn screening endocrine, neonatal screening hypothyroidism, transition of care endocrine, transition care diabetes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Cancer Late Effects (cross-domain)</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Multiple</w:t>
            </w:r>
          </w:p>
        </w:tc>
        <w:tc>
          <w:tcPr>
            <w:tcW w:type="dxa" w:w="7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Childhood/pediatric cancer survivor, cancer survivor endocrine, late effects of cancer, endocrine late effects, radiation-induced GH/thyroid/gonadal, gonadotoxic chemotherapy, fertility preservation in cancer, oncofertility, HSCT endocrine, TBI endocrine</w:t>
            </w:r>
          </w:p>
        </w:tc>
      </w:tr>
    </w:tbl>
    <w:p>
      <w:pPr>
        <w:spacing w:after="0" w:before="80"/>
      </w:pPr>
      <w:r>
        <w:t xml:space="preserve"/>
      </w:r>
    </w:p>
    <w:p>
      <w:pPr>
        <w:pStyle w:val="Heading1"/>
      </w:pPr>
      <w:r>
        <w:t xml:space="preserve">Society Attribution</w:t>
      </w:r>
    </w:p>
    <w:p>
      <w:pPr>
        <w:spacing w:after="100"/>
      </w:pPr>
      <w:r>
        <w:rPr>
          <w:rFonts w:ascii="Calibri" w:cs="Calibri" w:eastAsia="Calibri" w:hAnsi="Calibri"/>
          <w:color w:val="1A1A1A"/>
          <w:sz w:val="22"/>
          <w:szCs w:val="22"/>
        </w:rPr>
        <w:t xml:space="preserve">The society column stores a comma-separated list of guideline-issuing organizations detected from the article title and abstract. An article may be attributed to multiple societies.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Society</w:t>
            </w:r>
          </w:p>
        </w:tc>
        <w:tc>
          <w:tcPr>
            <w:tcW w:type="dxa" w:w="84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Detection Patterns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ISPAD</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"ispad", "international society for pediatric and adolescent diabetes"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ADA</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"american diabetes association", "ada standards of care", "ada 2026", "ada guidelines"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ESPE</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"european society for paediatric endocrinology", word-boundary "espe" regex (bare "espe" excluded — "especially", "respectively" etc. would otherwise match)</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PES</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"pediatric endocrine society", "pes guidelines"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ES</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"endocrine society clinical", "endocrine society guideline", "endocrine society position"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EASD</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"european association for the study of diabetes", "easd"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ATA</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"american thyroid association", "ata guideline"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AAP</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"american academy of pediatrics", "aap policy", "aap clinical practice"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AACE</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"american association of clinical endocrinology", "aace"</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WHO</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"world health organization", "who guideline", "who recommendation"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ISPAD/ADA</w:t>
            </w:r>
          </w:p>
        </w:tc>
        <w:tc>
          <w:tcPr>
            <w:tcW w:type="dxa" w:w="84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Regex: "ispad.*ada" or "ada.*ispad" (joint publications)</w:t>
            </w:r>
          </w:p>
        </w:tc>
      </w:tr>
    </w:tbl>
    <w:p>
      <w:pPr>
        <w:spacing w:after="0" w:before="80"/>
      </w:pPr>
      <w:r>
        <w:t xml:space="preserve"/>
      </w:r>
    </w:p>
    <w:p>
      <w:r>
        <w:br w:type="page"/>
      </w:r>
    </w:p>
    <w:p>
      <w:pPr>
        <w:pStyle w:val="Heading1"/>
      </w:pPr>
      <w:r>
        <w:t xml:space="preserve">Age Range Detection</w:t>
      </w:r>
    </w:p>
    <w:p>
      <w:pPr>
        <w:spacing w:after="100"/>
      </w:pPr>
      <w:r>
        <w:rPr>
          <w:rFonts w:ascii="Calibri" w:cs="Calibri" w:eastAsia="Calibri" w:hAnsi="Calibri"/>
          <w:color w:val="1A1A1A"/>
          <w:sz w:val="22"/>
          <w:szCs w:val="22"/>
        </w:rPr>
        <w:t xml:space="preserve">The age_range column stores a JSON array of age range labels (e.g., ["Child", "Adolescent"]). Multiple labels are assigned when the article covers more than one age group. "Transition" is intentionally excluded from the tag system (see Transition Care below).</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Age Range Label</w:t>
            </w:r>
          </w:p>
        </w:tc>
        <w:tc>
          <w:tcPr>
            <w:tcW w:type="dxa" w:w="82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Detection Keywords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Neonatal</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neonatal, newborn, neonate, neonates, at birth, NICU, premature infant, preterm neonate, gestational age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Infant</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infant, infancy, toddler, under 2 years, age &lt; 2, aged 0-2, young child</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Child</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children, school-age, school age, aged 2-12, prepubertal/prepubescent/preadolescent, pediatric, MCT8, Allan-Herndon-Dudley, SLC16A2</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Adolescent</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adolescent, teenager, teen, youth, aged 12-18/13-18, pubertal, high/middle school, paediatric, pediatric adolescent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Transition</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young adult, transfer of care, emerging adult, aged 18-25/16-25, transition age/transitional age, transition to adult care, transition clinic/program/readiness, youth to adult, pediatric to adult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Adult (fallback)</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None of the above AND no generic peds terms ("pediatric", "paediatric", "child", "youth")</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Child + Adolescent (fallback)</w:t>
            </w:r>
          </w:p>
        </w:tc>
        <w:tc>
          <w:tcPr>
            <w:tcW w:type="dxa" w:w="82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None of the above matched, BUT generic peds terms are present</w:t>
            </w:r>
          </w:p>
        </w:tc>
      </w:tr>
    </w:tbl>
    <w:p>
      <w:pPr>
        <w:spacing w:after="0" w:before="80"/>
      </w:pPr>
      <w:r>
        <w:t xml:space="preserve"/>
      </w:r>
    </w:p>
    <w:p>
      <w:pPr>
        <w:pStyle w:val="Heading1"/>
      </w:pPr>
      <w:r>
        <w:t xml:space="preserve">Tag System</w:t>
      </w:r>
    </w:p>
    <w:p>
      <w:pPr>
        <w:spacing w:after="100"/>
      </w:pPr>
      <w:r>
        <w:rPr>
          <w:rFonts w:ascii="Calibri" w:cs="Calibri" w:eastAsia="Calibri" w:hAnsi="Calibri"/>
          <w:color w:val="1A1A1A"/>
          <w:sz w:val="22"/>
          <w:szCs w:val="22"/>
        </w:rPr>
        <w:t xml:space="preserve">Tags are stored as a JSON array of hashtag strings in the tags column. Tags are generated in three layers: (1) primary topic tag, (2) study type / age / contextual tags, and (3) secondary cross-topic tags.</w:t>
      </w:r>
    </w:p>
    <w:p>
      <w:pPr>
        <w:spacing w:after="0" w:before="60"/>
      </w:pPr>
      <w:r>
        <w:t xml:space="preserve"/>
      </w:r>
    </w:p>
    <w:p>
      <w:pPr>
        <w:pStyle w:val="Heading2"/>
      </w:pPr>
      <w:r>
        <w:t xml:space="preserve">Primary Topic Tags</w:t>
      </w:r>
    </w:p>
    <w:p>
      <w:pPr>
        <w:spacing w:after="100"/>
      </w:pPr>
      <w:r>
        <w:rPr>
          <w:rFonts w:ascii="Calibri" w:cs="Calibri" w:eastAsia="Calibri" w:hAnsi="Calibri"/>
          <w:color w:val="1A1A1A"/>
          <w:sz w:val="22"/>
          <w:szCs w:val="22"/>
        </w:rPr>
        <w:t xml:space="preserve">Each article receives one primary topic tag corresponding to its classified topic:</w:t>
      </w:r>
    </w:p>
    <w:p>
      <w:pPr>
        <w:pStyle w:val="ListParagraph"/>
        <w:numPr>
          <w:ilvl w:val="0"/>
          <w:numId w:val="2"/>
        </w:numPr>
        <w:spacing w:after="60"/>
      </w:pPr>
      <w:r>
        <w:rPr>
          <w:rFonts w:ascii="Calibri" w:cs="Calibri" w:eastAsia="Calibri" w:hAnsi="Calibri"/>
          <w:color w:val="1A1A1A"/>
          <w:sz w:val="22"/>
          <w:szCs w:val="22"/>
        </w:rPr>
        <w:t xml:space="preserve">#Diabetes, #Growth, #Puberty, #Pituitary, #Thyroid, #Adrenal</w:t>
      </w:r>
    </w:p>
    <w:p>
      <w:pPr>
        <w:pStyle w:val="ListParagraph"/>
        <w:numPr>
          <w:ilvl w:val="0"/>
          <w:numId w:val="2"/>
        </w:numPr>
        <w:spacing w:after="60"/>
      </w:pPr>
      <w:r>
        <w:rPr>
          <w:rFonts w:ascii="Calibri" w:cs="Calibri" w:eastAsia="Calibri" w:hAnsi="Calibri"/>
          <w:color w:val="1A1A1A"/>
          <w:sz w:val="22"/>
          <w:szCs w:val="22"/>
        </w:rPr>
        <w:t xml:space="preserve">#BoneCalcium, #Obesity, #PCOS, #DSD, #WaterElectrolytes</w:t>
      </w:r>
    </w:p>
    <w:p>
      <w:pPr>
        <w:pStyle w:val="ListParagraph"/>
        <w:numPr>
          <w:ilvl w:val="0"/>
          <w:numId w:val="2"/>
        </w:numPr>
        <w:spacing w:after="60"/>
      </w:pPr>
      <w:r>
        <w:rPr>
          <w:rFonts w:ascii="Calibri" w:cs="Calibri" w:eastAsia="Calibri" w:hAnsi="Calibri"/>
          <w:color w:val="1A1A1A"/>
          <w:sz w:val="22"/>
          <w:szCs w:val="22"/>
        </w:rPr>
        <w:t xml:space="preserve">#Hyperinsulinism, #Genetics, #Lipids, #GeneralEndo</w:t>
      </w:r>
    </w:p>
    <w:p>
      <w:pPr>
        <w:pStyle w:val="ListParagraph"/>
        <w:numPr>
          <w:ilvl w:val="0"/>
          <w:numId w:val="2"/>
        </w:numPr>
        <w:spacing w:after="60"/>
      </w:pPr>
      <w:r>
        <w:rPr>
          <w:rFonts w:ascii="Calibri" w:cs="Calibri" w:eastAsia="Calibri" w:hAnsi="Calibri"/>
          <w:color w:val="1A1A1A"/>
          <w:sz w:val="22"/>
          <w:szCs w:val="22"/>
        </w:rPr>
        <w:t xml:space="preserve">#CancerLateEffects — assigned when topic == "Cancer Late Effects"</w:t>
      </w:r>
    </w:p>
    <w:p>
      <w:pPr>
        <w:spacing w:after="0" w:before="60"/>
      </w:pPr>
      <w:r>
        <w:t xml:space="preserve"/>
      </w:r>
    </w:p>
    <w:p>
      <w:pPr>
        <w:pStyle w:val="Heading2"/>
      </w:pPr>
      <w:r>
        <w:t xml:space="preserve">Contextual Tags</w:t>
      </w:r>
    </w:p>
    <w:p>
      <w:pPr>
        <w:spacing w:after="100"/>
      </w:pPr>
      <w:r>
        <w:rPr>
          <w:rFonts w:ascii="Calibri" w:cs="Calibri" w:eastAsia="Calibri" w:hAnsi="Calibri"/>
          <w:color w:val="1A1A1A"/>
          <w:sz w:val="22"/>
          <w:szCs w:val="22"/>
        </w:rPr>
        <w:t xml:space="preserve">Applied based on specific text patterns or computed flags: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Tag</w:t>
            </w:r>
          </w:p>
        </w:tc>
        <w:tc>
          <w:tcPr>
            <w:tcW w:type="dxa" w:w="76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Trigger Logic</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#Transition</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transition to adult, transition of care, transition from pediatric, transfer to adult, transition program/clinic/readiness/intervention, transitioning to adult, adult transition, pediatric to adult, transition in care, youth transition, adolescent transition to</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#HealthEquity</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"equity" or "disparit" (substring — catches disparity, disparities, etc.)</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#RegisteredTrial</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NCT followed by digits (word-boundary regex — bare "nct" excluded to prevent matches in "function", "dysfunction", "distinct") OR "clinicaltrials"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#BoardRelevant</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Automatically added when board_relevant=1 (see Board Relevance section)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#AIinMedicine</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"artificial intelligence", "machine learning", "deep learning", "natural language processing", "ai model"</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#DigitalHealth</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"telemedicine", "telehealth", "remote monitoring", "digital health", "mobile health", "mhealth"</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#Technology (subtopic)</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Diabetes subtopic only — added when subtopic == "Technology" (CGM, insulin pump, AID, etc.)</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#Guidelines</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"Guideline/Consensus"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#RCT</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"RCT"</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#MetaAnalysis</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"Meta-analysis"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#SystematicReview</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"Systematic Review"</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#Review</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"Review"</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#ScopingReview</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"Scoping Review"</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#RealWorldData</w:t>
            </w:r>
          </w:p>
        </w:tc>
        <w:tc>
          <w:tcPr>
            <w:tcW w:type="dxa" w:w="76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study_type == "Registry/Database" or "Real-World Study"</w:t>
            </w:r>
          </w:p>
        </w:tc>
      </w:tr>
    </w:tbl>
    <w:p>
      <w:pPr>
        <w:spacing w:after="0" w:before="60"/>
      </w:pPr>
      <w:r>
        <w:t xml:space="preserve"/>
      </w:r>
    </w:p>
    <w:p>
      <w:pPr>
        <w:pStyle w:val="Heading2"/>
      </w:pPr>
      <w:r>
        <w:t xml:space="preserve">Transition Care Tag (#Transition) — Special Rules</w:t>
      </w:r>
    </w:p>
    <w:p>
      <w:pPr>
        <w:spacing w:after="100"/>
      </w:pPr>
      <w:r>
        <w:rPr>
          <w:rFonts w:ascii="Calibri" w:cs="Calibri" w:eastAsia="Calibri" w:hAnsi="Calibri"/>
          <w:color w:val="1A1A1A"/>
          <w:sz w:val="22"/>
          <w:szCs w:val="22"/>
        </w:rPr>
        <w:t xml:space="preserve">The #Transition tag signals clinical transition-of-care research (adolescent-to-adult transfer). It is NOT assigned based on the "Transition" age range label to avoid a collision: the Transition age range filter and the #Transition tag filter both exist in the dashboard, and they must point to different populations.</w:t>
      </w:r>
    </w:p>
    <w:p>
      <w:pPr>
        <w:spacing w:after="100"/>
      </w:pPr>
      <w:r>
        <w:rPr>
          <w:rFonts w:ascii="Calibri" w:cs="Calibri" w:eastAsia="Calibri" w:hAnsi="Calibri"/>
          <w:color w:val="1A1A1A"/>
          <w:sz w:val="22"/>
          <w:szCs w:val="22"/>
        </w:rPr>
        <w:t xml:space="preserve">Phrases that trigger #Transition (any in title + abstract):</w:t>
      </w:r>
    </w:p>
    <w:p>
      <w:pPr>
        <w:pStyle w:val="ListParagraph"/>
        <w:numPr>
          <w:ilvl w:val="0"/>
          <w:numId w:val="2"/>
        </w:numPr>
        <w:spacing w:after="60"/>
      </w:pPr>
      <w:r>
        <w:rPr>
          <w:rFonts w:ascii="Calibri" w:cs="Calibri" w:eastAsia="Calibri" w:hAnsi="Calibri"/>
          <w:color w:val="1A1A1A"/>
          <w:sz w:val="22"/>
          <w:szCs w:val="22"/>
        </w:rPr>
        <w:t xml:space="preserve">"transition to adult", "transition of care", "transition from pediatric"</w:t>
      </w:r>
    </w:p>
    <w:p>
      <w:pPr>
        <w:pStyle w:val="ListParagraph"/>
        <w:numPr>
          <w:ilvl w:val="0"/>
          <w:numId w:val="2"/>
        </w:numPr>
        <w:spacing w:after="60"/>
      </w:pPr>
      <w:r>
        <w:rPr>
          <w:rFonts w:ascii="Calibri" w:cs="Calibri" w:eastAsia="Calibri" w:hAnsi="Calibri"/>
          <w:color w:val="1A1A1A"/>
          <w:sz w:val="22"/>
          <w:szCs w:val="22"/>
        </w:rPr>
        <w:t xml:space="preserve">"transfer to adult", "transition program", "transition clinic"</w:t>
      </w:r>
    </w:p>
    <w:p>
      <w:pPr>
        <w:pStyle w:val="ListParagraph"/>
        <w:numPr>
          <w:ilvl w:val="0"/>
          <w:numId w:val="2"/>
        </w:numPr>
        <w:spacing w:after="60"/>
      </w:pPr>
      <w:r>
        <w:rPr>
          <w:rFonts w:ascii="Calibri" w:cs="Calibri" w:eastAsia="Calibri" w:hAnsi="Calibri"/>
          <w:color w:val="1A1A1A"/>
          <w:sz w:val="22"/>
          <w:szCs w:val="22"/>
        </w:rPr>
        <w:t xml:space="preserve">"transition readiness", "transition intervention", "transitioning to adult"</w:t>
      </w:r>
    </w:p>
    <w:p>
      <w:pPr>
        <w:pStyle w:val="ListParagraph"/>
        <w:numPr>
          <w:ilvl w:val="0"/>
          <w:numId w:val="2"/>
        </w:numPr>
        <w:spacing w:after="60"/>
      </w:pPr>
      <w:r>
        <w:rPr>
          <w:rFonts w:ascii="Calibri" w:cs="Calibri" w:eastAsia="Calibri" w:hAnsi="Calibri"/>
          <w:color w:val="1A1A1A"/>
          <w:sz w:val="22"/>
          <w:szCs w:val="22"/>
        </w:rPr>
        <w:t xml:space="preserve">"adult transition", "pediatric to adult", "paediatric to adult"</w:t>
      </w:r>
    </w:p>
    <w:p>
      <w:pPr>
        <w:pStyle w:val="ListParagraph"/>
        <w:numPr>
          <w:ilvl w:val="0"/>
          <w:numId w:val="2"/>
        </w:numPr>
        <w:spacing w:after="60"/>
      </w:pPr>
      <w:r>
        <w:rPr>
          <w:rFonts w:ascii="Calibri" w:cs="Calibri" w:eastAsia="Calibri" w:hAnsi="Calibri"/>
          <w:color w:val="1A1A1A"/>
          <w:sz w:val="22"/>
          <w:szCs w:val="22"/>
        </w:rPr>
        <w:t xml:space="preserve">"transition in care", "youth transition", "adolescent transition to"</w:t>
      </w:r>
    </w:p>
    <w:p>
      <w:pPr>
        <w:spacing w:after="100"/>
      </w:pPr>
      <w:r>
        <w:rPr>
          <w:rFonts w:ascii="Calibri" w:cs="Calibri" w:eastAsia="Calibri" w:hAnsi="Calibri"/>
          <w:color w:val="1A1A1A"/>
          <w:sz w:val="22"/>
          <w:szCs w:val="22"/>
        </w:rPr>
        <w:t xml:space="preserve">Phrases explicitly NOT sufficient to trigger #Transition: "transition between pumps", "transition period", "transition from X to Y drug/device".</w:t>
      </w:r>
    </w:p>
    <w:p>
      <w:pPr>
        <w:spacing w:after="0" w:before="60"/>
      </w:pPr>
      <w:r>
        <w:t xml:space="preserve"/>
      </w:r>
    </w:p>
    <w:p>
      <w:pPr>
        <w:pStyle w:val="Heading2"/>
      </w:pPr>
      <w:r>
        <w:t xml:space="preserve">Secondary Cross-Topic Tags</w:t>
      </w:r>
    </w:p>
    <w:p>
      <w:pPr>
        <w:spacing w:after="100"/>
      </w:pPr>
      <w:r>
        <w:rPr>
          <w:rFonts w:ascii="Calibri" w:cs="Calibri" w:eastAsia="Calibri" w:hAnsi="Calibri"/>
          <w:color w:val="1A1A1A"/>
          <w:sz w:val="22"/>
          <w:szCs w:val="22"/>
        </w:rPr>
        <w:t xml:space="preserve">Secondary tags identify genuine cross-topic articles — e.g., a Growth article that also discusses thyroid dysfunction gets the #Thyroid secondary tag. The article's own primary topic hashtag is never added as a secondary tag.</w:t>
      </w:r>
    </w:p>
    <w:p>
      <w:pPr>
        <w:spacing w:after="100"/>
      </w:pPr>
      <w:r>
        <w:rPr>
          <w:rFonts w:ascii="Calibri" w:cs="Calibri" w:eastAsia="Calibri" w:hAnsi="Calibri"/>
          <w:color w:val="1A1A1A"/>
          <w:sz w:val="22"/>
          <w:szCs w:val="22"/>
        </w:rPr>
        <w:t xml:space="preserve">Each secondary tag has two keyword scopes:</w:t>
      </w:r>
    </w:p>
    <w:p>
      <w:pPr>
        <w:pStyle w:val="ListParagraph"/>
        <w:numPr>
          <w:ilvl w:val="0"/>
          <w:numId w:val="2"/>
        </w:numPr>
        <w:spacing w:after="60"/>
      </w:pPr>
      <w:r>
        <w:rPr>
          <w:rFonts w:ascii="Calibri" w:cs="Calibri" w:eastAsia="Calibri" w:hAnsi="Calibri"/>
          <w:color w:val="1A1A1A"/>
          <w:sz w:val="22"/>
          <w:szCs w:val="22"/>
        </w:rPr>
        <w:t xml:space="preserve">"any" scope: compound phrases specific enough to fire anywhere in title + abstract</w:t>
      </w:r>
    </w:p>
    <w:p>
      <w:pPr>
        <w:pStyle w:val="ListParagraph"/>
        <w:numPr>
          <w:ilvl w:val="0"/>
          <w:numId w:val="2"/>
        </w:numPr>
        <w:spacing w:after="60"/>
      </w:pPr>
      <w:r>
        <w:rPr>
          <w:rFonts w:ascii="Calibri" w:cs="Calibri" w:eastAsia="Calibri" w:hAnsi="Calibri"/>
          <w:color w:val="1A1A1A"/>
          <w:sz w:val="22"/>
          <w:szCs w:val="22"/>
        </w:rPr>
        <w:t xml:space="preserve">"title" scope: broader single terms that only fire if they appear in the TITLE</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880"/>
      </w:tblGrid>
      <w:tr>
        <w:trPr>
          <w:tblHeader/>
        </w:trPr>
        <w:tc>
          <w:tcPr>
            <w:tcW w:type="dxa" w:w="18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Tag</w:t>
            </w:r>
          </w:p>
        </w:tc>
        <w:tc>
          <w:tcPr>
            <w:tcW w:type="dxa" w:w="340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Match Scope</w:t>
            </w:r>
          </w:p>
        </w:tc>
        <w:tc>
          <w:tcPr>
            <w:tcW w:type="dxa" w:w="4880"/>
            <w:tcBorders>
              <w:top w:val="single" w:color="CCCCCC" w:sz="4"/>
              <w:left w:val="single" w:color="CCCCCC" w:sz="4"/>
              <w:bottom w:val="single" w:color="CCCCCC" w:sz="4"/>
              <w:right w:val="single" w:color="CCCCCC" w:sz="4"/>
            </w:tcBorders>
            <w:shd w:fill="E6F3F3" w:val="clear"/>
            <w:tcMar>
              <w:top w:type="dxa" w:w="60"/>
              <w:left w:type="dxa" w:w="120"/>
              <w:bottom w:type="dxa" w:w="60"/>
              <w:right w:type="dxa" w:w="120"/>
            </w:tcMar>
          </w:tcPr>
          <w:p>
            <w:r>
              <w:rPr>
                <w:rFonts w:ascii="Calibri" w:cs="Calibri" w:eastAsia="Calibri" w:hAnsi="Calibri"/>
                <w:b/>
                <w:bCs/>
                <w:color w:val="1A1A1A"/>
                <w:sz w:val="20"/>
                <w:szCs w:val="20"/>
              </w:rPr>
              <w:t xml:space="preserve">Trigger Keywords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#Thyroid</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autoimmune thyroid, hashimoto, graves disease, thyroid autoimmunity/disease/dysfunction, thyroiditis, anti-TPO, thyroid antibod, thyroid disorder</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#Diabetes</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type 1 diabetes, type 2 diabetes, "t1d " (space), diabetes mellitus, autoimmune/monogenic/neonatal diabetes, "mody " (space), insulin-dependent diabetes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#Growth</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growth hormone deficiency, growth failure, growth retardation, growth impairment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#Growth</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title only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short stature, height SDS, growth velocity</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#Puberty</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precocious/delayed/early puberty, pubertal delay/advancement, premature thelarche/adrenarche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#Adrenal</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adrenal insufficiency, CAH, adrenocortical insufficiency, cortisol/glucocorticoid deficiency, adrenal androgen excess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#PCOS</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polycystic ovary, pcos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#Obesity</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cardiometabolic risk, nonalcoholic fatty liver, anti-obesity medication, childhood/pediatric obesity</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#Obesity</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title only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obesity, overweight, insulin resistance, metabolic syndrome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#BoneCalcium</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bone mineral density, bone mass, osteoporosis/osteopenia, bone loss, fracture risk, low bone mass, bone density, vertebral fracture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#DSD</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Turner/Klinefelter syndrome, disorder/difference of sex development, gonadal dysgenesis, 45,X, 47,XXY, sex chromosome disorder</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#Pituitary</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craniopharyngioma, hypopituitarism, pituitary adenoma/tumor, central diabetes insipidus, pituitary insufficiency</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#Lipids</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familial hypercholesterolemia, dyslipidemia, statin therapy, lipid-lowering therapy/treatment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#Lipids</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title only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hypercholesterolemia, elevated LDL</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#Hyperinsulinism</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congenital hyperinsulinism, hyperinsulinism</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A1A1A"/>
                <w:sz w:val="20"/>
                <w:szCs w:val="20"/>
              </w:rPr>
              <w:t xml:space="preserve">#Genetics</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abstract (any)</w:t>
            </w:r>
          </w:p>
        </w:tc>
        <w:tc>
          <w:tcPr>
            <w:tcW w:type="dxa" w:w="48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val="false"/>
                <w:bCs w:val="false"/>
                <w:color w:val="1A1A1A"/>
                <w:sz w:val="20"/>
                <w:szCs w:val="20"/>
              </w:rPr>
              <w:t xml:space="preserve">pathogenic variant, likely pathogenic, de novo variant, copy number variant, chromosomal microarray, whole exome sequencing, next-generation sequencing, multigene panel, genetic testing</w:t>
            </w:r>
          </w:p>
        </w:tc>
      </w:tr>
    </w:tbl>
    <w:p>
      <w:pPr>
        <w:spacing w:after="0" w:before="80"/>
      </w:pPr>
      <w:r>
        <w:t xml:space="preserve"/>
      </w:r>
    </w:p>
    <w:p>
      <w:pPr>
        <w:pStyle w:val="Heading1"/>
      </w:pPr>
      <w:r>
        <w:t xml:space="preserve">Open Access Classification</w:t>
      </w:r>
    </w:p>
    <w:p>
      <w:pPr>
        <w:spacing w:after="100"/>
      </w:pPr>
      <w:r>
        <w:rPr>
          <w:rFonts w:ascii="Calibri" w:cs="Calibri" w:eastAsia="Calibri" w:hAnsi="Calibri"/>
          <w:color w:val="1A1A1A"/>
          <w:sz w:val="22"/>
          <w:szCs w:val="22"/>
        </w:rPr>
        <w:t xml:space="preserve">The access column stores "Open" or "Subscription". Open access is determined by matching the lowercased journal name against known open-access journals:</w:t>
      </w:r>
    </w:p>
    <w:p>
      <w:pPr>
        <w:pStyle w:val="ListParagraph"/>
        <w:numPr>
          <w:ilvl w:val="0"/>
          <w:numId w:val="2"/>
        </w:numPr>
        <w:spacing w:after="60"/>
      </w:pPr>
      <w:r>
        <w:rPr>
          <w:rFonts w:ascii="Calibri" w:cs="Calibri" w:eastAsia="Calibri" w:hAnsi="Calibri"/>
          <w:color w:val="1A1A1A"/>
          <w:sz w:val="22"/>
          <w:szCs w:val="22"/>
        </w:rPr>
        <w:t xml:space="preserve">"frontiers" — all Frontiers journals</w:t>
      </w:r>
    </w:p>
    <w:p>
      <w:pPr>
        <w:pStyle w:val="ListParagraph"/>
        <w:numPr>
          <w:ilvl w:val="0"/>
          <w:numId w:val="2"/>
        </w:numPr>
        <w:spacing w:after="60"/>
      </w:pPr>
      <w:r>
        <w:rPr>
          <w:rFonts w:ascii="Calibri" w:cs="Calibri" w:eastAsia="Calibri" w:hAnsi="Calibri"/>
          <w:color w:val="1A1A1A"/>
          <w:sz w:val="22"/>
          <w:szCs w:val="22"/>
        </w:rPr>
        <w:t xml:space="preserve">"j clin res pediatr endocrinol" — Journal of Clinical Research in Pediatric Endocrinology</w:t>
      </w:r>
    </w:p>
    <w:p>
      <w:pPr>
        <w:pStyle w:val="ListParagraph"/>
        <w:numPr>
          <w:ilvl w:val="0"/>
          <w:numId w:val="2"/>
        </w:numPr>
        <w:spacing w:after="60"/>
      </w:pPr>
      <w:r>
        <w:rPr>
          <w:rFonts w:ascii="Calibri" w:cs="Calibri" w:eastAsia="Calibri" w:hAnsi="Calibri"/>
          <w:color w:val="1A1A1A"/>
          <w:sz w:val="22"/>
          <w:szCs w:val="22"/>
        </w:rPr>
        <w:t xml:space="preserve">"journal of clinical research in pediatric endocrinology"</w:t>
      </w:r>
    </w:p>
    <w:p>
      <w:pPr>
        <w:pStyle w:val="ListParagraph"/>
        <w:numPr>
          <w:ilvl w:val="0"/>
          <w:numId w:val="2"/>
        </w:numPr>
        <w:spacing w:after="60"/>
      </w:pPr>
      <w:r>
        <w:rPr>
          <w:rFonts w:ascii="Calibri" w:cs="Calibri" w:eastAsia="Calibri" w:hAnsi="Calibri"/>
          <w:color w:val="1A1A1A"/>
          <w:sz w:val="22"/>
          <w:szCs w:val="22"/>
        </w:rPr>
        <w:t xml:space="preserve">"journal of the endocrine society"</w:t>
      </w:r>
    </w:p>
    <w:p>
      <w:pPr>
        <w:spacing w:after="100"/>
      </w:pPr>
      <w:r>
        <w:rPr>
          <w:rFonts w:ascii="Calibri" w:cs="Calibri" w:eastAsia="Calibri" w:hAnsi="Calibri"/>
          <w:color w:val="1A1A1A"/>
          <w:sz w:val="22"/>
          <w:szCs w:val="22"/>
        </w:rPr>
        <w:t xml:space="preserve">All other journals default to "Subscription". This field is used by the Open Access filter chip in the dashboard.</w:t>
      </w:r>
    </w:p>
    <w:p>
      <w:pPr>
        <w:spacing w:after="0" w:before="80"/>
      </w:pPr>
      <w:r>
        <w:t xml:space="preserve"/>
      </w:r>
    </w:p>
    <w:p>
      <w:r>
        <w:br w:type="page"/>
      </w:r>
    </w:p>
    <w:p>
      <w:pPr>
        <w:pStyle w:val="Heading1"/>
      </w:pPr>
      <w:r>
        <w:t xml:space="preserve">Impact Rationale (Plain-Language Explanations)</w:t>
      </w:r>
    </w:p>
    <w:p>
      <w:pPr>
        <w:spacing w:after="100"/>
      </w:pPr>
      <w:r>
        <w:rPr>
          <w:rFonts w:ascii="Calibri" w:cs="Calibri" w:eastAsia="Calibri" w:hAnsi="Calibri"/>
          <w:color w:val="1A1A1A"/>
          <w:sz w:val="22"/>
          <w:szCs w:val="22"/>
        </w:rPr>
        <w:t xml:space="preserve">Each article receives a 1-2 sentence plain-English impact rationale stored in the impact_rationale column and displayed in the article card. The rationale is generated by the generate_impact_rationale() function and varies by impact tier and study type.</w:t>
      </w:r>
    </w:p>
    <w:p>
      <w:pPr>
        <w:spacing w:after="0" w:before="60"/>
      </w:pPr>
      <w:r>
        <w:t xml:space="preserve"/>
      </w:r>
    </w:p>
    <w:p>
      <w:pPr>
        <w:pStyle w:val="Heading2"/>
      </w:pPr>
      <w:r>
        <w:t xml:space="preserve">PRACTICE-ALTERING rationale</w:t>
      </w:r>
    </w:p>
    <w:p>
      <w:pPr>
        <w:pStyle w:val="ListParagraph"/>
        <w:numPr>
          <w:ilvl w:val="0"/>
          <w:numId w:val="2"/>
        </w:numPr>
        <w:spacing w:after="60"/>
      </w:pPr>
      <w:r>
        <w:rPr>
          <w:rFonts w:ascii="Calibri" w:cs="Calibri" w:eastAsia="Calibri" w:hAnsi="Calibri"/>
          <w:color w:val="1A1A1A"/>
          <w:sz w:val="22"/>
          <w:szCs w:val="22"/>
        </w:rPr>
        <w:t xml:space="preserve">Guideline/Consensus: "Official guideline or consensus statement [from Society]. Directly informs clinical protocols and management standards."</w:t>
      </w:r>
    </w:p>
    <w:p>
      <w:pPr>
        <w:pStyle w:val="ListParagraph"/>
        <w:numPr>
          <w:ilvl w:val="0"/>
          <w:numId w:val="2"/>
        </w:numPr>
        <w:spacing w:after="60"/>
      </w:pPr>
      <w:r>
        <w:rPr>
          <w:rFonts w:ascii="Calibri" w:cs="Calibri" w:eastAsia="Calibri" w:hAnsi="Calibri"/>
          <w:color w:val="1A1A1A"/>
          <w:sz w:val="22"/>
          <w:szCs w:val="22"/>
        </w:rPr>
        <w:t xml:space="preserve">RCT/Clinical Trial: "Landmark [study type] (n = N) in [journal]. High-prestige trial with direct implications for clinical management."</w:t>
      </w:r>
    </w:p>
    <w:p>
      <w:pPr>
        <w:pStyle w:val="ListParagraph"/>
        <w:numPr>
          <w:ilvl w:val="0"/>
          <w:numId w:val="2"/>
        </w:numPr>
        <w:spacing w:after="60"/>
      </w:pPr>
      <w:r>
        <w:rPr>
          <w:rFonts w:ascii="Calibri" w:cs="Calibri" w:eastAsia="Calibri" w:hAnsi="Calibri"/>
          <w:color w:val="1A1A1A"/>
          <w:sz w:val="22"/>
          <w:szCs w:val="22"/>
        </w:rPr>
        <w:t xml:space="preserve">Meta-analysis: "Meta-analysis with strong practice-relevant signal in [journal]. Level I evidence with direct clinical guideline implications."</w:t>
      </w:r>
    </w:p>
    <w:p>
      <w:pPr>
        <w:pStyle w:val="ListParagraph"/>
        <w:numPr>
          <w:ilvl w:val="0"/>
          <w:numId w:val="2"/>
        </w:numPr>
        <w:spacing w:after="60"/>
      </w:pPr>
      <w:r>
        <w:rPr>
          <w:rFonts w:ascii="Calibri" w:cs="Calibri" w:eastAsia="Calibri" w:hAnsi="Calibri"/>
          <w:color w:val="1A1A1A"/>
          <w:sz w:val="22"/>
          <w:szCs w:val="22"/>
        </w:rPr>
        <w:t xml:space="preserve">Systematic Review: "Systematic review with multiple convergent guideline-level signals. Level I evidence warranting practice change."</w:t>
      </w:r>
    </w:p>
    <w:p>
      <w:pPr>
        <w:spacing w:after="0" w:before="60"/>
      </w:pPr>
      <w:r>
        <w:t xml:space="preserve"/>
      </w:r>
    </w:p>
    <w:p>
      <w:pPr>
        <w:pStyle w:val="Heading2"/>
      </w:pPr>
      <w:r>
        <w:t xml:space="preserve">HIGH rationale</w:t>
      </w:r>
    </w:p>
    <w:p>
      <w:pPr>
        <w:pStyle w:val="ListParagraph"/>
        <w:numPr>
          <w:ilvl w:val="0"/>
          <w:numId w:val="2"/>
        </w:numPr>
        <w:spacing w:after="60"/>
      </w:pPr>
      <w:r>
        <w:rPr>
          <w:rFonts w:ascii="Calibri" w:cs="Calibri" w:eastAsia="Calibri" w:hAnsi="Calibri"/>
          <w:color w:val="1A1A1A"/>
          <w:sz w:val="22"/>
          <w:szCs w:val="22"/>
        </w:rPr>
        <w:t xml:space="preserve">RCT: "Randomized controlled trial (n = N). Level II evidence with direct applicability to clinical decision-making."</w:t>
      </w:r>
    </w:p>
    <w:p>
      <w:pPr>
        <w:pStyle w:val="ListParagraph"/>
        <w:numPr>
          <w:ilvl w:val="0"/>
          <w:numId w:val="2"/>
        </w:numPr>
        <w:spacing w:after="60"/>
      </w:pPr>
      <w:r>
        <w:rPr>
          <w:rFonts w:ascii="Calibri" w:cs="Calibri" w:eastAsia="Calibri" w:hAnsi="Calibri"/>
          <w:color w:val="1A1A1A"/>
          <w:sz w:val="22"/>
          <w:szCs w:val="22"/>
        </w:rPr>
        <w:t xml:space="preserve">Meta-analysis: "Meta-analysis synthesizing multiple studies on [topic]. [Published in journal.] Level I evidence summary."</w:t>
      </w:r>
    </w:p>
    <w:p>
      <w:pPr>
        <w:pStyle w:val="ListParagraph"/>
        <w:numPr>
          <w:ilvl w:val="0"/>
          <w:numId w:val="2"/>
        </w:numPr>
        <w:spacing w:after="60"/>
      </w:pPr>
      <w:r>
        <w:rPr>
          <w:rFonts w:ascii="Calibri" w:cs="Calibri" w:eastAsia="Calibri" w:hAnsi="Calibri"/>
          <w:color w:val="1A1A1A"/>
          <w:sz w:val="22"/>
          <w:szCs w:val="22"/>
        </w:rPr>
        <w:t xml:space="preserve">Review: "Authoritative review in [journal]. High-impact journal curation adds clinical credibility."</w:t>
      </w:r>
    </w:p>
    <w:p>
      <w:pPr>
        <w:spacing w:after="0" w:before="60"/>
      </w:pPr>
      <w:r>
        <w:t xml:space="preserve"/>
      </w:r>
    </w:p>
    <w:p>
      <w:pPr>
        <w:pStyle w:val="Heading2"/>
      </w:pPr>
      <w:r>
        <w:t xml:space="preserve">MODERATE rationale</w:t>
      </w:r>
    </w:p>
    <w:p>
      <w:pPr>
        <w:pStyle w:val="ListParagraph"/>
        <w:numPr>
          <w:ilvl w:val="0"/>
          <w:numId w:val="2"/>
        </w:numPr>
        <w:spacing w:after="60"/>
      </w:pPr>
      <w:r>
        <w:rPr>
          <w:rFonts w:ascii="Calibri" w:cs="Calibri" w:eastAsia="Calibri" w:hAnsi="Calibri"/>
          <w:color w:val="1A1A1A"/>
          <w:sz w:val="22"/>
          <w:szCs w:val="22"/>
        </w:rPr>
        <w:t xml:space="preserve">Small RCT: "Small or early-phase randomized trial. Small sample (n = N). Interesting signal but underpowered for definitive conclusions."</w:t>
      </w:r>
    </w:p>
    <w:p>
      <w:pPr>
        <w:pStyle w:val="ListParagraph"/>
        <w:numPr>
          <w:ilvl w:val="0"/>
          <w:numId w:val="2"/>
        </w:numPr>
        <w:spacing w:after="60"/>
      </w:pPr>
      <w:r>
        <w:rPr>
          <w:rFonts w:ascii="Calibri" w:cs="Calibri" w:eastAsia="Calibri" w:hAnsi="Calibri"/>
          <w:color w:val="1A1A1A"/>
          <w:sz w:val="22"/>
          <w:szCs w:val="22"/>
        </w:rPr>
        <w:t xml:space="preserve">Observational: "Observational study on [topic]. Large cohort (n = N). Clinically informative but limited by non-randomized design."</w:t>
      </w:r>
    </w:p>
    <w:p>
      <w:pPr>
        <w:pStyle w:val="ListParagraph"/>
        <w:numPr>
          <w:ilvl w:val="0"/>
          <w:numId w:val="2"/>
        </w:numPr>
        <w:spacing w:after="60"/>
      </w:pPr>
      <w:r>
        <w:rPr>
          <w:rFonts w:ascii="Calibri" w:cs="Calibri" w:eastAsia="Calibri" w:hAnsi="Calibri"/>
          <w:color w:val="1A1A1A"/>
          <w:sz w:val="22"/>
          <w:szCs w:val="22"/>
        </w:rPr>
        <w:t xml:space="preserve">Real-World: "Real-world evidence study (n = N) on [topic]. Reflects clinical practice conditions; no randomization."</w:t>
      </w:r>
    </w:p>
    <w:p>
      <w:pPr>
        <w:spacing w:after="0" w:before="60"/>
      </w:pPr>
      <w:r>
        <w:t xml:space="preserve"/>
      </w:r>
    </w:p>
    <w:p>
      <w:pPr>
        <w:pStyle w:val="Heading2"/>
      </w:pPr>
      <w:r>
        <w:t xml:space="preserve">LOW rationale</w:t>
      </w:r>
    </w:p>
    <w:p>
      <w:pPr>
        <w:pStyle w:val="ListParagraph"/>
        <w:numPr>
          <w:ilvl w:val="0"/>
          <w:numId w:val="2"/>
        </w:numPr>
        <w:spacing w:after="60"/>
      </w:pPr>
      <w:r>
        <w:rPr>
          <w:rFonts w:ascii="Calibri" w:cs="Calibri" w:eastAsia="Calibri" w:hAnsi="Calibri"/>
          <w:color w:val="1A1A1A"/>
          <w:sz w:val="22"/>
          <w:szCs w:val="22"/>
        </w:rPr>
        <w:t xml:space="preserve">Editorial/Commentary: "Expert letter or commentary. No new primary data; provides perspective on [topic] but does not independently change practice."</w:t>
      </w:r>
    </w:p>
    <w:p>
      <w:pPr>
        <w:pStyle w:val="ListParagraph"/>
        <w:numPr>
          <w:ilvl w:val="0"/>
          <w:numId w:val="2"/>
        </w:numPr>
        <w:spacing w:after="60"/>
      </w:pPr>
      <w:r>
        <w:rPr>
          <w:rFonts w:ascii="Calibri" w:cs="Calibri" w:eastAsia="Calibri" w:hAnsi="Calibri"/>
          <w:color w:val="1A1A1A"/>
          <w:sz w:val="22"/>
          <w:szCs w:val="22"/>
        </w:rPr>
        <w:t xml:space="preserve">Case Series: "Small case series. Hypothesis-generating but lacks the power to guide practice changes in [topic]."</w:t>
      </w:r>
    </w:p>
    <w:p>
      <w:pPr>
        <w:spacing w:after="0" w:before="80"/>
      </w:pPr>
      <w:r>
        <w:t xml:space="preserve"/>
      </w:r>
    </w:p>
    <w:p>
      <w:pPr>
        <w:pStyle w:val="Heading1"/>
      </w:pPr>
      <w:r>
        <w:t xml:space="preserve">Clinical Bottom-Line Extraction</w:t>
      </w:r>
    </w:p>
    <w:p>
      <w:pPr>
        <w:spacing w:after="100"/>
      </w:pPr>
      <w:r>
        <w:rPr>
          <w:rFonts w:ascii="Calibri" w:cs="Calibri" w:eastAsia="Calibri" w:hAnsi="Calibri"/>
          <w:color w:val="1A1A1A"/>
          <w:sz w:val="22"/>
          <w:szCs w:val="22"/>
        </w:rPr>
        <w:t xml:space="preserve">The clinical_bottom_line column stores a condensed 1-2 sentence summary of the article's key clinical conclusion, extracted from the abstract.</w:t>
      </w:r>
    </w:p>
    <w:p>
      <w:pPr>
        <w:spacing w:after="0" w:before="60"/>
      </w:pPr>
      <w:r>
        <w:t xml:space="preserve"/>
      </w:r>
    </w:p>
    <w:p>
      <w:pPr>
        <w:pStyle w:val="Heading2"/>
      </w:pPr>
      <w:r>
        <w:t xml:space="preserve">Structured Abstract (Preferred Path)</w:t>
      </w:r>
    </w:p>
    <w:p>
      <w:pPr>
        <w:spacing w:after="100"/>
      </w:pPr>
      <w:r>
        <w:rPr>
          <w:rFonts w:ascii="Calibri" w:cs="Calibri" w:eastAsia="Calibri" w:hAnsi="Calibri"/>
          <w:color w:val="1A1A1A"/>
          <w:sz w:val="22"/>
          <w:szCs w:val="22"/>
        </w:rPr>
        <w:t xml:space="preserve">Searches for standard section markers in the abstract (checked in this order):</w:t>
      </w:r>
    </w:p>
    <w:p>
      <w:pPr>
        <w:pStyle w:val="ListParagraph"/>
        <w:numPr>
          <w:ilvl w:val="0"/>
          <w:numId w:val="2"/>
        </w:numPr>
        <w:spacing w:after="60"/>
      </w:pPr>
      <w:r>
        <w:rPr>
          <w:rFonts w:ascii="Calibri" w:cs="Calibri" w:eastAsia="Calibri" w:hAnsi="Calibri"/>
          <w:color w:val="1A1A1A"/>
          <w:sz w:val="22"/>
          <w:szCs w:val="22"/>
        </w:rPr>
        <w:t xml:space="preserve">CONCLUSIONS: / CONCLUSION: / INTERPRETATION: / FINDINGS:</w:t>
      </w:r>
    </w:p>
    <w:p>
      <w:pPr>
        <w:pStyle w:val="ListParagraph"/>
        <w:numPr>
          <w:ilvl w:val="0"/>
          <w:numId w:val="2"/>
        </w:numPr>
        <w:spacing w:after="60"/>
      </w:pPr>
      <w:r>
        <w:rPr>
          <w:rFonts w:ascii="Calibri" w:cs="Calibri" w:eastAsia="Calibri" w:hAnsi="Calibri"/>
          <w:color w:val="1A1A1A"/>
          <w:sz w:val="22"/>
          <w:szCs w:val="22"/>
        </w:rPr>
        <w:t xml:space="preserve">CLINICAL SIGNIFICANCE: / CLINICAL RELEVANCE: / WHAT THIS STUDY ADDS:</w:t>
      </w:r>
    </w:p>
    <w:p>
      <w:pPr>
        <w:pStyle w:val="ListParagraph"/>
        <w:numPr>
          <w:ilvl w:val="0"/>
          <w:numId w:val="2"/>
        </w:numPr>
        <w:spacing w:after="60"/>
      </w:pPr>
      <w:r>
        <w:rPr>
          <w:rFonts w:ascii="Calibri" w:cs="Calibri" w:eastAsia="Calibri" w:hAnsi="Calibri"/>
          <w:color w:val="1A1A1A"/>
          <w:sz w:val="22"/>
          <w:szCs w:val="22"/>
        </w:rPr>
        <w:t xml:space="preserve">IMPLICATIONS: / SUMMARY: / KEY FINDINGS: / KEY MESSAGES:</w:t>
      </w:r>
    </w:p>
    <w:p>
      <w:pPr>
        <w:pStyle w:val="ListParagraph"/>
        <w:numPr>
          <w:ilvl w:val="0"/>
          <w:numId w:val="2"/>
        </w:numPr>
        <w:spacing w:after="60"/>
      </w:pPr>
      <w:r>
        <w:rPr>
          <w:rFonts w:ascii="Calibri" w:cs="Calibri" w:eastAsia="Calibri" w:hAnsi="Calibri"/>
          <w:color w:val="1A1A1A"/>
          <w:sz w:val="22"/>
          <w:szCs w:val="22"/>
        </w:rPr>
        <w:t xml:space="preserve">TAKE-HOME MESSAGE: / RELEVANCE: / SIGNIFICANCE:</w:t>
      </w:r>
    </w:p>
    <w:p>
      <w:pPr>
        <w:spacing w:after="100"/>
      </w:pPr>
      <w:r>
        <w:rPr>
          <w:rFonts w:ascii="Calibri" w:cs="Calibri" w:eastAsia="Calibri" w:hAnsi="Calibri"/>
          <w:color w:val="1A1A1A"/>
          <w:sz w:val="22"/>
          <w:szCs w:val="22"/>
        </w:rPr>
        <w:t xml:space="preserve">Returns the first 2 sentences after the matched marker. Strips any subsequent section headers if the structured abstract continues.</w:t>
      </w:r>
    </w:p>
    <w:p>
      <w:pPr>
        <w:spacing w:after="0" w:before="60"/>
      </w:pPr>
      <w:r>
        <w:t xml:space="preserve"/>
      </w:r>
    </w:p>
    <w:p>
      <w:pPr>
        <w:pStyle w:val="Heading2"/>
      </w:pPr>
      <w:r>
        <w:t xml:space="preserve">Unstructured Abstract (Fallback)</w:t>
      </w:r>
    </w:p>
    <w:p>
      <w:pPr>
        <w:spacing w:after="100"/>
      </w:pPr>
      <w:r>
        <w:rPr>
          <w:rFonts w:ascii="Calibri" w:cs="Calibri" w:eastAsia="Calibri" w:hAnsi="Calibri"/>
          <w:color w:val="1A1A1A"/>
          <w:sz w:val="22"/>
          <w:szCs w:val="22"/>
        </w:rPr>
        <w:t xml:space="preserve">If no section marker is found, returns the last 2 sentences of the abstract.</w:t>
      </w:r>
    </w:p>
    <w:p>
      <w:pPr>
        <w:spacing w:after="0" w:before="60"/>
      </w:pPr>
      <w:r>
        <w:t xml:space="preserve"/>
      </w:r>
    </w:p>
    <w:p>
      <w:pPr>
        <w:pStyle w:val="Heading2"/>
      </w:pPr>
      <w:r>
        <w:t xml:space="preserve">Boilerplate Stripping</w:t>
      </w:r>
    </w:p>
    <w:p>
      <w:pPr>
        <w:spacing w:after="100"/>
      </w:pPr>
      <w:r>
        <w:rPr>
          <w:rFonts w:ascii="Calibri" w:cs="Calibri" w:eastAsia="Calibri" w:hAnsi="Calibri"/>
          <w:color w:val="1A1A1A"/>
          <w:sz w:val="22"/>
          <w:szCs w:val="22"/>
        </w:rPr>
        <w:t xml:space="preserve">Before extraction, trailing boilerplate is stripped from the abstract using a tail-regex anchored to high-confidence tokens:</w:t>
      </w:r>
    </w:p>
    <w:p>
      <w:pPr>
        <w:pStyle w:val="ListParagraph"/>
        <w:numPr>
          <w:ilvl w:val="0"/>
          <w:numId w:val="2"/>
        </w:numPr>
        <w:spacing w:after="60"/>
      </w:pPr>
      <w:r>
        <w:rPr>
          <w:rFonts w:ascii="Calibri" w:cs="Calibri" w:eastAsia="Calibri" w:hAnsi="Calibri"/>
          <w:color w:val="1A1A1A"/>
          <w:sz w:val="22"/>
          <w:szCs w:val="22"/>
        </w:rPr>
        <w:t xml:space="preserve">Trial registry IDs: PROSPERO, CRD[digits], NCT[digits], ISRCTN, ChiCTR, ACTRN, EudraCT</w:t>
      </w:r>
    </w:p>
    <w:p>
      <w:pPr>
        <w:pStyle w:val="ListParagraph"/>
        <w:numPr>
          <w:ilvl w:val="0"/>
          <w:numId w:val="2"/>
        </w:numPr>
        <w:spacing w:after="60"/>
      </w:pPr>
      <w:r>
        <w:rPr>
          <w:rFonts w:ascii="Calibri" w:cs="Calibri" w:eastAsia="Calibri" w:hAnsi="Calibri"/>
          <w:color w:val="1A1A1A"/>
          <w:sz w:val="22"/>
          <w:szCs w:val="22"/>
        </w:rPr>
        <w:t xml:space="preserve">"Trial registr", "This study/trial was registered", ClinicalTrials.gov</w:t>
      </w:r>
    </w:p>
    <w:p>
      <w:pPr>
        <w:pStyle w:val="ListParagraph"/>
        <w:numPr>
          <w:ilvl w:val="0"/>
          <w:numId w:val="2"/>
        </w:numPr>
        <w:spacing w:after="60"/>
      </w:pPr>
      <w:r>
        <w:rPr>
          <w:rFonts w:ascii="Calibri" w:cs="Calibri" w:eastAsia="Calibri" w:hAnsi="Calibri"/>
          <w:color w:val="1A1A1A"/>
          <w:sz w:val="22"/>
          <w:szCs w:val="22"/>
        </w:rPr>
        <w:t xml:space="preserve">"FUNDING:", "Data availability"</w:t>
      </w:r>
    </w:p>
    <w:p>
      <w:pPr>
        <w:pStyle w:val="ListParagraph"/>
        <w:numPr>
          <w:ilvl w:val="0"/>
          <w:numId w:val="2"/>
        </w:numPr>
        <w:spacing w:after="60"/>
      </w:pPr>
      <w:r>
        <w:rPr>
          <w:rFonts w:ascii="Calibri" w:cs="Calibri" w:eastAsia="Calibri" w:hAnsi="Calibri"/>
          <w:color w:val="1A1A1A"/>
          <w:sz w:val="22"/>
          <w:szCs w:val="22"/>
        </w:rPr>
        <w:t xml:space="preserve">"This article is protected by copyright"</w:t>
      </w:r>
    </w:p>
    <w:p>
      <w:pPr>
        <w:pStyle w:val="ListParagraph"/>
        <w:numPr>
          <w:ilvl w:val="0"/>
          <w:numId w:val="2"/>
        </w:numPr>
        <w:spacing w:after="60"/>
      </w:pPr>
      <w:r>
        <w:rPr>
          <w:rFonts w:ascii="Calibri" w:cs="Calibri" w:eastAsia="Calibri" w:hAnsi="Calibri"/>
          <w:color w:val="1A1A1A"/>
          <w:sz w:val="22"/>
          <w:szCs w:val="22"/>
        </w:rPr>
        <w:t xml:space="preserve">"Registered at", "is registered with"</w:t>
      </w:r>
    </w:p>
    <w:p>
      <w:pPr>
        <w:spacing w:after="100"/>
      </w:pPr>
      <w:r>
        <w:rPr>
          <w:rFonts w:ascii="Calibri" w:cs="Calibri" w:eastAsia="Calibri" w:hAnsi="Calibri"/>
          <w:color w:val="1A1A1A"/>
          <w:sz w:val="22"/>
          <w:szCs w:val="22"/>
        </w:rPr>
        <w:t xml:space="preserve">If stripping would leave &lt; 40 characters, the original abstract is preserved.</w:t>
      </w:r>
    </w:p>
    <w:p>
      <w:pPr>
        <w:spacing w:after="0" w:before="80"/>
      </w:pPr>
      <w:r>
        <w:t xml:space="preserve"/>
      </w:r>
    </w:p>
    <w:p>
      <w:r>
        <w:br w:type="page"/>
      </w:r>
    </w:p>
    <w:p>
      <w:pPr>
        <w:pStyle w:val="Heading1"/>
      </w:pPr>
      <w:r>
        <w:t xml:space="preserve">Classifier Changelog</w:t>
      </w:r>
    </w:p>
    <w:p>
      <w:pPr>
        <w:spacing w:after="0" w:before="40"/>
      </w:pPr>
      <w:r>
        <w:t xml:space="preserve"/>
      </w:r>
    </w:p>
    <w:p>
      <w:pPr>
        <w:pStyle w:val="Heading2"/>
      </w:pPr>
      <w:r>
        <w:t xml:space="preserve">v2.4.2 (May 2026)</w:t>
      </w:r>
    </w:p>
    <w:p>
      <w:pPr>
        <w:pStyle w:val="ListParagraph"/>
        <w:numPr>
          <w:ilvl w:val="0"/>
          <w:numId w:val="2"/>
        </w:numPr>
        <w:spacing w:after="60"/>
      </w:pPr>
      <w:r>
        <w:rPr>
          <w:rFonts w:ascii="Calibri" w:cs="Calibri" w:eastAsia="Calibri" w:hAnsi="Calibri"/>
          <w:color w:val="1A1A1A"/>
          <w:sz w:val="22"/>
          <w:szCs w:val="22"/>
        </w:rPr>
        <w:t xml:space="preserve">Transition tag overhaul: #Transition tag now requires specific clinical transition-of-care phrases; the age_range "Transition" label is intentionally excluded from tag generation to prevent collision with the dashboard filter.</w:t>
      </w:r>
    </w:p>
    <w:p>
      <w:pPr>
        <w:pStyle w:val="ListParagraph"/>
        <w:numPr>
          <w:ilvl w:val="0"/>
          <w:numId w:val="2"/>
        </w:numPr>
        <w:spacing w:after="60"/>
      </w:pPr>
      <w:r>
        <w:rPr>
          <w:rFonts w:ascii="Calibri" w:cs="Calibri" w:eastAsia="Calibri" w:hAnsi="Calibri"/>
          <w:color w:val="1A1A1A"/>
          <w:sz w:val="22"/>
          <w:szCs w:val="22"/>
        </w:rPr>
        <w:t xml:space="preserve">Age range fix: "Transfer to adult care" added to age_range "Transition" detection.</w:t>
      </w:r>
    </w:p>
    <w:p>
      <w:pPr>
        <w:pStyle w:val="ListParagraph"/>
        <w:numPr>
          <w:ilvl w:val="0"/>
          <w:numId w:val="2"/>
        </w:numPr>
        <w:spacing w:after="60"/>
      </w:pPr>
      <w:r>
        <w:rPr>
          <w:rFonts w:ascii="Calibri" w:cs="Calibri" w:eastAsia="Calibri" w:hAnsi="Calibri"/>
          <w:color w:val="1A1A1A"/>
          <w:sz w:val="22"/>
          <w:szCs w:val="22"/>
        </w:rPr>
        <w:t xml:space="preserve">BOARD_TOPICS: Domain 17 (Population Health) updated to include "transition care diabetes".</w:t>
      </w:r>
    </w:p>
    <w:p>
      <w:pPr>
        <w:spacing w:after="0" w:before="60"/>
      </w:pPr>
      <w:r>
        <w:t xml:space="preserve"/>
      </w:r>
    </w:p>
    <w:p>
      <w:pPr>
        <w:pStyle w:val="Heading2"/>
      </w:pPr>
      <w:r>
        <w:t xml:space="preserve">v2.4.1 (May 2026)</w:t>
      </w:r>
    </w:p>
    <w:p>
      <w:pPr>
        <w:pStyle w:val="ListParagraph"/>
        <w:numPr>
          <w:ilvl w:val="0"/>
          <w:numId w:val="2"/>
        </w:numPr>
        <w:spacing w:after="60"/>
      </w:pPr>
      <w:r>
        <w:rPr>
          <w:rFonts w:ascii="Calibri" w:cs="Calibri" w:eastAsia="Calibri" w:hAnsi="Calibri"/>
          <w:color w:val="1A1A1A"/>
          <w:sz w:val="22"/>
          <w:szCs w:val="22"/>
        </w:rPr>
        <w:t xml:space="preserve">Cancer Late Effects (CLE) phrase expansion: added HSCT-specific and childhood leukemia-specific phrases, brain tumor/medulloblastoma/ependymoma/rhabdomyosarcoma terms, oncofertility, cisplatin/busulfan endocrine, TBI endocrine.</w:t>
      </w:r>
    </w:p>
    <w:p>
      <w:pPr>
        <w:pStyle w:val="ListParagraph"/>
        <w:numPr>
          <w:ilvl w:val="0"/>
          <w:numId w:val="2"/>
        </w:numPr>
        <w:spacing w:after="60"/>
      </w:pPr>
      <w:r>
        <w:rPr>
          <w:rFonts w:ascii="Calibri" w:cs="Calibri" w:eastAsia="Calibri" w:hAnsi="Calibri"/>
          <w:color w:val="1A1A1A"/>
          <w:sz w:val="22"/>
          <w:szCs w:val="22"/>
        </w:rPr>
        <w:t xml:space="preserve">Board relevance gate: broadened to include "Review Article" and "Position Statement" in the qualifying study type list (was missing "Review Article" — plain "Review" was already present).</w:t>
      </w:r>
    </w:p>
    <w:p>
      <w:pPr>
        <w:spacing w:after="0" w:before="60"/>
      </w:pPr>
      <w:r>
        <w:t xml:space="preserve"/>
      </w:r>
    </w:p>
    <w:p>
      <w:pPr>
        <w:pStyle w:val="Heading2"/>
      </w:pPr>
      <w:r>
        <w:t xml:space="preserve">v2.4 (April 2026)</w:t>
      </w:r>
    </w:p>
    <w:p>
      <w:pPr>
        <w:pStyle w:val="ListParagraph"/>
        <w:numPr>
          <w:ilvl w:val="0"/>
          <w:numId w:val="2"/>
        </w:numPr>
        <w:spacing w:after="60"/>
      </w:pPr>
      <w:r>
        <w:rPr>
          <w:rFonts w:ascii="Calibri" w:cs="Calibri" w:eastAsia="Calibri" w:hAnsi="Calibri"/>
          <w:color w:val="1A1A1A"/>
          <w:sz w:val="22"/>
          <w:szCs w:val="22"/>
        </w:rPr>
        <w:t xml:space="preserve">BOARD_TOPICS rebuilt: reconstructed from ABP Pediatric Endocrinology Subspecialty Exam content outline, now covering all 19 exam domains with exam weights.</w:t>
      </w:r>
    </w:p>
    <w:p>
      <w:pPr>
        <w:pStyle w:val="ListParagraph"/>
        <w:numPr>
          <w:ilvl w:val="0"/>
          <w:numId w:val="2"/>
        </w:numPr>
        <w:spacing w:after="60"/>
      </w:pPr>
      <w:r>
        <w:rPr>
          <w:rFonts w:ascii="Calibri" w:cs="Calibri" w:eastAsia="Calibri" w:hAnsi="Calibri"/>
          <w:color w:val="1A1A1A"/>
          <w:sz w:val="22"/>
          <w:szCs w:val="22"/>
        </w:rPr>
        <w:t xml:space="preserve">Cancer Late Effects topic added as a first-class topic.</w:t>
      </w:r>
    </w:p>
    <w:p>
      <w:pPr>
        <w:pStyle w:val="ListParagraph"/>
        <w:numPr>
          <w:ilvl w:val="0"/>
          <w:numId w:val="2"/>
        </w:numPr>
        <w:spacing w:after="60"/>
      </w:pPr>
      <w:r>
        <w:rPr>
          <w:rFonts w:ascii="Calibri" w:cs="Calibri" w:eastAsia="Calibri" w:hAnsi="Calibri"/>
          <w:color w:val="1A1A1A"/>
          <w:sz w:val="22"/>
          <w:szCs w:val="22"/>
        </w:rPr>
        <w:t xml:space="preserve">Board domain for CLE added (spans Domains 4, 5, 6, 7, 8, 12, 13).</w:t>
      </w:r>
    </w:p>
    <w:p>
      <w:pPr>
        <w:spacing w:after="0" w:before="60"/>
      </w:pPr>
      <w:r>
        <w:t xml:space="preserve"/>
      </w:r>
    </w:p>
    <w:p>
      <w:pPr>
        <w:pStyle w:val="Heading2"/>
      </w:pPr>
      <w:r>
        <w:t xml:space="preserve">v2.3 (March 2026)</w:t>
      </w:r>
    </w:p>
    <w:p>
      <w:pPr>
        <w:pStyle w:val="ListParagraph"/>
        <w:numPr>
          <w:ilvl w:val="0"/>
          <w:numId w:val="2"/>
        </w:numPr>
        <w:spacing w:after="60"/>
      </w:pPr>
      <w:r>
        <w:rPr>
          <w:rFonts w:ascii="Calibri" w:cs="Calibri" w:eastAsia="Calibri" w:hAnsi="Calibri"/>
          <w:color w:val="1A1A1A"/>
          <w:sz w:val="22"/>
          <w:szCs w:val="22"/>
        </w:rPr>
        <w:t xml:space="preserve">Negative-outcome cap: RCTs and Clinical Trials that failed their primary endpoint are capped at HIGH instead of PRACTICE-ALTERING.</w:t>
      </w:r>
    </w:p>
    <w:p>
      <w:pPr>
        <w:pStyle w:val="ListParagraph"/>
        <w:numPr>
          <w:ilvl w:val="0"/>
          <w:numId w:val="2"/>
        </w:numPr>
        <w:spacing w:after="60"/>
      </w:pPr>
      <w:r>
        <w:rPr>
          <w:rFonts w:ascii="Calibri" w:cs="Calibri" w:eastAsia="Calibri" w:hAnsi="Calibri"/>
          <w:color w:val="1A1A1A"/>
          <w:sz w:val="22"/>
          <w:szCs w:val="22"/>
        </w:rPr>
        <w:t xml:space="preserve">IVF/reproductive exclusions expanded: frozen embryo transfer, vaginal progesterone, adenomyosis, artificial cycle frozen embryo, Crinone, embryo transfer cycle.</w:t>
      </w:r>
    </w:p>
    <w:p>
      <w:pPr>
        <w:spacing w:after="0" w:before="60"/>
      </w:pPr>
      <w:r>
        <w:t xml:space="preserve"/>
      </w:r>
    </w:p>
    <w:p>
      <w:pPr>
        <w:pStyle w:val="Heading2"/>
      </w:pPr>
      <w:r>
        <w:t xml:space="preserve">v2.2 (February 2026)</w:t>
      </w:r>
    </w:p>
    <w:p>
      <w:pPr>
        <w:pStyle w:val="ListParagraph"/>
        <w:numPr>
          <w:ilvl w:val="0"/>
          <w:numId w:val="2"/>
        </w:numPr>
        <w:spacing w:after="60"/>
      </w:pPr>
      <w:r>
        <w:rPr>
          <w:rFonts w:ascii="Calibri" w:cs="Calibri" w:eastAsia="Calibri" w:hAnsi="Calibri"/>
          <w:color w:val="1A1A1A"/>
          <w:sz w:val="22"/>
          <w:szCs w:val="22"/>
        </w:rPr>
        <w:t xml:space="preserve">Lancet prestige bug fix: was matching "lancet diabetes" only — changed to bare "lancet" to catch all Lancet titles.</w:t>
      </w:r>
    </w:p>
    <w:p>
      <w:pPr>
        <w:pStyle w:val="ListParagraph"/>
        <w:numPr>
          <w:ilvl w:val="0"/>
          <w:numId w:val="2"/>
        </w:numPr>
        <w:spacing w:after="60"/>
      </w:pPr>
      <w:r>
        <w:rPr>
          <w:rFonts w:ascii="Calibri" w:cs="Calibri" w:eastAsia="Calibri" w:hAnsi="Calibri"/>
          <w:color w:val="1A1A1A"/>
          <w:sz w:val="22"/>
          <w:szCs w:val="22"/>
        </w:rPr>
        <w:t xml:space="preserve">Tiny RCT fix: small RCTs (n&lt;30, non-prestige) now classified MODERATE instead of HIGH.</w:t>
      </w:r>
    </w:p>
    <w:p>
      <w:pPr>
        <w:pStyle w:val="ListParagraph"/>
        <w:numPr>
          <w:ilvl w:val="0"/>
          <w:numId w:val="2"/>
        </w:numPr>
        <w:spacing w:after="60"/>
      </w:pPr>
      <w:r>
        <w:rPr>
          <w:rFonts w:ascii="Calibri" w:cs="Calibri" w:eastAsia="Calibri" w:hAnsi="Calibri"/>
          <w:color w:val="1A1A1A"/>
          <w:sz w:val="22"/>
          <w:szCs w:val="22"/>
        </w:rPr>
        <w:t xml:space="preserve">Real-World Study fix: was falling through to LOW; now MODERATE when large, multicenter, or prestige.</w:t>
      </w:r>
    </w:p>
    <w:p>
      <w:pPr>
        <w:pStyle w:val="ListParagraph"/>
        <w:numPr>
          <w:ilvl w:val="0"/>
          <w:numId w:val="2"/>
        </w:numPr>
        <w:spacing w:after="60"/>
      </w:pPr>
      <w:r>
        <w:rPr>
          <w:rFonts w:ascii="Calibri" w:cs="Calibri" w:eastAsia="Calibri" w:hAnsi="Calibri"/>
          <w:color w:val="1A1A1A"/>
          <w:sz w:val="22"/>
          <w:szCs w:val="22"/>
        </w:rPr>
        <w:t xml:space="preserve">Observational/Cohort + Prospective Study fix: were classified LOW even when large/prestige; now MODERATE.</w:t>
      </w:r>
    </w:p>
    <w:p>
      <w:pPr>
        <w:pStyle w:val="ListParagraph"/>
        <w:numPr>
          <w:ilvl w:val="0"/>
          <w:numId w:val="2"/>
        </w:numPr>
        <w:spacing w:after="60"/>
      </w:pPr>
      <w:r>
        <w:rPr>
          <w:rFonts w:ascii="Calibri" w:cs="Calibri" w:eastAsia="Calibri" w:hAnsi="Calibri"/>
          <w:color w:val="1A1A1A"/>
          <w:sz w:val="22"/>
          <w:szCs w:val="22"/>
        </w:rPr>
        <w:t xml:space="preserve">Landmark RCT fix: prestige RCTs with large n or multicenter + PA signal now reach PRACTICE-ALTERING.</w:t>
      </w:r>
    </w:p>
    <w:p>
      <w:pPr>
        <w:pStyle w:val="ListParagraph"/>
        <w:numPr>
          <w:ilvl w:val="0"/>
          <w:numId w:val="2"/>
        </w:numPr>
        <w:spacing w:after="60"/>
      </w:pPr>
      <w:r>
        <w:rPr>
          <w:rFonts w:ascii="Calibri" w:cs="Calibri" w:eastAsia="Calibri" w:hAnsi="Calibri"/>
          <w:color w:val="1A1A1A"/>
          <w:sz w:val="22"/>
          <w:szCs w:val="22"/>
        </w:rPr>
        <w:t xml:space="preserve">PA signals tightened: removed "management of" and "standard of care" (too generic).</w:t>
      </w:r>
    </w:p>
    <w:p>
      <w:pPr>
        <w:pStyle w:val="ListParagraph"/>
        <w:numPr>
          <w:ilvl w:val="0"/>
          <w:numId w:val="2"/>
        </w:numPr>
        <w:spacing w:after="60"/>
      </w:pPr>
      <w:r>
        <w:rPr>
          <w:rFonts w:ascii="Calibri" w:cs="Calibri" w:eastAsia="Calibri" w:hAnsi="Calibri"/>
          <w:color w:val="1A1A1A"/>
          <w:sz w:val="22"/>
          <w:szCs w:val="22"/>
        </w:rPr>
        <w:t xml:space="preserve">Prestige journals expanded: Diabetes Care, JCEM, Endocrine Reviews added.</w:t>
      </w:r>
    </w:p>
    <w:p>
      <w:pPr>
        <w:spacing w:after="0" w:before="60"/>
      </w:pPr>
      <w:r>
        <w:t xml:space="preserve"/>
      </w:r>
    </w:p>
    <w:p>
      <w:pPr>
        <w:pStyle w:val="Heading2"/>
      </w:pPr>
      <w:r>
        <w:t xml:space="preserve">v2.1 (January 2026 — Taxonomy Overhaul)</w:t>
      </w:r>
    </w:p>
    <w:p>
      <w:pPr>
        <w:pStyle w:val="ListParagraph"/>
        <w:numPr>
          <w:ilvl w:val="0"/>
          <w:numId w:val="2"/>
        </w:numPr>
        <w:spacing w:after="60"/>
      </w:pPr>
      <w:r>
        <w:rPr>
          <w:rFonts w:ascii="Calibri" w:cs="Calibri" w:eastAsia="Calibri" w:hAnsi="Calibri"/>
          <w:color w:val="1A1A1A"/>
          <w:sz w:val="22"/>
          <w:szCs w:val="22"/>
        </w:rPr>
        <w:t xml:space="preserve">Flattened topic taxonomy: all topics are now first-class (removed "Other/" prefix).</w:t>
      </w:r>
    </w:p>
    <w:p>
      <w:pPr>
        <w:pStyle w:val="ListParagraph"/>
        <w:numPr>
          <w:ilvl w:val="0"/>
          <w:numId w:val="2"/>
        </w:numPr>
        <w:spacing w:after="60"/>
      </w:pPr>
      <w:r>
        <w:rPr>
          <w:rFonts w:ascii="Calibri" w:cs="Calibri" w:eastAsia="Calibri" w:hAnsi="Calibri"/>
          <w:color w:val="1A1A1A"/>
          <w:sz w:val="22"/>
          <w:szCs w:val="22"/>
        </w:rPr>
        <w:t xml:space="preserve">New Pituitary topic: craniopharyngioma, DI/AVP, prolactinoma, acromegaly, etc. Merged HPA Axis → Pituitary.</w:t>
      </w:r>
    </w:p>
    <w:p>
      <w:pPr>
        <w:pStyle w:val="ListParagraph"/>
        <w:numPr>
          <w:ilvl w:val="0"/>
          <w:numId w:val="2"/>
        </w:numPr>
        <w:spacing w:after="60"/>
      </w:pPr>
      <w:r>
        <w:rPr>
          <w:rFonts w:ascii="Calibri" w:cs="Calibri" w:eastAsia="Calibri" w:hAnsi="Calibri"/>
          <w:color w:val="1A1A1A"/>
          <w:sz w:val="22"/>
          <w:szCs w:val="22"/>
        </w:rPr>
        <w:t xml:space="preserve">New Lipids topic: FH, pediatric dyslipidemia, statins in children.</w:t>
      </w:r>
    </w:p>
    <w:p>
      <w:pPr>
        <w:pStyle w:val="ListParagraph"/>
        <w:numPr>
          <w:ilvl w:val="0"/>
          <w:numId w:val="2"/>
        </w:numPr>
        <w:spacing w:after="60"/>
      </w:pPr>
      <w:r>
        <w:rPr>
          <w:rFonts w:ascii="Calibri" w:cs="Calibri" w:eastAsia="Calibri" w:hAnsi="Calibri"/>
          <w:color w:val="1A1A1A"/>
          <w:sz w:val="22"/>
          <w:szCs w:val="22"/>
        </w:rPr>
        <w:t xml:space="preserve">Lipids pre-check added before Diabetes (FH articles contain "insulin").</w:t>
      </w:r>
    </w:p>
    <w:p>
      <w:pPr>
        <w:pStyle w:val="ListParagraph"/>
        <w:numPr>
          <w:ilvl w:val="0"/>
          <w:numId w:val="2"/>
        </w:numPr>
        <w:spacing w:after="60"/>
      </w:pPr>
      <w:r>
        <w:rPr>
          <w:rFonts w:ascii="Calibri" w:cs="Calibri" w:eastAsia="Calibri" w:hAnsi="Calibri"/>
          <w:color w:val="1A1A1A"/>
          <w:sz w:val="22"/>
          <w:szCs w:val="22"/>
        </w:rPr>
        <w:t xml:space="preserve">Pituitary check runs before Growth and Adrenal.</w:t>
      </w:r>
    </w:p>
    <w:p>
      <w:pPr>
        <w:pStyle w:val="ListParagraph"/>
        <w:numPr>
          <w:ilvl w:val="0"/>
          <w:numId w:val="2"/>
        </w:numPr>
        <w:spacing w:after="60"/>
      </w:pPr>
      <w:r>
        <w:rPr>
          <w:rFonts w:ascii="Calibri" w:cs="Calibri" w:eastAsia="Calibri" w:hAnsi="Calibri"/>
          <w:color w:val="1A1A1A"/>
          <w:sz w:val="22"/>
          <w:szCs w:val="22"/>
        </w:rPr>
        <w:t xml:space="preserve">Bone/Calcium expanded: burosumab, XLH, FGF23, bisphosphonates, DXA.</w:t>
      </w:r>
    </w:p>
    <w:p>
      <w:pPr>
        <w:pStyle w:val="ListParagraph"/>
        <w:numPr>
          <w:ilvl w:val="0"/>
          <w:numId w:val="2"/>
        </w:numPr>
        <w:spacing w:after="60"/>
      </w:pPr>
      <w:r>
        <w:rPr>
          <w:rFonts w:ascii="Calibri" w:cs="Calibri" w:eastAsia="Calibri" w:hAnsi="Calibri"/>
          <w:color w:val="1A1A1A"/>
          <w:sz w:val="22"/>
          <w:szCs w:val="22"/>
        </w:rPr>
        <w:t xml:space="preserve">Water/Electrolytes cleaned: DI/SIADH moved to Pituitary.</w:t>
      </w:r>
    </w:p>
    <w:p>
      <w:pPr>
        <w:pStyle w:val="ListParagraph"/>
        <w:numPr>
          <w:ilvl w:val="0"/>
          <w:numId w:val="2"/>
        </w:numPr>
        <w:spacing w:after="60"/>
      </w:pPr>
      <w:r>
        <w:rPr>
          <w:rFonts w:ascii="Calibri" w:cs="Calibri" w:eastAsia="Calibri" w:hAnsi="Calibri"/>
          <w:color w:val="1A1A1A"/>
          <w:sz w:val="22"/>
          <w:szCs w:val="22"/>
        </w:rPr>
        <w:t xml:space="preserve">New hard exclusions: gouty arthritis, knee OA, colorectal CA, zebrafish, erratum.</w:t>
      </w:r>
    </w:p>
    <w:p>
      <w:pPr>
        <w:pStyle w:val="ListParagraph"/>
        <w:numPr>
          <w:ilvl w:val="0"/>
          <w:numId w:val="2"/>
        </w:numPr>
        <w:spacing w:after="60"/>
      </w:pPr>
      <w:r>
        <w:rPr>
          <w:rFonts w:ascii="Calibri" w:cs="Calibri" w:eastAsia="Calibri" w:hAnsi="Calibri"/>
          <w:color w:val="1A1A1A"/>
          <w:sz w:val="22"/>
          <w:szCs w:val="22"/>
        </w:rPr>
        <w:t xml:space="preserve">Diabetes Technology: "closed-loop" (hyphenated) and "glucose monitoring" added.</w:t>
      </w:r>
    </w:p>
    <w:p>
      <w:pPr>
        <w:spacing w:after="0" w:before="80"/>
      </w:pPr>
      <w:r>
        <w:t xml:space="preserve"/>
      </w:r>
    </w:p>
    <w:p>
      <w:pPr>
        <w:spacing w:after="100"/>
      </w:pPr>
      <w:r>
        <w:rPr>
          <w:rFonts w:ascii="Calibri" w:cs="Calibri" w:eastAsia="Calibri" w:hAnsi="Calibri"/>
          <w:color w:val="888888"/>
          <w:sz w:val="18"/>
          <w:szCs w:val="18"/>
        </w:rPr>
        <w:t xml:space="preserve">Source file: /home/user/workspace/reclassify_v2.py</w:t>
      </w:r>
    </w:p>
    <w:p>
      <w:pPr>
        <w:spacing w:after="100"/>
      </w:pPr>
      <w:r>
        <w:rPr>
          <w:rFonts w:ascii="Calibri" w:cs="Calibri" w:eastAsia="Calibri" w:hAnsi="Calibri"/>
          <w:color w:val="888888"/>
          <w:sz w:val="18"/>
          <w:szCs w:val="18"/>
        </w:rPr>
        <w:t xml:space="preserve">Dashboard: https://pedsendolit.pplx.app</w:t>
      </w:r>
    </w:p>
    <w:p>
      <w:pPr>
        <w:spacing w:after="100"/>
      </w:pPr>
      <w:r>
        <w:rPr>
          <w:rFonts w:ascii="Calibri" w:cs="Calibri" w:eastAsia="Calibri" w:hAnsi="Calibri"/>
          <w:color w:val="888888"/>
          <w:sz w:val="18"/>
          <w:szCs w:val="18"/>
        </w:rPr>
        <w:t xml:space="preserve">Generated: May 29, 2026 by PedEndoLit Classifier Spec Builder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PedEndoLit Classifier v2.4.2 — Reference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169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2026-05-29T16:16:48.523Z</dcterms:created>
  <dcterms:modified xsi:type="dcterms:W3CDTF">2026-05-29T16:16:48.523Z</dcterms:modified>
</cp:coreProperties>
</file>

<file path=docProps/custom.xml><?xml version="1.0" encoding="utf-8"?>
<Properties xmlns="http://schemas.openxmlformats.org/officeDocument/2006/custom-properties" xmlns:vt="http://schemas.openxmlformats.org/officeDocument/2006/docPropsVTypes"/>
</file>