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Playful</w:t>
      </w:r>
      <w:r>
        <w:t xml:space="preserve"> </w:t>
      </w:r>
      <w:r>
        <w:t xml:space="preserve">Learning</w:t>
      </w:r>
      <w:r>
        <w:t xml:space="preserve"> </w:t>
      </w:r>
      <w:r>
        <w:t xml:space="preserve">Across</w:t>
      </w:r>
      <w:r>
        <w:t xml:space="preserve"> </w:t>
      </w:r>
      <w:r>
        <w:t xml:space="preserve">The</w:t>
      </w:r>
      <w:r>
        <w:t xml:space="preserve"> </w:t>
      </w:r>
      <w:r>
        <w:t xml:space="preserve">Years</w:t>
      </w:r>
      <w:r>
        <w:t xml:space="preserve"> </w:t>
      </w:r>
      <w:r>
        <w:t xml:space="preserve">2.0</w:t>
      </w:r>
      <w:r>
        <w:t xml:space="preserve"> </w:t>
      </w:r>
      <w:r>
        <w:t xml:space="preserve">(PLAY</w:t>
      </w:r>
      <w:r>
        <w:t xml:space="preserve"> </w:t>
      </w:r>
      <w:r>
        <w:t xml:space="preserve">2.0)</w:t>
      </w:r>
    </w:p>
    <w:p>
      <w:pPr>
        <w:pStyle w:val="Subtitle"/>
      </w:pPr>
      <w:r>
        <w:t xml:space="preserve">Bangladesh</w:t>
      </w:r>
      <w:r>
        <w:t xml:space="preserve"> </w:t>
      </w:r>
      <w:r>
        <w:t xml:space="preserve">Pilot</w:t>
      </w:r>
      <w:r>
        <w:t xml:space="preserve"> </w:t>
      </w:r>
      <w:r>
        <w:t xml:space="preserve">Study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Street</w:t>
      </w:r>
      <w:r>
        <w:t xml:space="preserve"> </w:t>
      </w:r>
      <w:r>
        <w:t xml:space="preserve">Child</w:t>
      </w:r>
      <w:r>
        <w:t xml:space="preserve"> </w:t>
      </w:r>
      <w:r>
        <w:t xml:space="preserve">Data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April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efinition-of-terms"/>
    <w:p>
      <w:pPr>
        <w:pStyle w:val="Heading1"/>
      </w:pPr>
      <w:r>
        <w:t xml:space="preserve">1. Definition of terms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Variability</w:t>
      </w:r>
      <w:r>
        <w:t xml:space="preserve"> </w:t>
      </w:r>
      <w:r>
        <w:t xml:space="preserve">- The degree of how values are spread out in a distribution.</w:t>
      </w:r>
    </w:p>
    <w:bookmarkEnd w:id="20"/>
    <w:bookmarkStart w:id="22" w:name="abstract"/>
    <w:p>
      <w:pPr>
        <w:pStyle w:val="Heading1"/>
      </w:pPr>
      <w:r>
        <w:t xml:space="preserve">2. Abstract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1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2"/>
    <w:bookmarkStart w:id="24" w:name="introduction"/>
    <w:p>
      <w:pPr>
        <w:pStyle w:val="Heading1"/>
      </w:pPr>
      <w:r>
        <w:t xml:space="preserve">3. Introduction</w:t>
      </w:r>
    </w:p>
    <w:bookmarkStart w:id="23" w:name="background-information"/>
    <w:p>
      <w:pPr>
        <w:pStyle w:val="Heading2"/>
      </w:pPr>
      <w:r>
        <w:t xml:space="preserve">3.1 Background Information</w:t>
      </w:r>
    </w:p>
    <w:p>
      <w:pPr>
        <w:pStyle w:val="FirstParagraph"/>
      </w:pPr>
      <w:r>
        <w:t xml:space="preserve">The LEGO foundation is committed to supporting children holistically, for inclusive outcomes of children. Measurement is key for this achievement.</w:t>
      </w:r>
      <w:r>
        <w:t xml:space="preserve"> </w:t>
      </w:r>
      <w:r>
        <w:t xml:space="preserve">Through support from RTI and NYU Global TIES for children, a PLAY toolkit was developed</w:t>
      </w:r>
      <w:r>
        <w:t xml:space="preserve"> </w:t>
      </w:r>
      <w:r>
        <w:t xml:space="preserve">The tools measure how teachers and caregivers support children’s engagement in their learning. PLAY toolkit was used in rural schools in Bangladesh</w:t>
      </w:r>
    </w:p>
    <w:bookmarkEnd w:id="23"/>
    <w:bookmarkEnd w:id="24"/>
    <w:bookmarkStart w:id="27" w:name="methodology"/>
    <w:p>
      <w:pPr>
        <w:pStyle w:val="Heading1"/>
      </w:pPr>
      <w:r>
        <w:t xml:space="preserve">4. Methodology</w:t>
      </w:r>
    </w:p>
    <w:bookmarkStart w:id="25" w:name="sample-area"/>
    <w:p>
      <w:pPr>
        <w:pStyle w:val="Heading2"/>
      </w:pPr>
      <w:r>
        <w:t xml:space="preserve">4.1 Sample Area</w:t>
      </w:r>
    </w:p>
    <w:p>
      <w:pPr>
        <w:pStyle w:val="FirstParagraph"/>
      </w:pPr>
      <w:r>
        <w:t xml:space="preserve">The pilot data and IRR data collection were both carried out in Ukhia, an Upazila in Cox’s Bazar District of Bangladesh.</w:t>
      </w:r>
    </w:p>
    <w:bookmarkEnd w:id="25"/>
    <w:bookmarkStart w:id="26" w:name="data-analysis"/>
    <w:p>
      <w:pPr>
        <w:pStyle w:val="Heading2"/>
      </w:pPr>
      <w:r>
        <w:t xml:space="preserve">4.2 Data Analysis</w:t>
      </w:r>
    </w:p>
    <w:p>
      <w:pPr>
        <w:pStyle w:val="FirstParagraph"/>
      </w:pPr>
      <w:r>
        <w:t xml:space="preserve">The cardinal aim of conducting data analysis across the the PLAY toolkit is to determine presence of common constructs that contribute self-sustained engagement and learning through PLAY across the contexts.</w:t>
      </w:r>
      <w:r>
        <w:rPr>
          <w:vertAlign w:val="superscript"/>
        </w:rPr>
        <w:t xml:space="preserve">[4]</w:t>
      </w:r>
      <w:r>
        <w:t xml:space="preserve"> </w:t>
      </w:r>
      <w:r>
        <w:t xml:space="preserve">Therefore, data analysis approach will employ a procedure that consists of five steps.</w:t>
      </w:r>
      <w:r>
        <w:rPr>
          <w:vertAlign w:val="superscript"/>
        </w:rPr>
        <w:t xml:space="preserve">[5]</w:t>
      </w:r>
      <w:r>
        <w:t xml:space="preserve"> </w:t>
      </w:r>
      <w:r>
        <w:t xml:space="preserve">These are:</w:t>
      </w:r>
    </w:p>
    <w:p>
      <w:pPr>
        <w:numPr>
          <w:ilvl w:val="0"/>
          <w:numId w:val="1002"/>
        </w:numPr>
        <w:pStyle w:val="Compact"/>
      </w:pPr>
      <w:r>
        <w:t xml:space="preserve">Descriptive statistics and correlations of items across the constructs.</w:t>
      </w:r>
    </w:p>
    <w:p>
      <w:pPr>
        <w:numPr>
          <w:ilvl w:val="0"/>
          <w:numId w:val="1002"/>
        </w:numPr>
        <w:pStyle w:val="Compact"/>
      </w:pPr>
      <w:r>
        <w:t xml:space="preserve">Tests for reliability across all the instruments.</w:t>
      </w:r>
    </w:p>
    <w:p>
      <w:pPr>
        <w:numPr>
          <w:ilvl w:val="0"/>
          <w:numId w:val="1002"/>
        </w:numPr>
        <w:pStyle w:val="Compact"/>
      </w:pPr>
      <w:r>
        <w:t xml:space="preserve">Exploratory factor analysis with an aim of understanding the structure of the items regardless of their pre-assigned constructs.</w:t>
      </w:r>
    </w:p>
    <w:p>
      <w:pPr>
        <w:numPr>
          <w:ilvl w:val="0"/>
          <w:numId w:val="1002"/>
        </w:numPr>
        <w:pStyle w:val="Compact"/>
      </w:pPr>
      <w:r>
        <w:t xml:space="preserve">Confirmatory factor analysis with an aim of examining optimal statistical model fits/coefficients.</w:t>
      </w:r>
    </w:p>
    <w:p>
      <w:pPr>
        <w:numPr>
          <w:ilvl w:val="0"/>
          <w:numId w:val="1002"/>
        </w:numPr>
        <w:pStyle w:val="Compact"/>
      </w:pPr>
      <w:r>
        <w:t xml:space="preserve">Examine the relationships among different instruments. An optional approach that explores relationships among PLAY instruments and their corresponding results.</w:t>
      </w:r>
    </w:p>
    <w:p>
      <w:pPr>
        <w:pStyle w:val="FirstParagraph"/>
      </w:pPr>
      <w:r>
        <w:t xml:space="preserve">(RTI International &amp; NYU – Global TIES, 2023)</w:t>
      </w:r>
    </w:p>
    <w:bookmarkEnd w:id="26"/>
    <w:bookmarkEnd w:id="27"/>
    <w:bookmarkStart w:id="28" w:name="results"/>
    <w:p>
      <w:pPr>
        <w:pStyle w:val="Heading1"/>
      </w:pPr>
      <w:r>
        <w:t xml:space="preserve">5. Results</w:t>
      </w:r>
    </w:p>
    <w:bookmarkEnd w:id="28"/>
    <w:bookmarkStart w:id="29" w:name="references"/>
    <w:p>
      <w:pPr>
        <w:pStyle w:val="Heading1"/>
      </w:pPr>
      <w:r>
        <w:t xml:space="preserve">6. References</w:t>
      </w:r>
    </w:p>
    <w:p>
      <w:pPr>
        <w:numPr>
          <w:ilvl w:val="0"/>
          <w:numId w:val="1003"/>
        </w:numPr>
      </w:pPr>
      <w:r>
        <w:t xml:space="preserve">Playful Learning Across the Years (PLAY). (n.d.). Learningthroughplay.com. Retrieved April 3, 2024, from https://learningthroughplay.com/measuring-learning-through-play/playful-learning-across-the-years-play</w:t>
      </w:r>
    </w:p>
    <w:p>
      <w:pPr>
        <w:numPr>
          <w:ilvl w:val="0"/>
          <w:numId w:val="1003"/>
        </w:numPr>
      </w:pPr>
      <w:r>
        <w:t xml:space="preserve">Gary D. Kader &amp; Mike Perry (2007) Variability for Categorical Variables,</w:t>
      </w:r>
      <w:r>
        <w:t xml:space="preserve"> </w:t>
      </w:r>
      <w:r>
        <w:t xml:space="preserve">Journal of Statistics Education, 15:2, , DOI: 10.1080/10691898.2007.11889465</w:t>
      </w:r>
    </w:p>
    <w:p>
      <w:pPr>
        <w:numPr>
          <w:ilvl w:val="0"/>
          <w:numId w:val="1003"/>
        </w:numPr>
      </w:pPr>
      <w:r>
        <w:t xml:space="preserve">Johnson, C. W. (n.d.). 1.4 Variability. https://www.uth.tmc.edu/uth_orgs/educ_dev/oser/L1_4.HTM#:~:text=Why%20do%20you%20need%20to,the%20variability%20in%20the%20data.</w:t>
      </w:r>
    </w:p>
    <w:p>
      <w:pPr>
        <w:numPr>
          <w:ilvl w:val="0"/>
          <w:numId w:val="1003"/>
        </w:numPr>
      </w:pPr>
      <w:r>
        <w:t xml:space="preserve">Jukes, M., Betts, K., Dubeck, P., Edwards, L., Nduku, T., Staskowicz, E., Nyu-Ties, J., Yoshikawa, H., Gjicali, K., Kim, S., Mahbub, T., Montagut, M., Moran, C., Uday Patankar, K., Rosenbach, S., Saleh, H., Strouf, K., &amp; Yiran, V. (2022). Playful Learning Across the Years (PLAY) Measurement Toolkit: Full Report Prepared by RTI International: TABLE OF CONTENTS EXECUTIVE SUMMARY 1. https://cms.learningthroughplay.com/media/nlvm4lve/play-toolkit-development-technical-report-1.pdf</w:t>
      </w:r>
    </w:p>
    <w:p>
      <w:pPr>
        <w:numPr>
          <w:ilvl w:val="0"/>
          <w:numId w:val="1003"/>
        </w:numPr>
      </w:pPr>
      <w:r>
        <w:t xml:space="preserve">RTI International &amp; NYU – Global TIES. (2023, February). Developing the</w:t>
      </w:r>
      <w:r>
        <w:t xml:space="preserve"> </w:t>
      </w:r>
      <w:r>
        <w:t xml:space="preserve">‘</w:t>
      </w:r>
      <w:r>
        <w:t xml:space="preserve">Playful Learning Across the Years</w:t>
      </w:r>
      <w:r>
        <w:t xml:space="preserve">’</w:t>
      </w:r>
      <w:r>
        <w:t xml:space="preserve"> </w:t>
      </w:r>
      <w:r>
        <w:t xml:space="preserve">(PLAY) Toolkit: Section 8 Guide to Data Analysis. In https://www.edc.org/playful-learning-across-years-20.</w:t>
      </w:r>
    </w:p>
    <w:bookmarkEnd w:id="29"/>
    <w:bookmarkStart w:id="30" w:name="appendix"/>
    <w:p>
      <w:pPr>
        <w:pStyle w:val="Heading1"/>
      </w:pPr>
      <w:r>
        <w:t xml:space="preserve">7. Appendix</w:t>
      </w:r>
    </w:p>
    <w:bookmarkEnd w:id="30"/>
    <w:sectPr w:rsidR="003B6CC2" w:rsidSect="00935F53">
      <w:footerReference r:id="rId9" w:type="default"/>
      <w:pgSz w:h="16838" w:w="11906"/>
      <w:pgMar w:bottom="1440" w:footer="708" w:gutter="0" w:header="708" w:left="1440" w:right="1440" w:top="1440"/>
      <w:pgNumType w:chapStyle="1"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vis">
    <w:panose1 w:val="020B0604020202020204"/>
    <w:charset w:val="4D"/>
    <w:family w:val="auto"/>
    <w:pitch w:val="variable"/>
    <w:sig w:usb0="800000A7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29A25" w14:textId="25D86168" w:rsidR="003B6CC2" w:rsidRDefault="003B6CC2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91D9012" wp14:editId="0181BB38">
          <wp:simplePos x="0" y="0"/>
          <wp:positionH relativeFrom="column">
            <wp:posOffset>5524500</wp:posOffset>
          </wp:positionH>
          <wp:positionV relativeFrom="paragraph">
            <wp:posOffset>-139700</wp:posOffset>
          </wp:positionV>
          <wp:extent cx="635000" cy="457200"/>
          <wp:effectExtent l="0" t="0" r="0" b="0"/>
          <wp:wrapTight wrapText="bothSides">
            <wp:wrapPolygon edited="0">
              <wp:start x="0" y="0"/>
              <wp:lineTo x="0" y="21000"/>
              <wp:lineTo x="21168" y="21000"/>
              <wp:lineTo x="21168" y="0"/>
              <wp:lineTo x="0" y="0"/>
            </wp:wrapPolygon>
          </wp:wrapTight>
          <wp:docPr id="314592117" name="Picture 1" descr="A black and orang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4592117" name="Picture 1" descr="A black and orange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0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D5CBA"/>
    <w:pPr>
      <w:jc w:val="both"/>
    </w:pPr>
    <w:rPr>
      <w:lang w:val="en-GB"/>
    </w:rPr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411B1F"/>
    <w:pPr>
      <w:keepNext/>
      <w:keepLines/>
      <w:pageBreakBefore/>
      <w:pBdr>
        <w:bottom w:color="FBA536" w:space="1" w:sz="4" w:val="single"/>
      </w:pBdr>
      <w:spacing w:before="240"/>
      <w:outlineLvl w:val="0"/>
    </w:pPr>
    <w:rPr>
      <w:rFonts w:asciiTheme="majorHAnsi" w:cstheme="majorBidi" w:eastAsiaTheme="majorEastAsia" w:hAnsiTheme="majorHAnsi"/>
      <w:b/>
      <w:color w:val="36B6FA"/>
      <w:sz w:val="30"/>
      <w:szCs w:val="32"/>
    </w:rPr>
  </w:style>
  <w:style w:styleId="Heading2" w:type="paragraph">
    <w:name w:val="heading 2"/>
    <w:basedOn w:val="Normal"/>
    <w:next w:val="Normal"/>
    <w:link w:val="Heading2Char"/>
    <w:autoRedefine/>
    <w:uiPriority w:val="9"/>
    <w:unhideWhenUsed/>
    <w:qFormat/>
    <w:rsid w:val="00411B1F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b/>
      <w:color w:val="FA6137"/>
      <w:sz w:val="26"/>
      <w:szCs w:val="26"/>
    </w:rPr>
  </w:style>
  <w:style w:styleId="Heading3" w:type="paragraph">
    <w:name w:val="heading 3"/>
    <w:basedOn w:val="Normal"/>
    <w:next w:val="Normal"/>
    <w:link w:val="Heading3Char"/>
    <w:autoRedefine/>
    <w:uiPriority w:val="9"/>
    <w:semiHidden/>
    <w:unhideWhenUsed/>
    <w:qFormat/>
    <w:rsid w:val="00127581"/>
    <w:pPr>
      <w:keepNext/>
      <w:keepLines/>
      <w:spacing w:before="40"/>
      <w:outlineLvl w:val="2"/>
    </w:pPr>
    <w:rPr>
      <w:rFonts w:asciiTheme="majorHAnsi" w:cstheme="majorBidi" w:eastAsiaTheme="majorEastAsia" w:hAnsiTheme="majorHAnsi"/>
      <w:b/>
      <w:color w:themeColor="accent1" w:themeShade="7F" w:val="1F376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BodyText"/>
    <w:link w:val="TitleChar"/>
    <w:autoRedefine/>
    <w:qFormat/>
    <w:rsid w:val="00B600CD"/>
    <w:pPr>
      <w:keepNext/>
      <w:keepLines/>
      <w:spacing w:before="120"/>
      <w:jc w:val="center"/>
    </w:pPr>
    <w:rPr>
      <w:rFonts w:ascii="nevis" w:cstheme="majorBidi" w:eastAsiaTheme="majorEastAsia" w:hAnsi="nevis"/>
      <w:bCs/>
      <w:color w:val="FCA536"/>
      <w:kern w:val="0"/>
      <w:sz w:val="36"/>
      <w:szCs w:val="36"/>
      <w:lang w:val="en-GB"/>
      <w14:ligatures w14:val="none"/>
    </w:rPr>
  </w:style>
  <w:style w:customStyle="1" w:styleId="TitleChar" w:type="character">
    <w:name w:val="Title Char"/>
    <w:basedOn w:val="DefaultParagraphFont"/>
    <w:link w:val="Title"/>
    <w:rsid w:val="00B600CD"/>
    <w:rPr>
      <w:rFonts w:ascii="nevis" w:cstheme="majorBidi" w:eastAsiaTheme="majorEastAsia" w:hAnsi="nevis"/>
      <w:bCs/>
      <w:color w:val="FCA536"/>
      <w:kern w:val="0"/>
      <w:sz w:val="36"/>
      <w:szCs w:val="36"/>
      <w:lang w:val="en-GB"/>
      <w14:ligatures w14:val="none"/>
    </w:rPr>
  </w:style>
  <w:style w:styleId="BodyText" w:type="paragraph">
    <w:name w:val="Body Text"/>
    <w:basedOn w:val="Normal"/>
    <w:link w:val="BodyTextChar"/>
    <w:uiPriority w:val="99"/>
    <w:semiHidden/>
    <w:unhideWhenUsed/>
    <w:rsid w:val="00DA57E3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semiHidden/>
    <w:rsid w:val="00DA57E3"/>
    <w:rPr>
      <w:lang w:val="en-GB"/>
    </w:rPr>
  </w:style>
  <w:style w:customStyle="1" w:styleId="Heading1Char" w:type="character">
    <w:name w:val="Heading 1 Char"/>
    <w:basedOn w:val="DefaultParagraphFont"/>
    <w:link w:val="Heading1"/>
    <w:uiPriority w:val="9"/>
    <w:rsid w:val="00411B1F"/>
    <w:rPr>
      <w:rFonts w:asciiTheme="majorHAnsi" w:cstheme="majorBidi" w:eastAsiaTheme="majorEastAsia" w:hAnsiTheme="majorHAnsi"/>
      <w:b/>
      <w:color w:val="36B6FA"/>
      <w:sz w:val="30"/>
      <w:szCs w:val="32"/>
      <w:lang w:val="en-GB"/>
    </w:rPr>
  </w:style>
  <w:style w:customStyle="1" w:styleId="Heading2Char" w:type="character">
    <w:name w:val="Heading 2 Char"/>
    <w:basedOn w:val="DefaultParagraphFont"/>
    <w:link w:val="Heading2"/>
    <w:uiPriority w:val="9"/>
    <w:rsid w:val="00411B1F"/>
    <w:rPr>
      <w:rFonts w:asciiTheme="majorHAnsi" w:cstheme="majorBidi" w:eastAsiaTheme="majorEastAsia" w:hAnsiTheme="majorHAnsi"/>
      <w:b/>
      <w:color w:val="FA6137"/>
      <w:sz w:val="26"/>
      <w:szCs w:val="26"/>
      <w:lang w:val="en-GB"/>
    </w:rPr>
  </w:style>
  <w:style w:styleId="Header" w:type="paragraph">
    <w:name w:val="header"/>
    <w:basedOn w:val="Normal"/>
    <w:link w:val="HeaderChar"/>
    <w:uiPriority w:val="99"/>
    <w:unhideWhenUsed/>
    <w:rsid w:val="00334A51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34A51"/>
    <w:rPr>
      <w:lang w:val="en-GB"/>
    </w:rPr>
  </w:style>
  <w:style w:styleId="Footer" w:type="paragraph">
    <w:name w:val="footer"/>
    <w:basedOn w:val="Normal"/>
    <w:link w:val="FooterChar"/>
    <w:uiPriority w:val="99"/>
    <w:unhideWhenUsed/>
    <w:rsid w:val="00334A51"/>
    <w:pPr>
      <w:tabs>
        <w:tab w:pos="4513" w:val="center"/>
        <w:tab w:pos="9026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334A51"/>
    <w:rPr>
      <w:lang w:val="en-GB"/>
    </w:rPr>
  </w:style>
  <w:style w:styleId="NoSpacing" w:type="paragraph">
    <w:name w:val="No Spacing"/>
    <w:autoRedefine/>
    <w:uiPriority w:val="1"/>
    <w:qFormat/>
    <w:rsid w:val="00AD5CBA"/>
    <w:pPr>
      <w:jc w:val="both"/>
    </w:pPr>
    <w:rPr>
      <w:lang w:val="en-GB"/>
    </w:rPr>
  </w:style>
  <w:style w:styleId="Subtitle" w:type="paragraph">
    <w:name w:val="Subtitle"/>
    <w:basedOn w:val="Normal"/>
    <w:next w:val="Normal"/>
    <w:link w:val="SubtitleChar"/>
    <w:autoRedefine/>
    <w:uiPriority w:val="11"/>
    <w:qFormat/>
    <w:rsid w:val="0008592A"/>
    <w:pPr>
      <w:numPr>
        <w:ilvl w:val="1"/>
      </w:numPr>
      <w:spacing w:after="160"/>
      <w:jc w:val="center"/>
    </w:pPr>
    <w:rPr>
      <w:rFonts w:asciiTheme="majorHAnsi" w:eastAsiaTheme="minorEastAsia" w:hAnsiTheme="majorHAnsi"/>
      <w:b/>
      <w:color w:themeColor="text1" w:themeTint="D9" w:val="262626"/>
      <w:spacing w:val="15"/>
      <w:sz w:val="3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08592A"/>
    <w:rPr>
      <w:rFonts w:asciiTheme="majorHAnsi" w:eastAsiaTheme="minorEastAsia" w:hAnsiTheme="majorHAnsi"/>
      <w:b/>
      <w:color w:themeColor="text1" w:themeTint="D9" w:val="262626"/>
      <w:spacing w:val="15"/>
      <w:sz w:val="32"/>
      <w:szCs w:val="22"/>
      <w:lang w:val="en-GB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127581"/>
    <w:rPr>
      <w:rFonts w:asciiTheme="majorHAnsi" w:cstheme="majorBidi" w:eastAsiaTheme="majorEastAsia" w:hAnsiTheme="majorHAnsi"/>
      <w:b/>
      <w:color w:themeColor="accent1" w:themeShade="7F" w:val="1F3763"/>
      <w:lang w:val="en-GB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1" Target="https://quarto.org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Playful Learning Across The Years 2.0 (PLAY 2.0)</dc:title>
  <dc:creator>Street Child Data Team</dc:creator>
  <dc:language>en-GB</dc:language>
  <cp:keywords/>
  <dcterms:created xsi:type="dcterms:W3CDTF">2024-04-09T05:33:59Z</dcterms:created>
  <dcterms:modified xsi:type="dcterms:W3CDTF">2024-04-09T05:33:59Z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9 April 2024</vt:lpwstr>
  </property>
  <property fmtid="{D5CDD505-2E9C-101B-9397-08002B2CF9AE}" pid="6" name="date-format">
    <vt:lpwstr>long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subtitle">
    <vt:lpwstr>Bangladesh Pilot Study Report</vt:lpwstr>
  </property>
  <property fmtid="{D5CDD505-2E9C-101B-9397-08002B2CF9AE}" pid="15" name="toc-location">
    <vt:lpwstr>body</vt:lpwstr>
  </property>
  <property fmtid="{D5CDD505-2E9C-101B-9397-08002B2CF9AE}" pid="16" name="toc-title">
    <vt:lpwstr>Table of Contents</vt:lpwstr>
  </property>
</Properties>
</file>