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6C0C3" w14:textId="77777777" w:rsidR="006A039B" w:rsidRDefault="006A039B" w:rsidP="00FD4A6F">
      <w:pPr>
        <w:pStyle w:val="NormalWeb"/>
        <w:jc w:val="both"/>
      </w:pPr>
      <w:r>
        <w:t xml:space="preserve">In July 2020, </w:t>
      </w:r>
      <w:r>
        <w:rPr>
          <w:rStyle w:val="Strong"/>
        </w:rPr>
        <w:t xml:space="preserve">ESPL (Elcomponics Sales </w:t>
      </w:r>
      <w:proofErr w:type="spellStart"/>
      <w:r>
        <w:rPr>
          <w:rStyle w:val="Strong"/>
        </w:rPr>
        <w:t>Pvt.</w:t>
      </w:r>
      <w:proofErr w:type="spellEnd"/>
      <w:r>
        <w:rPr>
          <w:rStyle w:val="Strong"/>
        </w:rPr>
        <w:t xml:space="preserve"> Ltd.)</w:t>
      </w:r>
      <w:r>
        <w:t xml:space="preserve">, an Indian company, engaged </w:t>
      </w:r>
      <w:r>
        <w:rPr>
          <w:rStyle w:val="Strong"/>
        </w:rPr>
        <w:t>FAMAS GmbH</w:t>
      </w:r>
      <w:r>
        <w:t xml:space="preserve">, a German advisory firm, to identify M&amp;A opportunities in Europe. FAMAS assured ESPL that it would act exclusively as a </w:t>
      </w:r>
      <w:r>
        <w:rPr>
          <w:rStyle w:val="Strong"/>
        </w:rPr>
        <w:t>buy-side advisor</w:t>
      </w:r>
      <w:r>
        <w:t>, with no parallel engagement on the sell side, and that its compensation would come solely from ESPL. These assurances were critical to establishing trust and finalizing the engagement.</w:t>
      </w:r>
    </w:p>
    <w:p w14:paraId="5FBDE7E2" w14:textId="77777777" w:rsidR="006A039B" w:rsidRDefault="006A039B" w:rsidP="00FD4A6F">
      <w:pPr>
        <w:pStyle w:val="NormalWeb"/>
        <w:jc w:val="both"/>
      </w:pPr>
      <w:r>
        <w:t>FAMAS subsequently introduced ESPL to two target companies:</w:t>
      </w:r>
    </w:p>
    <w:p w14:paraId="1375AA70" w14:textId="77777777" w:rsidR="006A039B" w:rsidRDefault="006A039B" w:rsidP="00FD4A6F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Invictus Cable GmbH</w:t>
      </w:r>
      <w:r>
        <w:t xml:space="preserve"> (Austria)</w:t>
      </w:r>
    </w:p>
    <w:p w14:paraId="24183C4B" w14:textId="77777777" w:rsidR="006A039B" w:rsidRDefault="006A039B" w:rsidP="00FD4A6F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AIRIAL Robotics GmbH</w:t>
      </w:r>
      <w:r>
        <w:t xml:space="preserve"> (Germany)</w:t>
      </w:r>
    </w:p>
    <w:p w14:paraId="50CDC629" w14:textId="77777777" w:rsidR="006A039B" w:rsidRDefault="006A039B" w:rsidP="00FD4A6F">
      <w:pPr>
        <w:pStyle w:val="NormalWeb"/>
        <w:jc w:val="both"/>
      </w:pPr>
      <w:r>
        <w:t xml:space="preserve">However, </w:t>
      </w:r>
      <w:proofErr w:type="gramStart"/>
      <w:r>
        <w:t>during the course of</w:t>
      </w:r>
      <w:proofErr w:type="gramEnd"/>
      <w:r>
        <w:t xml:space="preserve"> the engagement, FAMAS entered into </w:t>
      </w:r>
      <w:r>
        <w:rPr>
          <w:rStyle w:val="Strong"/>
        </w:rPr>
        <w:t>undisclosed agreements</w:t>
      </w:r>
      <w:r>
        <w:t xml:space="preserve"> with both targets. In December 2020, FAMAS signed a </w:t>
      </w:r>
      <w:r>
        <w:rPr>
          <w:rStyle w:val="Strong"/>
        </w:rPr>
        <w:t>non-circumvention agreement</w:t>
      </w:r>
      <w:r>
        <w:t xml:space="preserve"> with Invictus, restricting the target from transacting directly with ESPL. Similarly, in </w:t>
      </w:r>
      <w:r>
        <w:rPr>
          <w:rStyle w:val="Strong"/>
        </w:rPr>
        <w:t>January 2021</w:t>
      </w:r>
      <w:r>
        <w:t xml:space="preserve">, FAMAS entered into an agreement with </w:t>
      </w:r>
      <w:r>
        <w:rPr>
          <w:rStyle w:val="Strong"/>
        </w:rPr>
        <w:t>AIRIAL Robotics</w:t>
      </w:r>
      <w:r>
        <w:t xml:space="preserve">, asserting control over communications with potential investors and preventing AIRIAL from directly negotiating with third parties. These agreements were </w:t>
      </w:r>
      <w:r>
        <w:rPr>
          <w:rStyle w:val="Strong"/>
        </w:rPr>
        <w:t xml:space="preserve">never disclosed to </w:t>
      </w:r>
      <w:proofErr w:type="gramStart"/>
      <w:r>
        <w:rPr>
          <w:rStyle w:val="Strong"/>
        </w:rPr>
        <w:t>ESPL</w:t>
      </w:r>
      <w:r>
        <w:t>, and</w:t>
      </w:r>
      <w:proofErr w:type="gramEnd"/>
      <w:r>
        <w:t xml:space="preserve"> were only discovered much later through independent communication from the targets. FAMAS, </w:t>
      </w:r>
      <w:proofErr w:type="gramStart"/>
      <w:r>
        <w:t>at all times</w:t>
      </w:r>
      <w:proofErr w:type="gramEnd"/>
      <w:r>
        <w:t>, remained unaware that ESPL had come to know of these side arrangements.</w:t>
      </w:r>
    </w:p>
    <w:p w14:paraId="01380697" w14:textId="77777777" w:rsidR="006A039B" w:rsidRDefault="006A039B" w:rsidP="00FD4A6F">
      <w:pPr>
        <w:pStyle w:val="NormalWeb"/>
        <w:jc w:val="both"/>
      </w:pPr>
      <w:r>
        <w:t xml:space="preserve">The conflict deepened in mid-2021, when ESPL, </w:t>
      </w:r>
      <w:proofErr w:type="gramStart"/>
      <w:r>
        <w:t>in order to</w:t>
      </w:r>
      <w:proofErr w:type="gramEnd"/>
      <w:r>
        <w:t xml:space="preserve"> ensure an independent and credible valuation, decided to </w:t>
      </w:r>
      <w:r>
        <w:rPr>
          <w:rStyle w:val="Strong"/>
        </w:rPr>
        <w:t>engage PwC</w:t>
      </w:r>
      <w:r>
        <w:t xml:space="preserve"> for evaluating AIRIAL. At this point, </w:t>
      </w:r>
      <w:r>
        <w:rPr>
          <w:rStyle w:val="Strong"/>
        </w:rPr>
        <w:t>FAMAS—unable to directly contract with AIRIAL</w:t>
      </w:r>
      <w:r w:rsidR="00FD4A6F">
        <w:rPr>
          <w:rStyle w:val="Strong"/>
        </w:rPr>
        <w:t xml:space="preserve">, </w:t>
      </w:r>
      <w:r>
        <w:rPr>
          <w:rStyle w:val="Strong"/>
        </w:rPr>
        <w:t>suggested to AIRIAL that they bring in Thomas Thie (XO Group)</w:t>
      </w:r>
      <w:r>
        <w:t xml:space="preserve"> to represent the sell side in the proposed transaction. Essentially, </w:t>
      </w:r>
      <w:r>
        <w:rPr>
          <w:rStyle w:val="Strong"/>
        </w:rPr>
        <w:t>Thomas Thie acted on behalf of FAMAS</w:t>
      </w:r>
      <w:r>
        <w:t>, as an intermediary, allowing FAMAS to remain involved indirectly and protect its economic interest in the transaction. This move was designed to retain control over the process and secure a fee based on transaction value, despite FAMAS's official role as a buy-side advisor to ESPL.</w:t>
      </w:r>
    </w:p>
    <w:p w14:paraId="5D616D5A" w14:textId="77777777" w:rsidR="006A039B" w:rsidRDefault="006A039B" w:rsidP="00FD4A6F">
      <w:pPr>
        <w:pStyle w:val="NormalWeb"/>
        <w:jc w:val="both"/>
      </w:pPr>
      <w:r>
        <w:t xml:space="preserve">This approach raised serious concerns of </w:t>
      </w:r>
      <w:r>
        <w:rPr>
          <w:rStyle w:val="Strong"/>
        </w:rPr>
        <w:t>conflict of interest</w:t>
      </w:r>
      <w:r>
        <w:t xml:space="preserve"> and </w:t>
      </w:r>
      <w:r>
        <w:rPr>
          <w:rStyle w:val="Strong"/>
        </w:rPr>
        <w:t>misalignment of incentives</w:t>
      </w:r>
      <w:r>
        <w:t>, as FAMAS had a vested interest in influencing deal terms in a way that would maximize its fee rather than ensure neutrality or protection of ESPL’s commercial position.</w:t>
      </w:r>
    </w:p>
    <w:p w14:paraId="7DACECC2" w14:textId="77777777" w:rsidR="00E5656F" w:rsidRDefault="00E5656F" w:rsidP="00FD4A6F">
      <w:pPr>
        <w:pStyle w:val="NormalWeb"/>
        <w:jc w:val="both"/>
      </w:pPr>
      <w:r>
        <w:t xml:space="preserve">Separately, FAMAS later claimed in an </w:t>
      </w:r>
      <w:r>
        <w:rPr>
          <w:rStyle w:val="Strong"/>
        </w:rPr>
        <w:t>email</w:t>
      </w:r>
      <w:r>
        <w:t xml:space="preserve"> that </w:t>
      </w:r>
      <w:r w:rsidR="00C97128">
        <w:t xml:space="preserve">ESPL </w:t>
      </w:r>
      <w:r>
        <w:t xml:space="preserve">had </w:t>
      </w:r>
      <w:r>
        <w:rPr>
          <w:rStyle w:val="Strong"/>
        </w:rPr>
        <w:t xml:space="preserve">lost exclusivity over the targets </w:t>
      </w:r>
      <w:r w:rsidR="00C97128">
        <w:rPr>
          <w:rStyle w:val="Strong"/>
        </w:rPr>
        <w:t>FAMAS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introduced</w:t>
      </w:r>
      <w:r>
        <w:t>, and</w:t>
      </w:r>
      <w:proofErr w:type="gramEnd"/>
      <w:r>
        <w:t xml:space="preserve"> disclosed that it was </w:t>
      </w:r>
      <w:r>
        <w:rPr>
          <w:rStyle w:val="Strong"/>
        </w:rPr>
        <w:t>engaged in discussions with Invictus GmbH</w:t>
      </w:r>
      <w:r>
        <w:t xml:space="preserve"> (parent of Invictus Cable) for other acquisition opportunities. This communication also referenced the </w:t>
      </w:r>
      <w:r>
        <w:rPr>
          <w:rStyle w:val="Strong"/>
        </w:rPr>
        <w:t>December 2020 non-circumvention agreement</w:t>
      </w:r>
      <w:r>
        <w:t xml:space="preserve">, of which </w:t>
      </w:r>
      <w:r>
        <w:rPr>
          <w:rStyle w:val="Strong"/>
        </w:rPr>
        <w:t>ESPL had no prior knowledge</w:t>
      </w:r>
      <w:r>
        <w:t>.</w:t>
      </w:r>
    </w:p>
    <w:p w14:paraId="6E03DCB0" w14:textId="77777777" w:rsidR="00E5656F" w:rsidRDefault="00E5656F" w:rsidP="00FD4A6F">
      <w:pPr>
        <w:pStyle w:val="NormalWeb"/>
        <w:jc w:val="both"/>
      </w:pPr>
      <w:r>
        <w:t xml:space="preserve">Following ESPL’s </w:t>
      </w:r>
      <w:r w:rsidRPr="00FD4A6F">
        <w:rPr>
          <w:rStyle w:val="Strong"/>
        </w:rPr>
        <w:t>termination of the engagement in October 2021</w:t>
      </w:r>
      <w:r w:rsidRPr="00FD4A6F">
        <w:t xml:space="preserve">, </w:t>
      </w:r>
      <w:r w:rsidRPr="00FD4A6F">
        <w:rPr>
          <w:rStyle w:val="Strong"/>
        </w:rPr>
        <w:t>FAMAS had no role</w:t>
      </w:r>
      <w:r w:rsidRPr="00FD4A6F">
        <w:t xml:space="preserve"> in any ongoing discussions with Invictus. In fact,</w:t>
      </w:r>
      <w:r w:rsidR="00C97128" w:rsidRPr="00FD4A6F">
        <w:t xml:space="preserve"> its evident from the above that</w:t>
      </w:r>
      <w:r w:rsidRPr="00FD4A6F">
        <w:t xml:space="preserve"> its efforts appeared to be focused on </w:t>
      </w:r>
      <w:r w:rsidRPr="00FD4A6F">
        <w:rPr>
          <w:rStyle w:val="Strong"/>
        </w:rPr>
        <w:t>redirecting Invictus away from ESPL</w:t>
      </w:r>
      <w:r>
        <w:t>, despite the initial introductions having been made under a buy-side advisory mandate.</w:t>
      </w:r>
    </w:p>
    <w:p w14:paraId="253642DA" w14:textId="77777777" w:rsidR="00C97128" w:rsidRPr="00C97128" w:rsidRDefault="00C97128" w:rsidP="00FD4A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March 2023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transaction with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Invictus Cable GmbH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consummated. Prior to and after this,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FAMAS made several informal attempts to contact ESPL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confirm whether a transaction had occurred. On the advice of legal counsel,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ESPL did not respond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these queries.</w:t>
      </w:r>
    </w:p>
    <w:p w14:paraId="2DAF62DD" w14:textId="77777777" w:rsidR="00C97128" w:rsidRPr="00C97128" w:rsidRDefault="00C97128" w:rsidP="00FD4A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July 2024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ESPL received an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from a collection agency in India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demanding payment of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EUR 245,000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allegedly due to FAMAS. This was preceded by a similar demand from an Indian lawyer.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ESPL responded to the legal notice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denying liability. Despite this, on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23 May and 27 May 2025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ESPL received formal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Requests for Arbitration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German Institute of Arbitration (DIS)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wherein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FAMAS now claims EUR 245,000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along with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interest at 9 percentage points above the basic </w:t>
      </w:r>
      <w:proofErr w:type="gramStart"/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e.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3C707E92" w14:textId="77777777" w:rsidR="00C97128" w:rsidRPr="00C97128" w:rsidRDefault="00C97128" w:rsidP="00FD4A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FAMAS’s claim is based on the assertion that the consummated Invictus deal entitles them to a success fee, despite:</w:t>
      </w:r>
    </w:p>
    <w:p w14:paraId="42B4690D" w14:textId="77777777" w:rsidR="00C97128" w:rsidRPr="00C97128" w:rsidRDefault="00C97128" w:rsidP="00FD4A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Their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termination by ESPL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well before the deal,</w:t>
      </w:r>
    </w:p>
    <w:p w14:paraId="1E2EF28A" w14:textId="77777777" w:rsidR="00FD4A6F" w:rsidRDefault="00C97128" w:rsidP="00FD4A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Their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lack of any involvement post-October 2021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A1B514F" w14:textId="77777777" w:rsidR="00B86C82" w:rsidRPr="00C97128" w:rsidRDefault="00C97128" w:rsidP="00FD4A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Their </w:t>
      </w:r>
      <w:r w:rsidR="00B86C82" w:rsidRPr="00FD4A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breach of </w:t>
      </w:r>
      <w:r w:rsidR="00B86C82"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contractual obligations and fiduciary duty</w:t>
      </w:r>
      <w:r w:rsidR="00FD4A6F" w:rsidRPr="00FD4A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FD4A6F"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acting contrary to its role as a buy-side advisor and by entering undisclosed agreements with the targets.</w:t>
      </w:r>
    </w:p>
    <w:p w14:paraId="550AE784" w14:textId="77777777" w:rsidR="00C97128" w:rsidRPr="00C97128" w:rsidRDefault="00C97128" w:rsidP="00FD4A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their </w:t>
      </w:r>
      <w:r w:rsidRPr="00C971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admitted efforts to engage with Invictus independently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D4A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take the target away from ESPL, </w:t>
      </w:r>
      <w:r w:rsidRPr="00C971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the termination.</w:t>
      </w:r>
    </w:p>
    <w:p w14:paraId="1E60860D" w14:textId="77777777" w:rsidR="006A039B" w:rsidRPr="006A039B" w:rsidRDefault="006A039B" w:rsidP="00FD4A6F">
      <w:pPr>
        <w:jc w:val="both"/>
      </w:pPr>
    </w:p>
    <w:sectPr w:rsidR="006A039B" w:rsidRPr="006A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F59AA"/>
    <w:multiLevelType w:val="multilevel"/>
    <w:tmpl w:val="4BE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D618B"/>
    <w:multiLevelType w:val="multilevel"/>
    <w:tmpl w:val="BADC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94A0C"/>
    <w:multiLevelType w:val="multilevel"/>
    <w:tmpl w:val="C44C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002191">
    <w:abstractNumId w:val="2"/>
  </w:num>
  <w:num w:numId="2" w16cid:durableId="1467972498">
    <w:abstractNumId w:val="1"/>
  </w:num>
  <w:num w:numId="3" w16cid:durableId="186574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9B"/>
    <w:rsid w:val="00463654"/>
    <w:rsid w:val="006A039B"/>
    <w:rsid w:val="00B86C82"/>
    <w:rsid w:val="00C047F9"/>
    <w:rsid w:val="00C97128"/>
    <w:rsid w:val="00E5656F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2597"/>
  <w15:chartTrackingRefBased/>
  <w15:docId w15:val="{F24675D9-0200-455C-AAE6-76F3E2E8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039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9712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Sharma</dc:creator>
  <cp:keywords/>
  <dc:description/>
  <cp:lastModifiedBy>Anu Sharma</cp:lastModifiedBy>
  <cp:revision>1</cp:revision>
  <dcterms:created xsi:type="dcterms:W3CDTF">2025-07-02T10:17:00Z</dcterms:created>
  <dcterms:modified xsi:type="dcterms:W3CDTF">2025-07-04T08:21:00Z</dcterms:modified>
</cp:coreProperties>
</file>