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9"/>
        <w:gridCol w:w="2699"/>
        <w:gridCol w:w="1343"/>
        <w:gridCol w:w="1356"/>
        <w:gridCol w:w="2686"/>
        <w:gridCol w:w="13"/>
        <w:gridCol w:w="2700"/>
        <w:gridCol w:w="441"/>
      </w:tblGrid>
      <w:tr w:rsidR="00101089" w:rsidRPr="00F16EDB" w14:paraId="0445839A" w14:textId="77777777" w:rsidTr="00E03804">
        <w:trPr>
          <w:trHeight w:val="90"/>
        </w:trPr>
        <w:tc>
          <w:tcPr>
            <w:tcW w:w="1179" w:type="dxa"/>
          </w:tcPr>
          <w:p w14:paraId="034799EE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b/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Switch</w:t>
            </w:r>
          </w:p>
        </w:tc>
        <w:tc>
          <w:tcPr>
            <w:tcW w:w="8084" w:type="dxa"/>
            <w:gridSpan w:val="4"/>
          </w:tcPr>
          <w:p w14:paraId="6CE8F34F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b/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Gaze-independent levels</w:t>
            </w:r>
          </w:p>
        </w:tc>
        <w:tc>
          <w:tcPr>
            <w:tcW w:w="2713" w:type="dxa"/>
            <w:gridSpan w:val="2"/>
            <w:shd w:val="clear" w:color="auto" w:fill="D5DCE4" w:themeFill="text2" w:themeFillTint="33"/>
          </w:tcPr>
          <w:p w14:paraId="3FCB1237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b/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Gaze-dependent levels</w:t>
            </w:r>
          </w:p>
        </w:tc>
        <w:tc>
          <w:tcPr>
            <w:tcW w:w="441" w:type="dxa"/>
          </w:tcPr>
          <w:p w14:paraId="6C86A3C4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jc w:val="center"/>
              <w:rPr>
                <w:b/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N</w:t>
            </w:r>
          </w:p>
        </w:tc>
      </w:tr>
      <w:tr w:rsidR="00101089" w:rsidRPr="00F16EDB" w14:paraId="7E1B7209" w14:textId="77777777" w:rsidTr="00E03804">
        <w:trPr>
          <w:trHeight w:val="402"/>
        </w:trPr>
        <w:tc>
          <w:tcPr>
            <w:tcW w:w="1179" w:type="dxa"/>
          </w:tcPr>
          <w:p w14:paraId="79D665E9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b/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Attribute integration</w:t>
            </w:r>
          </w:p>
        </w:tc>
        <w:tc>
          <w:tcPr>
            <w:tcW w:w="4042" w:type="dxa"/>
            <w:gridSpan w:val="2"/>
          </w:tcPr>
          <w:p w14:paraId="311099FA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× Multiplicative</w:t>
            </w:r>
            <w:r w:rsidRPr="00F16EDB">
              <w:rPr>
                <w:sz w:val="15"/>
                <w:szCs w:val="15"/>
                <w:lang w:val="en-GB"/>
              </w:rPr>
              <w:br/>
              <w:t>Outcomes and probabilities combine multiplicatively into expected utilities (e.g., Glickman et al., 2019; Tversky &amp; Kahneman, 1992)</w:t>
            </w:r>
          </w:p>
        </w:tc>
        <w:tc>
          <w:tcPr>
            <w:tcW w:w="4042" w:type="dxa"/>
            <w:gridSpan w:val="2"/>
          </w:tcPr>
          <w:p w14:paraId="64EFC8E3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+ Weighted additive</w:t>
            </w:r>
            <w:r w:rsidRPr="00F16EDB">
              <w:rPr>
                <w:sz w:val="15"/>
                <w:szCs w:val="15"/>
                <w:lang w:val="en-GB"/>
              </w:rPr>
              <w:br/>
              <w:t>Outcomes and probabilities are normalized, weighted and added (e.g., Rouault et al., 2019)</w:t>
            </w:r>
          </w:p>
        </w:tc>
        <w:tc>
          <w:tcPr>
            <w:tcW w:w="2713" w:type="dxa"/>
            <w:gridSpan w:val="2"/>
            <w:shd w:val="clear" w:color="auto" w:fill="auto"/>
          </w:tcPr>
          <w:p w14:paraId="5DFA87BA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i/>
                <w:sz w:val="15"/>
                <w:szCs w:val="15"/>
                <w:lang w:val="en-GB"/>
              </w:rPr>
            </w:pPr>
            <w:proofErr w:type="spellStart"/>
            <w:r w:rsidRPr="00F16EDB">
              <w:rPr>
                <w:i/>
                <w:sz w:val="15"/>
                <w:szCs w:val="15"/>
                <w:lang w:val="en-GB"/>
              </w:rPr>
              <w:t>n.a.</w:t>
            </w:r>
            <w:proofErr w:type="spellEnd"/>
          </w:p>
        </w:tc>
        <w:tc>
          <w:tcPr>
            <w:tcW w:w="441" w:type="dxa"/>
          </w:tcPr>
          <w:p w14:paraId="6F35CD8C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jc w:val="center"/>
              <w:rPr>
                <w:sz w:val="15"/>
                <w:szCs w:val="15"/>
                <w:lang w:val="en-GB"/>
              </w:rPr>
            </w:pPr>
            <w:r w:rsidRPr="00F16EDB">
              <w:rPr>
                <w:sz w:val="15"/>
                <w:szCs w:val="15"/>
                <w:lang w:val="en-GB"/>
              </w:rPr>
              <w:t>2</w:t>
            </w:r>
          </w:p>
        </w:tc>
      </w:tr>
      <w:tr w:rsidR="00101089" w:rsidRPr="00F16EDB" w14:paraId="65DB4135" w14:textId="77777777" w:rsidTr="00E03804">
        <w:trPr>
          <w:trHeight w:val="176"/>
        </w:trPr>
        <w:tc>
          <w:tcPr>
            <w:tcW w:w="1179" w:type="dxa"/>
          </w:tcPr>
          <w:p w14:paraId="7DF2BEF9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b/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Comparison</w:t>
            </w:r>
          </w:p>
        </w:tc>
        <w:tc>
          <w:tcPr>
            <w:tcW w:w="4042" w:type="dxa"/>
            <w:gridSpan w:val="2"/>
          </w:tcPr>
          <w:p w14:paraId="64955276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Independent</w:t>
            </w:r>
            <w:r w:rsidRPr="00F16EDB">
              <w:rPr>
                <w:sz w:val="15"/>
                <w:szCs w:val="15"/>
                <w:lang w:val="en-GB"/>
              </w:rPr>
              <w:br/>
              <w:t>Accumulation of absolute item values per alternative (e.g., Bhatia, 2013; Glickman et al., 2019)</w:t>
            </w:r>
          </w:p>
        </w:tc>
        <w:tc>
          <w:tcPr>
            <w:tcW w:w="4042" w:type="dxa"/>
            <w:gridSpan w:val="2"/>
          </w:tcPr>
          <w:p w14:paraId="4F896A62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Comparative</w:t>
            </w:r>
            <w:r w:rsidRPr="00F16EDB">
              <w:rPr>
                <w:b/>
                <w:sz w:val="15"/>
                <w:szCs w:val="15"/>
                <w:lang w:val="en-GB"/>
              </w:rPr>
              <w:br/>
            </w:r>
            <w:r w:rsidRPr="00F16EDB">
              <w:rPr>
                <w:sz w:val="15"/>
                <w:szCs w:val="15"/>
                <w:lang w:val="en-GB"/>
              </w:rPr>
              <w:t>Accumulation of relative values per alternative (e.g., Roe et al., 2001)</w:t>
            </w:r>
          </w:p>
        </w:tc>
        <w:tc>
          <w:tcPr>
            <w:tcW w:w="2713" w:type="dxa"/>
            <w:gridSpan w:val="2"/>
            <w:shd w:val="clear" w:color="auto" w:fill="auto"/>
          </w:tcPr>
          <w:p w14:paraId="65C3128F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i/>
                <w:sz w:val="15"/>
                <w:szCs w:val="15"/>
                <w:lang w:val="en-GB"/>
              </w:rPr>
            </w:pPr>
            <w:proofErr w:type="spellStart"/>
            <w:r w:rsidRPr="00F16EDB">
              <w:rPr>
                <w:i/>
                <w:sz w:val="15"/>
                <w:szCs w:val="15"/>
                <w:lang w:val="en-GB"/>
              </w:rPr>
              <w:t>n.a.</w:t>
            </w:r>
            <w:proofErr w:type="spellEnd"/>
          </w:p>
        </w:tc>
        <w:tc>
          <w:tcPr>
            <w:tcW w:w="441" w:type="dxa"/>
          </w:tcPr>
          <w:p w14:paraId="07ABD371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jc w:val="center"/>
              <w:rPr>
                <w:sz w:val="15"/>
                <w:szCs w:val="15"/>
                <w:lang w:val="en-GB"/>
              </w:rPr>
            </w:pPr>
            <w:r w:rsidRPr="00F16EDB">
              <w:rPr>
                <w:sz w:val="15"/>
                <w:szCs w:val="15"/>
                <w:lang w:val="en-GB"/>
              </w:rPr>
              <w:t>2</w:t>
            </w:r>
          </w:p>
        </w:tc>
      </w:tr>
      <w:tr w:rsidR="00101089" w:rsidRPr="00F16EDB" w14:paraId="0FC92860" w14:textId="77777777" w:rsidTr="00E03804">
        <w:trPr>
          <w:trHeight w:val="90"/>
        </w:trPr>
        <w:tc>
          <w:tcPr>
            <w:tcW w:w="1179" w:type="dxa"/>
          </w:tcPr>
          <w:p w14:paraId="27618012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b/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Attribute-wise gaze-discount</w:t>
            </w:r>
          </w:p>
        </w:tc>
        <w:tc>
          <w:tcPr>
            <w:tcW w:w="8084" w:type="dxa"/>
            <w:gridSpan w:val="4"/>
          </w:tcPr>
          <w:p w14:paraId="627B0901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False</w:t>
            </w:r>
            <w:r w:rsidRPr="00F16EDB">
              <w:rPr>
                <w:sz w:val="15"/>
                <w:szCs w:val="15"/>
                <w:lang w:val="en-GB"/>
              </w:rPr>
              <w:br/>
              <w:t>Fixated and non-fixated alternatives are processed equally.</w:t>
            </w:r>
          </w:p>
        </w:tc>
        <w:tc>
          <w:tcPr>
            <w:tcW w:w="2713" w:type="dxa"/>
            <w:gridSpan w:val="2"/>
            <w:shd w:val="clear" w:color="auto" w:fill="D5DCE4" w:themeFill="text2" w:themeFillTint="33"/>
          </w:tcPr>
          <w:p w14:paraId="25155CBB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True</w:t>
            </w:r>
            <w:r w:rsidRPr="00F16EDB">
              <w:rPr>
                <w:sz w:val="15"/>
                <w:szCs w:val="15"/>
                <w:lang w:val="en-GB"/>
              </w:rPr>
              <w:br/>
              <w:t xml:space="preserve">Non-fixated alternatives’ values are discounted by a parameter θ (e.g., </w:t>
            </w:r>
            <w:proofErr w:type="spellStart"/>
            <w:r w:rsidRPr="00F16EDB">
              <w:rPr>
                <w:sz w:val="15"/>
                <w:szCs w:val="15"/>
                <w:lang w:val="en-GB"/>
              </w:rPr>
              <w:t>Krajbich</w:t>
            </w:r>
            <w:proofErr w:type="spellEnd"/>
            <w:r w:rsidRPr="00F16EDB">
              <w:rPr>
                <w:sz w:val="15"/>
                <w:szCs w:val="15"/>
                <w:lang w:val="en-GB"/>
              </w:rPr>
              <w:t xml:space="preserve"> et al., 2010)</w:t>
            </w:r>
          </w:p>
        </w:tc>
        <w:tc>
          <w:tcPr>
            <w:tcW w:w="441" w:type="dxa"/>
          </w:tcPr>
          <w:p w14:paraId="3F9344F4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jc w:val="center"/>
              <w:rPr>
                <w:sz w:val="15"/>
                <w:szCs w:val="15"/>
                <w:lang w:val="en-GB"/>
              </w:rPr>
            </w:pPr>
            <w:r w:rsidRPr="00F16EDB">
              <w:rPr>
                <w:sz w:val="15"/>
                <w:szCs w:val="15"/>
                <w:lang w:val="en-GB"/>
              </w:rPr>
              <w:t>2</w:t>
            </w:r>
          </w:p>
        </w:tc>
      </w:tr>
      <w:tr w:rsidR="00101089" w:rsidRPr="00F16EDB" w14:paraId="74440086" w14:textId="77777777" w:rsidTr="00E03804">
        <w:trPr>
          <w:trHeight w:val="90"/>
        </w:trPr>
        <w:tc>
          <w:tcPr>
            <w:tcW w:w="1179" w:type="dxa"/>
          </w:tcPr>
          <w:p w14:paraId="331E9549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b/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Alternative-wise gaze-discount</w:t>
            </w:r>
          </w:p>
        </w:tc>
        <w:tc>
          <w:tcPr>
            <w:tcW w:w="8084" w:type="dxa"/>
            <w:gridSpan w:val="4"/>
          </w:tcPr>
          <w:p w14:paraId="3751E404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False</w:t>
            </w:r>
            <w:r w:rsidRPr="00F16EDB">
              <w:rPr>
                <w:sz w:val="15"/>
                <w:szCs w:val="15"/>
                <w:lang w:val="en-GB"/>
              </w:rPr>
              <w:br/>
              <w:t>Fixated and non-fixated attributes are processed equally.</w:t>
            </w:r>
          </w:p>
        </w:tc>
        <w:tc>
          <w:tcPr>
            <w:tcW w:w="2713" w:type="dxa"/>
            <w:gridSpan w:val="2"/>
            <w:shd w:val="clear" w:color="auto" w:fill="D5DCE4" w:themeFill="text2" w:themeFillTint="33"/>
          </w:tcPr>
          <w:p w14:paraId="5BA546C4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True</w:t>
            </w:r>
            <w:r w:rsidRPr="00F16EDB">
              <w:rPr>
                <w:sz w:val="15"/>
                <w:szCs w:val="15"/>
                <w:lang w:val="en-GB"/>
              </w:rPr>
              <w:br/>
              <w:t xml:space="preserve">Attributes on the non-fixated dimension are discounted by a parameter η (e.g., Fisher, 2017; </w:t>
            </w:r>
            <w:proofErr w:type="spellStart"/>
            <w:r w:rsidRPr="00F16EDB">
              <w:rPr>
                <w:sz w:val="15"/>
                <w:szCs w:val="15"/>
                <w:lang w:val="en-GB"/>
              </w:rPr>
              <w:t>Krajbich</w:t>
            </w:r>
            <w:proofErr w:type="spellEnd"/>
            <w:r w:rsidRPr="00F16EDB">
              <w:rPr>
                <w:sz w:val="15"/>
                <w:szCs w:val="15"/>
                <w:lang w:val="en-GB"/>
              </w:rPr>
              <w:t xml:space="preserve"> et al., 2012)</w:t>
            </w:r>
          </w:p>
        </w:tc>
        <w:tc>
          <w:tcPr>
            <w:tcW w:w="441" w:type="dxa"/>
          </w:tcPr>
          <w:p w14:paraId="6E98BAD2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jc w:val="center"/>
              <w:rPr>
                <w:sz w:val="15"/>
                <w:szCs w:val="15"/>
                <w:lang w:val="en-GB"/>
              </w:rPr>
            </w:pPr>
            <w:r w:rsidRPr="00F16EDB">
              <w:rPr>
                <w:sz w:val="15"/>
                <w:szCs w:val="15"/>
                <w:lang w:val="en-GB"/>
              </w:rPr>
              <w:t>2</w:t>
            </w:r>
          </w:p>
        </w:tc>
      </w:tr>
      <w:tr w:rsidR="00101089" w:rsidRPr="00F16EDB" w14:paraId="536C0722" w14:textId="77777777" w:rsidTr="00E03804">
        <w:trPr>
          <w:trHeight w:val="90"/>
        </w:trPr>
        <w:tc>
          <w:tcPr>
            <w:tcW w:w="1179" w:type="dxa"/>
          </w:tcPr>
          <w:p w14:paraId="6FD506CB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b/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Accumulation leak</w:t>
            </w:r>
          </w:p>
        </w:tc>
        <w:tc>
          <w:tcPr>
            <w:tcW w:w="4042" w:type="dxa"/>
            <w:gridSpan w:val="2"/>
          </w:tcPr>
          <w:p w14:paraId="5A728C29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None</w:t>
            </w:r>
            <w:r w:rsidRPr="00F16EDB">
              <w:rPr>
                <w:sz w:val="15"/>
                <w:szCs w:val="15"/>
                <w:lang w:val="en-GB"/>
              </w:rPr>
              <w:br/>
              <w:t>Perfect integration over fixations.</w:t>
            </w:r>
          </w:p>
        </w:tc>
        <w:tc>
          <w:tcPr>
            <w:tcW w:w="4042" w:type="dxa"/>
            <w:gridSpan w:val="2"/>
          </w:tcPr>
          <w:p w14:paraId="7777E8D1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Constant</w:t>
            </w:r>
            <w:r w:rsidRPr="00F16EDB">
              <w:rPr>
                <w:sz w:val="15"/>
                <w:szCs w:val="15"/>
                <w:lang w:val="en-GB"/>
              </w:rPr>
              <w:br/>
              <w:t>With each fixation, accumulators leak information proportional to their current value, controlled by parameter λ (e.g., Roe et al., 2001; Usher &amp; McClelland, 2001; Glickman et al., 2019)</w:t>
            </w:r>
          </w:p>
        </w:tc>
        <w:tc>
          <w:tcPr>
            <w:tcW w:w="2713" w:type="dxa"/>
            <w:gridSpan w:val="2"/>
            <w:shd w:val="clear" w:color="auto" w:fill="D5DCE4" w:themeFill="text2" w:themeFillTint="33"/>
          </w:tcPr>
          <w:p w14:paraId="4E2B97A8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Gaze-dependent</w:t>
            </w:r>
            <w:r w:rsidRPr="00F16EDB">
              <w:rPr>
                <w:b/>
                <w:sz w:val="15"/>
                <w:szCs w:val="15"/>
                <w:lang w:val="en-GB"/>
              </w:rPr>
              <w:br/>
            </w:r>
            <w:r w:rsidRPr="00F16EDB">
              <w:rPr>
                <w:sz w:val="15"/>
                <w:szCs w:val="15"/>
                <w:lang w:val="en-GB"/>
              </w:rPr>
              <w:t>With each fixation, accumulators of non-fixated alternatives leak information, as in Constant leak (e.g., Ashby et al. 2016)</w:t>
            </w:r>
          </w:p>
        </w:tc>
        <w:tc>
          <w:tcPr>
            <w:tcW w:w="441" w:type="dxa"/>
          </w:tcPr>
          <w:p w14:paraId="7965DA13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jc w:val="center"/>
              <w:rPr>
                <w:sz w:val="15"/>
                <w:szCs w:val="15"/>
                <w:lang w:val="en-GB"/>
              </w:rPr>
            </w:pPr>
            <w:r w:rsidRPr="00F16EDB">
              <w:rPr>
                <w:sz w:val="15"/>
                <w:szCs w:val="15"/>
                <w:lang w:val="en-GB"/>
              </w:rPr>
              <w:t>3</w:t>
            </w:r>
          </w:p>
        </w:tc>
      </w:tr>
      <w:tr w:rsidR="00101089" w:rsidRPr="00F16EDB" w14:paraId="3F73A186" w14:textId="77777777" w:rsidTr="00E03804">
        <w:trPr>
          <w:trHeight w:val="1423"/>
        </w:trPr>
        <w:tc>
          <w:tcPr>
            <w:tcW w:w="1179" w:type="dxa"/>
          </w:tcPr>
          <w:p w14:paraId="725A837B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b/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Accumulator inhibition</w:t>
            </w:r>
          </w:p>
        </w:tc>
        <w:tc>
          <w:tcPr>
            <w:tcW w:w="2699" w:type="dxa"/>
          </w:tcPr>
          <w:p w14:paraId="1573079D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None</w:t>
            </w:r>
            <w:r w:rsidRPr="00F16EDB">
              <w:rPr>
                <w:b/>
                <w:sz w:val="15"/>
                <w:szCs w:val="15"/>
                <w:lang w:val="en-GB"/>
              </w:rPr>
              <w:br/>
            </w:r>
            <w:r w:rsidRPr="00F16EDB">
              <w:rPr>
                <w:sz w:val="15"/>
                <w:szCs w:val="15"/>
                <w:lang w:val="en-GB"/>
              </w:rPr>
              <w:t>No inhibition between accumulators.</w:t>
            </w:r>
          </w:p>
        </w:tc>
        <w:tc>
          <w:tcPr>
            <w:tcW w:w="2699" w:type="dxa"/>
            <w:gridSpan w:val="2"/>
          </w:tcPr>
          <w:p w14:paraId="78F7C44F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Constant</w:t>
            </w:r>
            <w:r w:rsidRPr="00F16EDB">
              <w:rPr>
                <w:sz w:val="15"/>
                <w:szCs w:val="15"/>
                <w:lang w:val="en-GB"/>
              </w:rPr>
              <w:br/>
              <w:t>Accumulators inhibit each other proportional to their current value, controlled by parameter φ (e.g., Usher &amp; McClelland, 2004)</w:t>
            </w:r>
          </w:p>
        </w:tc>
        <w:tc>
          <w:tcPr>
            <w:tcW w:w="2699" w:type="dxa"/>
            <w:gridSpan w:val="2"/>
          </w:tcPr>
          <w:p w14:paraId="54330654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Distance-dependent</w:t>
            </w:r>
            <w:r w:rsidRPr="00F16EDB">
              <w:rPr>
                <w:sz w:val="15"/>
                <w:szCs w:val="15"/>
                <w:lang w:val="en-GB"/>
              </w:rPr>
              <w:br/>
              <w:t xml:space="preserve">Inhibition between accumulators depends on pairwise distance between alternatives in attribute space. Parameters </w:t>
            </w:r>
            <w:proofErr w:type="spellStart"/>
            <w:r w:rsidRPr="00F16EDB">
              <w:rPr>
                <w:i/>
                <w:sz w:val="15"/>
                <w:szCs w:val="15"/>
                <w:lang w:val="en-GB"/>
              </w:rPr>
              <w:t>w</w:t>
            </w:r>
            <w:r w:rsidRPr="00F16EDB">
              <w:rPr>
                <w:i/>
                <w:sz w:val="15"/>
                <w:szCs w:val="15"/>
                <w:vertAlign w:val="subscript"/>
                <w:lang w:val="en-GB"/>
              </w:rPr>
              <w:t>d</w:t>
            </w:r>
            <w:proofErr w:type="spellEnd"/>
            <w:r w:rsidRPr="00F16EDB">
              <w:rPr>
                <w:sz w:val="15"/>
                <w:szCs w:val="15"/>
                <w:lang w:val="en-GB"/>
              </w:rPr>
              <w:t xml:space="preserve"> and φ (Roe et al., 2001)</w:t>
            </w:r>
          </w:p>
        </w:tc>
        <w:tc>
          <w:tcPr>
            <w:tcW w:w="2700" w:type="dxa"/>
            <w:shd w:val="clear" w:color="auto" w:fill="D5DCE4" w:themeFill="text2" w:themeFillTint="33"/>
          </w:tcPr>
          <w:p w14:paraId="4486B9A1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Gaze-dependent</w:t>
            </w:r>
            <w:r w:rsidRPr="00F16EDB">
              <w:rPr>
                <w:sz w:val="15"/>
                <w:szCs w:val="15"/>
                <w:lang w:val="en-GB"/>
              </w:rPr>
              <w:br/>
              <w:t>With each fixation, accumulators of non-fixated alternatives are inhibited, proportional to the currently fixated items’ accumulator value. Controlled by parameter φ.</w:t>
            </w:r>
          </w:p>
        </w:tc>
        <w:tc>
          <w:tcPr>
            <w:tcW w:w="441" w:type="dxa"/>
          </w:tcPr>
          <w:p w14:paraId="7F8C2BA7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jc w:val="center"/>
              <w:rPr>
                <w:sz w:val="15"/>
                <w:szCs w:val="15"/>
                <w:lang w:val="en-GB"/>
              </w:rPr>
            </w:pPr>
            <w:r w:rsidRPr="00F16EDB">
              <w:rPr>
                <w:sz w:val="15"/>
                <w:szCs w:val="15"/>
                <w:lang w:val="en-GB"/>
              </w:rPr>
              <w:t>4</w:t>
            </w:r>
          </w:p>
        </w:tc>
      </w:tr>
      <w:tr w:rsidR="00101089" w:rsidRPr="00F16EDB" w14:paraId="0BB6F790" w14:textId="77777777" w:rsidTr="00E03804">
        <w:trPr>
          <w:trHeight w:val="90"/>
        </w:trPr>
        <w:tc>
          <w:tcPr>
            <w:tcW w:w="1179" w:type="dxa"/>
          </w:tcPr>
          <w:p w14:paraId="52087542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b/>
                <w:sz w:val="15"/>
                <w:szCs w:val="15"/>
                <w:lang w:val="en-GB"/>
              </w:rPr>
            </w:pPr>
            <w:r w:rsidRPr="00F16EDB">
              <w:rPr>
                <w:b/>
                <w:sz w:val="15"/>
                <w:szCs w:val="15"/>
                <w:lang w:val="en-GB"/>
              </w:rPr>
              <w:t>Total variants</w:t>
            </w:r>
          </w:p>
        </w:tc>
        <w:tc>
          <w:tcPr>
            <w:tcW w:w="10797" w:type="dxa"/>
            <w:gridSpan w:val="6"/>
          </w:tcPr>
          <w:p w14:paraId="29874E2D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rPr>
                <w:sz w:val="15"/>
                <w:szCs w:val="15"/>
                <w:lang w:val="en-GB"/>
              </w:rPr>
            </w:pPr>
          </w:p>
        </w:tc>
        <w:tc>
          <w:tcPr>
            <w:tcW w:w="441" w:type="dxa"/>
          </w:tcPr>
          <w:p w14:paraId="46CEEF16" w14:textId="77777777" w:rsidR="00101089" w:rsidRPr="00F16EDB" w:rsidRDefault="00101089" w:rsidP="00E03804">
            <w:pPr>
              <w:pStyle w:val="BodyText"/>
              <w:spacing w:line="240" w:lineRule="auto"/>
              <w:ind w:firstLine="0"/>
              <w:jc w:val="center"/>
              <w:rPr>
                <w:sz w:val="15"/>
                <w:szCs w:val="15"/>
                <w:lang w:val="en-GB"/>
              </w:rPr>
            </w:pPr>
            <w:r w:rsidRPr="00F16EDB">
              <w:rPr>
                <w:sz w:val="15"/>
                <w:szCs w:val="15"/>
                <w:lang w:val="en-GB"/>
              </w:rPr>
              <w:t>192</w:t>
            </w:r>
          </w:p>
        </w:tc>
      </w:tr>
    </w:tbl>
    <w:p w14:paraId="7DBA32FD" w14:textId="1B7124F9" w:rsidR="00101089" w:rsidRPr="00101089" w:rsidRDefault="00101089" w:rsidP="00101089">
      <w:pPr>
        <w:pStyle w:val="BodyText"/>
        <w:rPr>
          <w:lang w:val="en-GB"/>
        </w:rPr>
      </w:pPr>
      <w:r w:rsidRPr="00F16EDB">
        <w:rPr>
          <w:b/>
          <w:sz w:val="15"/>
          <w:szCs w:val="15"/>
          <w:lang w:val="en-GB"/>
        </w:rPr>
        <w:t xml:space="preserve">Supplementary Table 2. Overview of the nodes and switch-levels used in the switchboard analysis. </w:t>
      </w:r>
      <w:r w:rsidRPr="00F16EDB">
        <w:rPr>
          <w:sz w:val="15"/>
          <w:szCs w:val="15"/>
          <w:lang w:val="en-GB"/>
        </w:rPr>
        <w:t>Switch levels that depend on gaze-data are shaded blue. Note that due to the model ﬁtting procedure, where model predicted choice probabilities are derived from a soft-max function over the ﬁnal accumulator values, the comparison switch levels independent and comparative are not distinguishable for a subset of the model space, reducing the total number of unique variants to 160.</w:t>
      </w:r>
    </w:p>
    <w:sectPr w:rsidR="00101089" w:rsidRPr="00101089" w:rsidSect="001010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89"/>
    <w:rsid w:val="0010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EEDF27"/>
  <w15:chartTrackingRefBased/>
  <w15:docId w15:val="{CB6E78AF-2E3B-7344-80FD-BC6875B2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089"/>
    <w:pPr>
      <w:suppressAutoHyphens/>
      <w:spacing w:after="200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01089"/>
    <w:pPr>
      <w:spacing w:before="180" w:after="180" w:line="360" w:lineRule="auto"/>
      <w:ind w:firstLine="737"/>
    </w:pPr>
  </w:style>
  <w:style w:type="character" w:customStyle="1" w:styleId="BodyTextChar">
    <w:name w:val="Body Text Char"/>
    <w:basedOn w:val="DefaultParagraphFont"/>
    <w:link w:val="BodyText"/>
    <w:rsid w:val="00101089"/>
    <w:rPr>
      <w:rFonts w:ascii="Times New Roman" w:hAnsi="Times New Roman"/>
      <w:lang w:val="en-US"/>
    </w:rPr>
  </w:style>
  <w:style w:type="table" w:styleId="TableGrid">
    <w:name w:val="Table Grid"/>
    <w:basedOn w:val="TableNormal"/>
    <w:rsid w:val="00101089"/>
    <w:pPr>
      <w:suppressAutoHyphens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Molter</dc:creator>
  <cp:keywords/>
  <dc:description/>
  <cp:lastModifiedBy>Felix Molter</cp:lastModifiedBy>
  <cp:revision>1</cp:revision>
  <dcterms:created xsi:type="dcterms:W3CDTF">2021-02-12T20:25:00Z</dcterms:created>
  <dcterms:modified xsi:type="dcterms:W3CDTF">2021-02-12T20:25:00Z</dcterms:modified>
</cp:coreProperties>
</file>