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E53719" w:rsidRDefault="00992C87">
      <w:pPr>
        <w:pStyle w:val="Title"/>
        <w:rPr>
          <w:lang w:val="en-GB"/>
        </w:rPr>
      </w:pPr>
      <w:r w:rsidRPr="00E53719">
        <w:rPr>
          <w:sz w:val="28"/>
          <w:szCs w:val="28"/>
          <w:lang w:val="en-GB"/>
        </w:rPr>
        <w:t xml:space="preserve">  </w:t>
      </w:r>
      <w:r w:rsidR="00C418A2" w:rsidRPr="00E53719">
        <w:rPr>
          <w:sz w:val="28"/>
          <w:szCs w:val="28"/>
          <w:lang w:val="en-GB"/>
        </w:rPr>
        <w:t>Gaze-dependent evidence accumulation predicts multi-alternative risky choice behaviour</w:t>
      </w:r>
    </w:p>
    <w:p w14:paraId="20F1DCA4"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Felix Molter</w:t>
      </w:r>
    </w:p>
    <w:p w14:paraId="79AA3A3E"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Armin W. Thomas</w:t>
      </w:r>
    </w:p>
    <w:p w14:paraId="12896558"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Scott A. Huettel</w:t>
      </w:r>
    </w:p>
    <w:p w14:paraId="3C01AE8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Hauke R. Heekeren</w:t>
      </w:r>
    </w:p>
    <w:p w14:paraId="2790FE1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Peter N. C. Mohr</w:t>
      </w:r>
    </w:p>
    <w:p w14:paraId="00703656" w14:textId="77777777" w:rsidR="00B76BF1" w:rsidRPr="00E53719" w:rsidRDefault="00C418A2">
      <w:pPr>
        <w:pStyle w:val="Heading1"/>
        <w:rPr>
          <w:lang w:val="en-GB"/>
        </w:rPr>
      </w:pPr>
      <w:r w:rsidRPr="00E53719">
        <w:rPr>
          <w:lang w:val="en-GB"/>
        </w:rPr>
        <w:t>Abstract</w:t>
      </w:r>
    </w:p>
    <w:p w14:paraId="6BE13863" w14:textId="73428A1E" w:rsidR="00B76BF1" w:rsidRPr="00E53719" w:rsidRDefault="00C418A2">
      <w:pPr>
        <w:pStyle w:val="BodyText"/>
        <w:ind w:firstLine="0"/>
        <w:rPr>
          <w:lang w:val="en-GB"/>
        </w:rPr>
      </w:pPr>
      <w:r w:rsidRPr="00E53719">
        <w:rPr>
          <w:lang w:val="en-GB"/>
        </w:rPr>
        <w:t>Choices are influenced by gaze allocation during deliberation, so that fixating an alternative longer leads to increased probabilities of choosing it. Gaze-dependent evidence accumulation provides a parsimonious account of choices, response times and gaze-behaviour in many simple decision scenarios. Here, we aim to test whether this framework can also predict more complex patterns of choice, namely context effects where preferences depend on the set of available alternatives. In a three-alternative risky choice task, we found choices and eye movements to be influenced by the context of available alternatives.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context effects employed an additional similarity-dependent inhibition mechanism found in other models of multi-alternative multi-attribute choice.</w:t>
      </w:r>
      <w:r w:rsidRPr="00E53719">
        <w:rPr>
          <w:lang w:val="en-GB"/>
        </w:rPr>
        <w:br w:type="page"/>
      </w:r>
    </w:p>
    <w:p w14:paraId="3A3D222E" w14:textId="77777777" w:rsidR="00B76BF1" w:rsidRPr="00E53719" w:rsidRDefault="00C418A2">
      <w:pPr>
        <w:pStyle w:val="Heading1"/>
        <w:rPr>
          <w:lang w:val="en-GB"/>
        </w:rPr>
      </w:pPr>
      <w:r w:rsidRPr="00E53719">
        <w:rPr>
          <w:lang w:val="en-GB"/>
        </w:rPr>
        <w:lastRenderedPageBreak/>
        <w:t>Introduction</w:t>
      </w:r>
    </w:p>
    <w:p w14:paraId="56551999" w14:textId="0DCF5F37" w:rsidR="00B76BF1" w:rsidRPr="00E53719" w:rsidRDefault="00C418A2">
      <w:pPr>
        <w:pStyle w:val="FirstParagraph"/>
        <w:rPr>
          <w:lang w:val="en-GB"/>
        </w:rPr>
      </w:pPr>
      <w:r w:rsidRPr="00E53719">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Gluth, Spektor, &amp; Rieskamp, 2018; Smith &amp; Krajbich, 2018). Instead, as in other forms of preferential and perceptual decision making, visual fixations have a constructive role in the decision process, so that alternatives that are looked at for a longer time are generally more likely to be chosen (Armel, Beaumel, &amp; Rangel, 2008; Cavanagh, Wiecki, Kochar, &amp; Frank, 2014; Krajbich, Armel, &amp; Rangel, 2010; Pärnamets et al., 2015; Shimojo, Simion, Shimojo, &amp; Scheier, 2003; Sui, Liu, &amp; Rao, 2020; Tavares, Perona, &amp; Rangel, 2017). </w:t>
      </w:r>
    </w:p>
    <w:p w14:paraId="0BD1B70E" w14:textId="7DDD04A3" w:rsidR="00B76BF1" w:rsidRPr="00E53719" w:rsidRDefault="00C418A2">
      <w:pPr>
        <w:pStyle w:val="FirstParagraph"/>
        <w:rPr>
          <w:lang w:val="en-GB"/>
        </w:rPr>
      </w:pPr>
      <w:r w:rsidRPr="00E53719">
        <w:rPr>
          <w:lang w:val="en-GB"/>
        </w:rPr>
        <w:t>This association between gaze and choice has been formalized in gaze-dependent evidence accumulation models (e.g., Cavanagh, Wiecki, Kochar, &amp; Frank, 2014; Glickman et al., 2019; Gluth, Kern, Kortmann, &amp; Vitali, 2020; Gluth, Spektor, &amp; Rieskamp, 2018; Krajbich, Armel, &amp; Rangel, 2010; Krajbich &amp; Rangel, 2011; Molter, Thomas, Heekeren, &amp; Mohr, 2019; Tavares, Perona, &amp; Rangel, 2017; Thomas, Molter, Krajbich, Heekeren, &amp; Mohr, 2019). Models like the attentional Drift Diffusion Model (aDDM; Krajbich, Armel, &amp; Rangel, 2010), the Gaze-weighted Linear Accumulator Model (Molter, Thomas, Heekeren, &amp; Mohr, 2019; Thomas, Molter, Krajbich, Heekeren, &amp; Mohr, 2019)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E53719">
        <w:rPr>
          <w:lang w:val="en-GB"/>
        </w:rPr>
        <w:t xml:space="preserve"> </w:t>
      </w:r>
      <w:r w:rsidRPr="00E53719">
        <w:rPr>
          <w:lang w:val="en-GB"/>
        </w:rPr>
        <w:t xml:space="preserve">Like the example of choosing an investment plan, however, many real life decisions  are  more complex than this:  For example, there are more than  two investment alternatives to </w:t>
      </w:r>
      <w:r w:rsidRPr="00E53719">
        <w:rPr>
          <w:lang w:val="en-GB"/>
        </w:rPr>
        <w:lastRenderedPageBreak/>
        <w:t>choose from, varying on multiple attributes like expected return, associated risk, fees,  including groups of similar options like safer options with lower expected returns (e.g., government bonds, fixed deposits), and riskier options promising larger gains at the cost of higher risk (e.g., stocks or derivatives).</w:t>
      </w:r>
    </w:p>
    <w:p w14:paraId="07684132" w14:textId="0BDC52EC" w:rsidR="00B76BF1" w:rsidRPr="00E53719" w:rsidRDefault="00C418A2">
      <w:pPr>
        <w:pStyle w:val="BodyText"/>
        <w:rPr>
          <w:lang w:val="en-GB"/>
        </w:rPr>
      </w:pPr>
      <w:r w:rsidRPr="00E53719">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Luce, 1959). Briefly, IIA asserts that the preference between two alternatives should not depend on other alternatives. At least three </w:t>
      </w:r>
      <w:r w:rsidRPr="00E53719">
        <w:rPr>
          <w:i/>
          <w:lang w:val="en-GB"/>
        </w:rPr>
        <w:t>context effects</w:t>
      </w:r>
      <w:r w:rsidRPr="00E53719">
        <w:rPr>
          <w:lang w:val="en-GB"/>
        </w:rPr>
        <w:t xml:space="preserve"> – the attraction (Huber, Payne, &amp; Puto, 1982), compromise (Simonson, 1989)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Puto, 1982; Mohr, Heekeren, &amp; Rieskamp, 2017; Soltani, De Martino, &amp; Camerer, 2012; Tversky, 1972; Wedell, 1991).</w:t>
      </w:r>
    </w:p>
    <w:p w14:paraId="4599DBFA" w14:textId="77777777" w:rsidR="00B76BF1" w:rsidRPr="00E53719" w:rsidRDefault="00C418A2">
      <w:pPr>
        <w:pStyle w:val="BodyText"/>
        <w:rPr>
          <w:lang w:val="en-GB"/>
        </w:rPr>
      </w:pPr>
      <w:r w:rsidRPr="00E53719">
        <w:rPr>
          <w:lang w:val="en-GB"/>
        </w:rPr>
        <w:t>Generally, models that assume that each alternative can independently be assigned a single scale value denoting its utility (fixed utility or simple scalability models; Rieskamp, Busemeyer, &amp; Mellers, 2006) cannot account for the observed violations. In contrast, models that can predict the effects often assume that preferences are constructed by means of comparisons between alternatives on different attribute dimensions (Roe, Busemeyer, &amp; Townsend, 2001; Trueblood, Brown, &amp; Heathcote, 2014; Tversky, 1972; Tversky &amp; Simonson, 1993; Usher &amp; McClelland, 2004), and employ additional psychological or neurobiologically-inspired mechanisms, like loss-aversion or inhibition between alternatives.</w:t>
      </w:r>
    </w:p>
    <w:p w14:paraId="3A98E43B" w14:textId="7F519779" w:rsidR="00B76BF1" w:rsidRPr="00E53719" w:rsidRDefault="00C418A2">
      <w:pPr>
        <w:pStyle w:val="BodyText"/>
        <w:rPr>
          <w:lang w:val="en-GB"/>
        </w:rPr>
      </w:pPr>
      <w:r w:rsidRPr="00E53719">
        <w:rPr>
          <w:lang w:val="en-GB"/>
        </w:rPr>
        <w:lastRenderedPageBreak/>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one way for gaze-dependent accumulation models to account for violations of IIA or regularity would be,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Ansani, &amp; Paglieri, 2020). Furthermore, recent work has suggested gaze-dependent evidence accumulation as a model of multi-alternative, multi-attribute choice in the absence of context effects (Cohen, Kang, &amp; Leise, 2017; Gluth, Spektor, &amp; Rieskamp, 2018).</w:t>
      </w:r>
    </w:p>
    <w:p w14:paraId="1678802E" w14:textId="5D225D3B" w:rsidR="00B76BF1" w:rsidRPr="00E53719" w:rsidRDefault="00C418A2">
      <w:pPr>
        <w:pStyle w:val="BodyText"/>
        <w:rPr>
          <w:lang w:val="en-GB"/>
        </w:rPr>
      </w:pPr>
      <w:r w:rsidRPr="00E53719">
        <w:rPr>
          <w:lang w:val="en-GB"/>
        </w:rPr>
        <w:t xml:space="preserve">Here, we test to what extent gaze-dependent accumulation can </w:t>
      </w:r>
      <w:commentRangeStart w:id="0"/>
      <w:commentRangeStart w:id="1"/>
      <w:r w:rsidRPr="00E53719">
        <w:rPr>
          <w:lang w:val="en-GB"/>
        </w:rPr>
        <w:t>explain</w:t>
      </w:r>
      <w:commentRangeEnd w:id="0"/>
      <w:r w:rsidRPr="00E53719">
        <w:rPr>
          <w:lang w:val="en-GB"/>
        </w:rPr>
        <w:commentReference w:id="0"/>
      </w:r>
      <w:commentRangeEnd w:id="1"/>
      <w:r w:rsidR="00F82B2B" w:rsidRPr="00E53719">
        <w:rPr>
          <w:rStyle w:val="CommentReference"/>
          <w:lang w:val="en-GB"/>
        </w:rPr>
        <w:commentReference w:id="1"/>
      </w:r>
      <w:r w:rsidRPr="00E53719">
        <w:rPr>
          <w:lang w:val="en-GB"/>
        </w:rPr>
        <w:t xml:space="preserve"> risky choice in the presence of context effects. We </w:t>
      </w:r>
      <w:del w:id="2" w:author="Felix Molter" w:date="2020-12-16T18:19:00Z">
        <w:r w:rsidRPr="00E53719">
          <w:rPr>
            <w:lang w:val="en-GB"/>
          </w:rPr>
          <w:delText xml:space="preserve">hypothesize that we can </w:delText>
        </w:r>
      </w:del>
      <w:commentRangeStart w:id="3"/>
      <w:r w:rsidRPr="00E53719">
        <w:rPr>
          <w:lang w:val="en-GB"/>
        </w:rPr>
        <w:t>replicate the attraction and compromise</w:t>
      </w:r>
      <w:commentRangeEnd w:id="3"/>
      <w:r w:rsidRPr="00E53719">
        <w:rPr>
          <w:lang w:val="en-GB"/>
        </w:rPr>
        <w:commentReference w:id="3"/>
      </w:r>
      <w:r w:rsidRPr="00E53719">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a proven model of context-dependent</w:t>
      </w:r>
      <w:r w:rsidR="0070133B" w:rsidRPr="00E53719">
        <w:rPr>
          <w:lang w:val="en-GB"/>
        </w:rPr>
        <w:t xml:space="preserve"> </w:t>
      </w:r>
      <w:r w:rsidRPr="00E53719">
        <w:rPr>
          <w:lang w:val="en-GB"/>
        </w:rPr>
        <w:t>multi-alternative, multi-attribute choice and other traditional models of risky choice.</w:t>
      </w:r>
      <w:r w:rsidR="001E1D41" w:rsidRPr="00E53719">
        <w:rPr>
          <w:lang w:val="en-GB"/>
        </w:rPr>
        <w:t xml:space="preserve"> </w:t>
      </w:r>
      <w:r w:rsidRPr="00E53719">
        <w:rPr>
          <w:lang w:val="en-GB"/>
        </w:rPr>
        <w:t xml:space="preserve">Notably, the gaze-dependent model did not include any dedicated mechanisms which could produce context effects by themselves, meaning its only way of doing so was to use eye movement data. Our task induced a set of context effects across the group, including substantial variability between individuals, providing a complex testing scenario to compare gaze-dependent accumulation models with competing theoretical accounts. We found the gaze-dependent model to give the best account of the choice data, but that it underestimates some individuals’ strong attraction effects. Finally, we perform a systematic search over a large model space combining features across model classes, and including additional mechanisms by which gaze can modulate the decision process, to identify the most relevant mechanisms and gauge their relative contribution to the prediction of participants’ choices. This analysis confirmed that all participants’ behaviour was best described by some form of gaze-dependent </w:t>
      </w:r>
      <w:r w:rsidR="007E4677" w:rsidRPr="00E53719">
        <w:rPr>
          <w:lang w:val="en-GB"/>
        </w:rPr>
        <w:t>accumulation, but</w:t>
      </w:r>
      <w:r w:rsidRPr="00E53719">
        <w:rPr>
          <w:lang w:val="en-GB"/>
        </w:rPr>
        <w:t xml:space="preserve"> that integration with mechanisms from other models is necessary to predict strong context effec</w:t>
      </w:r>
      <w:bookmarkStart w:id="4" w:name="introduction"/>
      <w:bookmarkEnd w:id="4"/>
      <w:r w:rsidRPr="00E53719">
        <w:rPr>
          <w:lang w:val="en-GB"/>
        </w:rPr>
        <w:t>ts.</w:t>
      </w:r>
    </w:p>
    <w:p w14:paraId="775FBE44" w14:textId="77777777" w:rsidR="00B76BF1" w:rsidRPr="00E53719" w:rsidRDefault="00C418A2">
      <w:pPr>
        <w:pStyle w:val="Heading1"/>
        <w:rPr>
          <w:lang w:val="en-GB"/>
        </w:rPr>
      </w:pPr>
      <w:r w:rsidRPr="00E53719">
        <w:rPr>
          <w:lang w:val="en-GB"/>
        </w:rPr>
        <w:lastRenderedPageBreak/>
        <w:t>Results</w:t>
      </w:r>
    </w:p>
    <w:p w14:paraId="2F13382E" w14:textId="77777777" w:rsidR="00B76BF1" w:rsidRPr="00E53719" w:rsidRDefault="00C418A2">
      <w:pPr>
        <w:pStyle w:val="Heading2"/>
        <w:rPr>
          <w:lang w:val="en-GB"/>
        </w:rPr>
      </w:pPr>
      <w:r w:rsidRPr="00E53719">
        <w:rPr>
          <w:lang w:val="en-GB"/>
        </w:rPr>
        <w:t>Choice task</w:t>
      </w:r>
    </w:p>
    <w:p w14:paraId="4D38F92C" w14:textId="2E1DF08D" w:rsidR="00B76BF1" w:rsidRPr="00E53719" w:rsidRDefault="00093637" w:rsidP="00093637">
      <w:pPr>
        <w:pStyle w:val="Heading2"/>
        <w:rPr>
          <w:lang w:val="en-GB"/>
        </w:rPr>
      </w:pPr>
      <w:r w:rsidRPr="00E53719">
        <w:rPr>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E53719" w:rsidRDefault="00C418A2">
      <w:pPr>
        <w:pStyle w:val="ImageCaption"/>
        <w:spacing w:line="276" w:lineRule="auto"/>
        <w:rPr>
          <w:lang w:val="en-GB"/>
        </w:rPr>
      </w:pPr>
      <w:r w:rsidRPr="00E53719">
        <w:rPr>
          <w:b/>
          <w:lang w:val="en-GB"/>
        </w:rPr>
        <w:t>Figure 1. Choice task and attribute space of stimuli.</w:t>
      </w:r>
      <w:r w:rsidRPr="00E53719">
        <w:rPr>
          <w:lang w:val="en-GB"/>
        </w:rPr>
        <w:t xml:space="preserve"> </w:t>
      </w:r>
      <w:r w:rsidRPr="00E53719">
        <w:rPr>
          <w:b/>
          <w:lang w:val="en-GB"/>
        </w:rPr>
        <w:t>(a)</w:t>
      </w:r>
      <w:r w:rsidRPr="00E53719">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E53719">
        <w:rPr>
          <w:b/>
          <w:lang w:val="en-GB"/>
        </w:rPr>
        <w:t>(b)</w:t>
      </w:r>
      <w:r w:rsidRPr="00E53719">
        <w:rPr>
          <w:lang w:val="en-GB"/>
        </w:rPr>
        <w:t xml:space="preserve"> Attribute space. Each gamble is described by two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The core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are expected to elicit compromise and attraction effects, respectively. Dashed lines indicate possible stimulus placements. </w:t>
      </w:r>
      <w:r w:rsidRPr="00E53719">
        <w:rPr>
          <w:b/>
          <w:lang w:val="en-GB"/>
        </w:rPr>
        <w:t>(c)</w:t>
      </w:r>
      <w:r w:rsidRPr="00E53719">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A</m:t>
        </m:r>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always 2% and 1 EUR worse than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w:t>
      </w:r>
    </w:p>
    <w:p w14:paraId="4BC9C760" w14:textId="77777777" w:rsidR="00B76BF1" w:rsidRPr="00E53719" w:rsidRDefault="00C418A2">
      <w:pPr>
        <w:pStyle w:val="BodyText"/>
        <w:rPr>
          <w:lang w:val="en-GB"/>
        </w:rPr>
      </w:pPr>
      <w:r w:rsidRPr="00E53719">
        <w:rPr>
          <w:lang w:val="en-GB"/>
        </w:rPr>
        <w:br w:type="page"/>
      </w:r>
    </w:p>
    <w:p w14:paraId="16F29B33" w14:textId="23437C07" w:rsidR="00B76BF1" w:rsidRPr="00E53719" w:rsidRDefault="00C418A2">
      <w:pPr>
        <w:pStyle w:val="BodyText"/>
        <w:rPr>
          <w:lang w:val="en-GB"/>
        </w:rPr>
      </w:pPr>
      <w:r w:rsidRPr="00E53719">
        <w:rPr>
          <w:lang w:val="en-GB"/>
        </w:rPr>
        <w:lastRenderedPageBreak/>
        <w:t xml:space="preserve">In our experiment, 40 participant made repeated decisions between three all-or-nothing gambles, each described by a probability </w:t>
      </w:r>
      <m:oMath>
        <m:r>
          <w:rPr>
            <w:rFonts w:ascii="Cambria Math" w:hAnsi="Cambria Math"/>
            <w:lang w:val="en-GB"/>
          </w:rPr>
          <m:t>p</m:t>
        </m:r>
      </m:oMath>
      <w:r w:rsidRPr="00E53719">
        <w:rPr>
          <w:lang w:val="en-GB"/>
        </w:rPr>
        <w:t xml:space="preserve"> to win an outcome </w:t>
      </w:r>
      <m:oMath>
        <m:r>
          <w:rPr>
            <w:rFonts w:ascii="Cambria Math" w:hAnsi="Cambria Math"/>
            <w:lang w:val="en-GB"/>
          </w:rPr>
          <m:t>m</m:t>
        </m:r>
      </m:oMath>
      <w:r w:rsidRPr="00E53719">
        <w:rPr>
          <w:lang w:val="en-GB"/>
        </w:rPr>
        <w:t xml:space="preserve"> and nothing otherwise (Figure </w:t>
      </w:r>
      <w:hyperlink w:anchor="fig:fig1-task">
        <w:r w:rsidRPr="00E53719">
          <w:rPr>
            <w:rStyle w:val="Hyperlink"/>
            <w:lang w:val="en-GB"/>
          </w:rPr>
          <w:t>1</w:t>
        </w:r>
      </w:hyperlink>
      <w:r w:rsidRPr="00E53719">
        <w:rPr>
          <w:lang w:val="en-GB"/>
        </w:rPr>
        <w:t xml:space="preserve">a). We recorded participants’ eye movements during the task with an eye tracker (see for details). Participants were instructed that after completing the task, one randomly determined gamble they chose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E53719">
          <w:rPr>
            <w:rStyle w:val="Hyperlink"/>
            <w:lang w:val="en-GB"/>
          </w:rPr>
          <w:t>1</w:t>
        </w:r>
      </w:hyperlink>
      <w:r w:rsidRPr="00E53719">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E53719">
          <w:rPr>
            <w:rStyle w:val="Hyperlink"/>
            <w:lang w:val="en-GB"/>
          </w:rPr>
          <w:t>1</w:t>
        </w:r>
      </w:hyperlink>
      <w:r w:rsidRPr="00E53719">
        <w:rPr>
          <w:lang w:val="en-GB"/>
        </w:rPr>
        <w:t xml:space="preserve">c). Gamble outcomes </w:t>
      </w:r>
      <m:oMath>
        <m:r>
          <w:rPr>
            <w:rFonts w:ascii="Cambria Math" w:hAnsi="Cambria Math"/>
            <w:lang w:val="en-GB"/>
          </w:rPr>
          <m:t>m</m:t>
        </m:r>
      </m:oMath>
      <w:r w:rsidRPr="00E53719">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B</m:t>
        </m:r>
      </m:oMath>
      <w:r w:rsidRPr="00E53719">
        <w:rPr>
          <w:lang w:val="en-GB"/>
        </w:rPr>
        <w:t xml:space="preserve">,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with winning probabilities </w:t>
      </w:r>
      <m:oMath>
        <m:r>
          <w:rPr>
            <w:rFonts w:ascii="Cambria Math" w:hAnsi="Cambria Math"/>
            <w:lang w:val="en-GB"/>
          </w:rPr>
          <m:t>p</m:t>
        </m:r>
      </m:oMath>
      <w:r w:rsidRPr="00E53719">
        <w:rPr>
          <w:lang w:val="en-GB"/>
        </w:rPr>
        <w:t xml:space="preserve"> = 55%, 65%, 75%, 85% were constructed.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defined to be 2% and 1 EUR worse than gambles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xml:space="preserve">. Uniform noise was added to all outcomes </w:t>
      </w:r>
      <m:oMath>
        <m:r>
          <w:rPr>
            <w:rFonts w:ascii="Cambria Math" w:hAnsi="Cambria Math"/>
            <w:lang w:val="en-GB"/>
          </w:rPr>
          <m:t>m</m:t>
        </m:r>
      </m:oMath>
      <w:r w:rsidRPr="00E53719">
        <w:rPr>
          <w:lang w:val="en-GB"/>
        </w:rPr>
        <w:t xml:space="preserve"> (</w:t>
      </w:r>
      <m:oMath>
        <m:r>
          <w:rPr>
            <w:rFonts w:ascii="Cambria Math" w:hAnsi="Cambria Math"/>
            <w:lang w:val="en-GB"/>
          </w:rPr>
          <m:t>±</m:t>
        </m:r>
      </m:oMath>
      <w:r w:rsidRPr="00E53719">
        <w:rPr>
          <w:lang w:val="en-GB"/>
        </w:rPr>
        <w:t xml:space="preserve">0 EUR, +1 EUR) and probabilities </w:t>
      </w:r>
      <m:oMath>
        <m:r>
          <w:rPr>
            <w:rFonts w:ascii="Cambria Math" w:hAnsi="Cambria Math"/>
            <w:lang w:val="en-GB"/>
          </w:rPr>
          <m:t>p</m:t>
        </m:r>
      </m:oMath>
      <w:r w:rsidRPr="00E53719">
        <w:rPr>
          <w:lang w:val="en-GB"/>
        </w:rPr>
        <w:t xml:space="preserve"> (–3%, </w:t>
      </w:r>
      <m:oMath>
        <m:r>
          <w:rPr>
            <w:rFonts w:ascii="Cambria Math" w:hAnsi="Cambria Math"/>
            <w:lang w:val="en-GB"/>
          </w:rPr>
          <m:t>±</m:t>
        </m:r>
      </m:oMath>
      <w:r w:rsidRPr="00E53719">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 target option to preserve the dominance relation.</w:t>
      </w:r>
    </w:p>
    <w:p w14:paraId="7438A786" w14:textId="77777777" w:rsidR="00B76BF1" w:rsidRPr="00E53719" w:rsidRDefault="00C418A2">
      <w:pPr>
        <w:pStyle w:val="Heading2"/>
        <w:rPr>
          <w:lang w:val="en-GB"/>
        </w:rPr>
      </w:pPr>
      <w:r w:rsidRPr="00E53719">
        <w:rPr>
          <w:lang w:val="en-GB"/>
        </w:rPr>
        <w:br w:type="page"/>
      </w:r>
    </w:p>
    <w:p w14:paraId="3C7FC221" w14:textId="77777777" w:rsidR="00B76BF1" w:rsidRPr="00E53719" w:rsidRDefault="00C418A2">
      <w:pPr>
        <w:pStyle w:val="Heading2"/>
        <w:rPr>
          <w:lang w:val="en-GB"/>
        </w:rPr>
      </w:pPr>
      <w:r w:rsidRPr="00E53719">
        <w:rPr>
          <w:lang w:val="en-GB"/>
        </w:rPr>
        <w:lastRenderedPageBreak/>
        <w:t>Context effects</w:t>
      </w:r>
    </w:p>
    <w:p w14:paraId="0C474EF9" w14:textId="77777777" w:rsidR="00B76BF1" w:rsidRPr="00E53719" w:rsidRDefault="00B76BF1">
      <w:pPr>
        <w:pStyle w:val="BodyText"/>
        <w:rPr>
          <w:lang w:val="en-GB"/>
        </w:rPr>
      </w:pPr>
    </w:p>
    <w:p w14:paraId="26AD57E9" w14:textId="77777777" w:rsidR="00B76BF1" w:rsidRPr="00E53719" w:rsidRDefault="00C418A2">
      <w:pPr>
        <w:pStyle w:val="CaptionedFigure"/>
        <w:spacing w:line="360" w:lineRule="auto"/>
        <w:ind w:firstLine="737"/>
        <w:rPr>
          <w:lang w:val="en-GB"/>
        </w:rPr>
      </w:pPr>
      <w:bookmarkStart w:id="5" w:name="fig%252525253Afig2-cfs2"/>
      <w:r w:rsidRPr="00E53719">
        <w:rPr>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5"/>
    </w:p>
    <w:p w14:paraId="63125AFC" w14:textId="35FC7648" w:rsidR="00B76BF1" w:rsidRPr="00E53719" w:rsidRDefault="00C418A2">
      <w:pPr>
        <w:pStyle w:val="ImageCaption"/>
        <w:spacing w:line="276" w:lineRule="auto"/>
        <w:rPr>
          <w:lang w:val="en-GB"/>
        </w:rPr>
      </w:pPr>
      <w:r w:rsidRPr="00E53719">
        <w:rPr>
          <w:b/>
          <w:lang w:val="en-GB"/>
        </w:rPr>
        <w:t>Figure 2. Context effects are present in choices and relative dwell time.</w:t>
      </w:r>
      <w:r w:rsidRPr="00E53719">
        <w:rPr>
          <w:lang w:val="en-GB"/>
        </w:rPr>
        <w:t xml:space="preserve"> Participants choices were influenced by asymmetrically dominated decoys and, to a lesser extent, by extreme compromise-making decoys. </w:t>
      </w:r>
      <w:r w:rsidRPr="00E53719">
        <w:rPr>
          <w:b/>
          <w:lang w:val="en-GB"/>
        </w:rPr>
        <w:t>(a, d)</w:t>
      </w:r>
      <w:r w:rsidRPr="00E53719">
        <w:rPr>
          <w:lang w:val="en-GB"/>
        </w:rPr>
        <w:t xml:space="preserve"> Ternary plots of individual relative choice frequencies for target (lower left, teal), competitor (top, pink), and decoy (lower right, yellow) alternatives in attraction </w:t>
      </w:r>
      <w:r w:rsidRPr="00E53719">
        <w:rPr>
          <w:b/>
          <w:lang w:val="en-GB"/>
        </w:rPr>
        <w:t>(a)</w:t>
      </w:r>
      <w:r w:rsidRPr="00E53719">
        <w:rPr>
          <w:lang w:val="en-GB"/>
        </w:rPr>
        <w:t xml:space="preserve"> and compromise </w:t>
      </w:r>
      <w:r w:rsidRPr="00E53719">
        <w:rPr>
          <w:b/>
          <w:lang w:val="en-GB"/>
        </w:rPr>
        <w:t>(d)</w:t>
      </w:r>
      <w:r w:rsidRPr="00E53719">
        <w:rPr>
          <w:lang w:val="en-GB"/>
        </w:rPr>
        <w:t xml:space="preserve"> trials. Each dot represents one participant. The position on the simplex indicates relative choice frequencies for alternatives. Straight lines from the center indicate equal frequencies for two alternatives. The red "x" indicates the group average. </w:t>
      </w:r>
      <w:r w:rsidRPr="00E53719">
        <w:rPr>
          <w:b/>
          <w:lang w:val="en-GB"/>
        </w:rPr>
        <w:t>(b, e)</w:t>
      </w:r>
      <w:r w:rsidRPr="00E53719">
        <w:rPr>
          <w:lang w:val="en-GB"/>
        </w:rPr>
        <w:t xml:space="preserve"> Relative choice frequencies in attraction </w:t>
      </w:r>
      <w:r w:rsidRPr="00E53719">
        <w:rPr>
          <w:b/>
          <w:lang w:val="en-GB"/>
        </w:rPr>
        <w:t>(b)</w:t>
      </w:r>
      <w:r w:rsidRPr="00E53719">
        <w:rPr>
          <w:lang w:val="en-GB"/>
        </w:rPr>
        <w:t xml:space="preserve"> and compromise </w:t>
      </w:r>
      <w:r w:rsidRPr="00E53719">
        <w:rPr>
          <w:b/>
          <w:lang w:val="en-GB"/>
        </w:rPr>
        <w:t>(e)</w:t>
      </w:r>
      <w:r w:rsidRPr="00E53719">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E53719">
        <w:rPr>
          <w:b/>
          <w:lang w:val="en-GB"/>
        </w:rPr>
        <w:t>(c, f)</w:t>
      </w:r>
      <w:r w:rsidRPr="00E53719">
        <w:rPr>
          <w:lang w:val="en-GB"/>
        </w:rPr>
        <w:t xml:space="preserve"> Relative dwell time towards alternatives. In both, attraction </w:t>
      </w:r>
      <w:r w:rsidRPr="00E53719">
        <w:rPr>
          <w:b/>
          <w:lang w:val="en-GB"/>
        </w:rPr>
        <w:t>(c)</w:t>
      </w:r>
      <w:r w:rsidRPr="00E53719">
        <w:rPr>
          <w:lang w:val="en-GB"/>
        </w:rPr>
        <w:t xml:space="preserve"> and compromise </w:t>
      </w:r>
      <w:r w:rsidRPr="00E53719">
        <w:rPr>
          <w:b/>
          <w:lang w:val="en-GB"/>
        </w:rPr>
        <w:t>(f)</w:t>
      </w:r>
      <w:r w:rsidRPr="00E53719">
        <w:rPr>
          <w:lang w:val="en-GB"/>
        </w:rPr>
        <w:t xml:space="preserve"> trials, target alternatives were dwelled at longer than competitors. </w:t>
      </w:r>
      <m:oMath>
        <m:r>
          <w:rPr>
            <w:rFonts w:ascii="Cambria Math" w:hAnsi="Cambria Math"/>
            <w:lang w:val="en-GB"/>
          </w:rPr>
          <m:t>d</m:t>
        </m:r>
      </m:oMath>
      <w:r w:rsidRPr="00E53719">
        <w:rPr>
          <w:lang w:val="en-GB"/>
        </w:rPr>
        <w:t xml:space="preserve"> denotes Cohen’s </w:t>
      </w:r>
      <m:oMath>
        <m:r>
          <w:rPr>
            <w:rFonts w:ascii="Cambria Math" w:hAnsi="Cambria Math"/>
            <w:lang w:val="en-GB"/>
          </w:rPr>
          <m:t>d</m:t>
        </m:r>
      </m:oMath>
      <w:r w:rsidRPr="00E53719">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E53719">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E53719" w14:paraId="7DCDC7E0" w14:textId="77777777">
        <w:trPr>
          <w:trHeight w:val="106"/>
          <w:jc w:val="center"/>
        </w:trPr>
        <w:tc>
          <w:tcPr>
            <w:tcW w:w="1243" w:type="dxa"/>
            <w:tcBorders>
              <w:bottom w:val="single" w:sz="6" w:space="0" w:color="000000"/>
            </w:tcBorders>
            <w:vAlign w:val="center"/>
          </w:tcPr>
          <w:p w14:paraId="5239717A" w14:textId="77777777" w:rsidR="00B76BF1" w:rsidRPr="00E53719" w:rsidRDefault="00C418A2">
            <w:pPr>
              <w:pStyle w:val="Compact"/>
              <w:pageBreakBefore/>
              <w:widowControl w:val="0"/>
              <w:spacing w:before="0" w:after="0" w:line="240" w:lineRule="auto"/>
              <w:ind w:firstLine="0"/>
              <w:jc w:val="center"/>
              <w:rPr>
                <w:rFonts w:eastAsia="Cambria"/>
                <w:lang w:val="en-GB"/>
              </w:rPr>
            </w:pPr>
            <w:r w:rsidRPr="00E53719">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Target</w:t>
            </w:r>
          </w:p>
        </w:tc>
        <w:tc>
          <w:tcPr>
            <w:tcW w:w="1407" w:type="dxa"/>
            <w:tcBorders>
              <w:bottom w:val="single" w:sz="6" w:space="0" w:color="000000"/>
            </w:tcBorders>
            <w:vAlign w:val="center"/>
          </w:tcPr>
          <w:p w14:paraId="5D732CDB"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Competitor</w:t>
            </w:r>
          </w:p>
        </w:tc>
        <w:tc>
          <w:tcPr>
            <w:tcW w:w="853" w:type="dxa"/>
            <w:tcBorders>
              <w:bottom w:val="single" w:sz="6" w:space="0" w:color="000000"/>
            </w:tcBorders>
            <w:vAlign w:val="center"/>
          </w:tcPr>
          <w:p w14:paraId="268CAC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Decoy</w:t>
            </w:r>
          </w:p>
        </w:tc>
      </w:tr>
      <w:tr w:rsidR="00B76BF1" w:rsidRPr="00E53719" w14:paraId="611CE96B" w14:textId="77777777">
        <w:trPr>
          <w:jc w:val="center"/>
        </w:trPr>
        <w:tc>
          <w:tcPr>
            <w:tcW w:w="1243" w:type="dxa"/>
            <w:vAlign w:val="center"/>
          </w:tcPr>
          <w:p w14:paraId="5A79DE4D" w14:textId="77777777" w:rsidR="00B76BF1" w:rsidRPr="00E53719" w:rsidRDefault="00DC793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E53719" w:rsidRDefault="00C418A2">
            <w:pPr>
              <w:pStyle w:val="Compact"/>
              <w:widowControl w:val="0"/>
              <w:ind w:firstLine="0"/>
              <w:jc w:val="center"/>
              <w:rPr>
                <w:rFonts w:eastAsia="Cambria"/>
                <w:lang w:val="en-GB"/>
              </w:rPr>
            </w:pPr>
            <w:r w:rsidRPr="00E53719">
              <w:rPr>
                <w:rFonts w:eastAsia="Cambria"/>
                <w:lang w:val="en-GB"/>
              </w:rPr>
              <w:t>0.60</w:t>
            </w:r>
          </w:p>
        </w:tc>
        <w:tc>
          <w:tcPr>
            <w:tcW w:w="1407" w:type="dxa"/>
            <w:vAlign w:val="center"/>
          </w:tcPr>
          <w:p w14:paraId="3621444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0.39</w:t>
            </w:r>
          </w:p>
        </w:tc>
        <w:tc>
          <w:tcPr>
            <w:tcW w:w="853" w:type="dxa"/>
            <w:vAlign w:val="center"/>
          </w:tcPr>
          <w:p w14:paraId="354632F0" w14:textId="77777777" w:rsidR="00B76BF1" w:rsidRPr="00E53719" w:rsidRDefault="00C418A2">
            <w:pPr>
              <w:pStyle w:val="Compact"/>
              <w:widowControl w:val="0"/>
              <w:ind w:firstLine="0"/>
              <w:jc w:val="center"/>
              <w:rPr>
                <w:rFonts w:eastAsia="Cambria"/>
                <w:lang w:val="en-GB"/>
              </w:rPr>
            </w:pPr>
            <w:r w:rsidRPr="00E53719">
              <w:rPr>
                <w:rFonts w:eastAsia="Cambria"/>
                <w:lang w:val="en-GB"/>
              </w:rPr>
              <w:t>0.01</w:t>
            </w:r>
          </w:p>
        </w:tc>
      </w:tr>
      <w:tr w:rsidR="00B76BF1" w:rsidRPr="00E53719" w14:paraId="7D6C1378" w14:textId="77777777">
        <w:trPr>
          <w:jc w:val="center"/>
        </w:trPr>
        <w:tc>
          <w:tcPr>
            <w:tcW w:w="1243" w:type="dxa"/>
            <w:vAlign w:val="center"/>
          </w:tcPr>
          <w:p w14:paraId="2D338B9C" w14:textId="77777777" w:rsidR="00B76BF1" w:rsidRPr="00E53719" w:rsidRDefault="00DC793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E53719" w:rsidRDefault="00C418A2">
            <w:pPr>
              <w:pStyle w:val="Compact"/>
              <w:widowControl w:val="0"/>
              <w:ind w:firstLine="0"/>
              <w:jc w:val="center"/>
              <w:rPr>
                <w:rFonts w:eastAsia="Cambria"/>
                <w:lang w:val="en-GB"/>
              </w:rPr>
            </w:pPr>
            <w:r w:rsidRPr="00E53719">
              <w:rPr>
                <w:rFonts w:eastAsia="Cambria"/>
                <w:lang w:val="en-GB"/>
              </w:rPr>
              <w:t>0.53</w:t>
            </w:r>
          </w:p>
        </w:tc>
        <w:tc>
          <w:tcPr>
            <w:tcW w:w="1407" w:type="dxa"/>
            <w:vAlign w:val="center"/>
          </w:tcPr>
          <w:p w14:paraId="1392FB17" w14:textId="77777777" w:rsidR="00B76BF1" w:rsidRPr="00E53719" w:rsidRDefault="00C418A2">
            <w:pPr>
              <w:pStyle w:val="Compact"/>
              <w:widowControl w:val="0"/>
              <w:ind w:firstLine="0"/>
              <w:jc w:val="center"/>
              <w:rPr>
                <w:rFonts w:eastAsia="Cambria"/>
                <w:lang w:val="en-GB"/>
              </w:rPr>
            </w:pPr>
            <w:r w:rsidRPr="00E53719">
              <w:rPr>
                <w:rFonts w:eastAsia="Cambria"/>
                <w:lang w:val="en-GB"/>
              </w:rPr>
              <w:t>0.45</w:t>
            </w:r>
          </w:p>
        </w:tc>
        <w:tc>
          <w:tcPr>
            <w:tcW w:w="853" w:type="dxa"/>
            <w:vAlign w:val="center"/>
          </w:tcPr>
          <w:p w14:paraId="08B75CB4" w14:textId="77777777" w:rsidR="00B76BF1" w:rsidRPr="00E53719" w:rsidRDefault="00C418A2">
            <w:pPr>
              <w:pStyle w:val="Compact"/>
              <w:widowControl w:val="0"/>
              <w:ind w:firstLine="0"/>
              <w:jc w:val="center"/>
              <w:rPr>
                <w:rFonts w:eastAsia="Cambria"/>
                <w:lang w:val="en-GB"/>
              </w:rPr>
            </w:pPr>
            <w:r w:rsidRPr="00E53719">
              <w:rPr>
                <w:rFonts w:eastAsia="Cambria"/>
                <w:lang w:val="en-GB"/>
              </w:rPr>
              <w:t>0.02</w:t>
            </w:r>
          </w:p>
        </w:tc>
      </w:tr>
      <w:tr w:rsidR="00B76BF1" w:rsidRPr="00E53719" w14:paraId="4B719169" w14:textId="77777777">
        <w:trPr>
          <w:jc w:val="center"/>
        </w:trPr>
        <w:tc>
          <w:tcPr>
            <w:tcW w:w="1243" w:type="dxa"/>
            <w:vAlign w:val="center"/>
          </w:tcPr>
          <w:p w14:paraId="3633D7A2" w14:textId="77777777" w:rsidR="00B76BF1" w:rsidRPr="00E53719" w:rsidRDefault="00DC793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E53719" w:rsidRDefault="00C418A2">
            <w:pPr>
              <w:pStyle w:val="Compact"/>
              <w:widowControl w:val="0"/>
              <w:ind w:firstLine="0"/>
              <w:jc w:val="center"/>
              <w:rPr>
                <w:rFonts w:eastAsia="Cambria"/>
                <w:lang w:val="en-GB"/>
              </w:rPr>
            </w:pPr>
            <w:r w:rsidRPr="00E53719">
              <w:rPr>
                <w:rFonts w:eastAsia="Cambria"/>
                <w:lang w:val="en-GB"/>
              </w:rPr>
              <w:t>0.46</w:t>
            </w:r>
          </w:p>
        </w:tc>
        <w:tc>
          <w:tcPr>
            <w:tcW w:w="1407" w:type="dxa"/>
            <w:vAlign w:val="center"/>
          </w:tcPr>
          <w:p w14:paraId="3640591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p>
        </w:tc>
        <w:tc>
          <w:tcPr>
            <w:tcW w:w="853" w:type="dxa"/>
            <w:vAlign w:val="center"/>
          </w:tcPr>
          <w:p w14:paraId="5DA62F4D" w14:textId="77777777" w:rsidR="00B76BF1" w:rsidRPr="00E53719" w:rsidRDefault="00C418A2">
            <w:pPr>
              <w:pStyle w:val="Compact"/>
              <w:widowControl w:val="0"/>
              <w:ind w:firstLine="0"/>
              <w:jc w:val="center"/>
              <w:rPr>
                <w:rFonts w:eastAsia="Cambria"/>
                <w:lang w:val="en-GB"/>
              </w:rPr>
            </w:pPr>
            <w:r w:rsidRPr="00E53719">
              <w:rPr>
                <w:rFonts w:eastAsia="Cambria"/>
                <w:lang w:val="en-GB"/>
              </w:rPr>
              <w:t>0.16</w:t>
            </w:r>
          </w:p>
        </w:tc>
      </w:tr>
      <w:tr w:rsidR="00B76BF1" w:rsidRPr="00E53719" w14:paraId="7FD95B38" w14:textId="77777777">
        <w:trPr>
          <w:trHeight w:val="119"/>
          <w:jc w:val="center"/>
        </w:trPr>
        <w:tc>
          <w:tcPr>
            <w:tcW w:w="1243" w:type="dxa"/>
            <w:vAlign w:val="center"/>
          </w:tcPr>
          <w:p w14:paraId="5EE44D52" w14:textId="77777777" w:rsidR="00B76BF1" w:rsidRPr="00E53719" w:rsidRDefault="00DC793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0.32</w:t>
            </w:r>
          </w:p>
        </w:tc>
        <w:tc>
          <w:tcPr>
            <w:tcW w:w="1407" w:type="dxa"/>
            <w:vAlign w:val="center"/>
          </w:tcPr>
          <w:p w14:paraId="347A45A5" w14:textId="77777777" w:rsidR="00B76BF1" w:rsidRPr="00E53719" w:rsidRDefault="00C418A2">
            <w:pPr>
              <w:pStyle w:val="Compact"/>
              <w:widowControl w:val="0"/>
              <w:ind w:firstLine="0"/>
              <w:jc w:val="center"/>
              <w:rPr>
                <w:rFonts w:eastAsia="Cambria"/>
                <w:lang w:val="en-GB"/>
              </w:rPr>
            </w:pPr>
            <w:r w:rsidRPr="00E53719">
              <w:rPr>
                <w:rFonts w:eastAsia="Cambria"/>
                <w:lang w:val="en-GB"/>
              </w:rPr>
              <w:t>0.31</w:t>
            </w:r>
          </w:p>
        </w:tc>
        <w:tc>
          <w:tcPr>
            <w:tcW w:w="853" w:type="dxa"/>
            <w:vAlign w:val="center"/>
          </w:tcPr>
          <w:p w14:paraId="51CEA69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bookmarkStart w:id="6" w:name="tab%252525253Atab1-cfs"/>
            <w:bookmarkEnd w:id="6"/>
          </w:p>
        </w:tc>
      </w:tr>
    </w:tbl>
    <w:p w14:paraId="508D8348" w14:textId="77777777" w:rsidR="00B76BF1" w:rsidRPr="00E53719" w:rsidRDefault="00B76BF1">
      <w:pPr>
        <w:pStyle w:val="TableCaption"/>
        <w:spacing w:line="276" w:lineRule="auto"/>
        <w:rPr>
          <w:b/>
          <w:lang w:val="en-GB"/>
        </w:rPr>
      </w:pPr>
    </w:p>
    <w:p w14:paraId="5FF23872" w14:textId="10E29164" w:rsidR="00B76BF1" w:rsidRPr="00E53719" w:rsidRDefault="00C418A2">
      <w:pPr>
        <w:pStyle w:val="TableCaption"/>
        <w:spacing w:line="276" w:lineRule="auto"/>
        <w:rPr>
          <w:lang w:val="en-GB"/>
        </w:rPr>
      </w:pPr>
      <w:r w:rsidRPr="00E53719">
        <w:rPr>
          <w:b/>
          <w:lang w:val="en-GB"/>
        </w:rPr>
        <w:t>Table 1. Relative choice frequencies across participants in the four trial types.</w:t>
      </w:r>
      <w:r w:rsidRPr="00E53719">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Dominated decoys were almost never chosen. In compromise trials including the high-outcome decoy</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 the decoy was chosen more frequently than core options.</w:t>
      </w:r>
      <w:bookmarkStart w:id="7" w:name="fig%252525253Afig2-cfs1"/>
      <w:bookmarkEnd w:id="7"/>
    </w:p>
    <w:p w14:paraId="6A6C5EB4" w14:textId="77777777" w:rsidR="00B76BF1" w:rsidRPr="00E53719" w:rsidRDefault="00B76BF1">
      <w:pPr>
        <w:pStyle w:val="BodyText"/>
        <w:rPr>
          <w:lang w:val="en-GB"/>
        </w:rPr>
      </w:pPr>
    </w:p>
    <w:p w14:paraId="5A7A11CE" w14:textId="69FDB3DE" w:rsidR="00B76BF1" w:rsidRPr="00E53719" w:rsidRDefault="00C418A2">
      <w:pPr>
        <w:pStyle w:val="BodyText"/>
        <w:rPr>
          <w:lang w:val="en-GB"/>
        </w:rPr>
      </w:pPr>
      <w:r w:rsidRPr="00E53719">
        <w:rPr>
          <w:lang w:val="en-GB"/>
        </w:rPr>
        <w:t xml:space="preserve">We first analysed participants’ choice behaviour to test whether their choices could be influenced by the set of available alternatives (see Table </w:t>
      </w:r>
      <w:hyperlink w:anchor="tab:tab1-cfs">
        <w:r w:rsidRPr="00E53719">
          <w:rPr>
            <w:rStyle w:val="Hyperlink"/>
            <w:lang w:val="en-GB"/>
          </w:rPr>
          <w:t>1</w:t>
        </w:r>
      </w:hyperlink>
      <w:r w:rsidRPr="00E53719">
        <w:rPr>
          <w:lang w:val="en-GB"/>
        </w:rPr>
        <w:t xml:space="preserve"> and Figure </w:t>
      </w:r>
      <w:hyperlink w:anchor="fig:fig2-cfs">
        <w:r w:rsidRPr="00E53719">
          <w:rPr>
            <w:rStyle w:val="Hyperlink"/>
            <w:lang w:val="en-GB"/>
          </w:rPr>
          <w:t>2</w:t>
        </w:r>
      </w:hyperlink>
      <w:r w:rsidRPr="00E53719">
        <w:rPr>
          <w:lang w:val="en-GB"/>
        </w:rPr>
        <w:t xml:space="preserve">). Participants rarely chose the dominated decoys in attraction trials (mean </w:t>
      </w:r>
      <m:oMath>
        <m:r>
          <w:rPr>
            <w:rFonts w:ascii="Cambria Math" w:hAnsi="Cambria Math"/>
            <w:lang w:val="en-GB"/>
          </w:rPr>
          <m:t>±</m:t>
        </m:r>
      </m:oMath>
      <w:r w:rsidRPr="00E53719">
        <w:rPr>
          <w:lang w:val="en-GB"/>
        </w:rPr>
        <w:t xml:space="preserve"> s.d. = 0.02 </w:t>
      </w:r>
      <m:oMath>
        <m:r>
          <w:rPr>
            <w:rFonts w:ascii="Cambria Math" w:hAnsi="Cambria Math"/>
            <w:lang w:val="en-GB"/>
          </w:rPr>
          <m:t>±</m:t>
        </m:r>
      </m:oMath>
      <w:r w:rsidRPr="00E53719">
        <w:rPr>
          <w:lang w:val="en-GB"/>
        </w:rPr>
        <w:t xml:space="preserve"> 0.02 of attraction trials), indicating that participants understood the nature of the stimuli. In compromise trials, participants chose (non-dominated) decoy alternatives more frequently (mean </w:t>
      </w:r>
      <m:oMath>
        <m:r>
          <w:rPr>
            <w:rFonts w:ascii="Cambria Math" w:hAnsi="Cambria Math"/>
            <w:lang w:val="en-GB"/>
          </w:rPr>
          <m:t>±</m:t>
        </m:r>
      </m:oMath>
      <w:r w:rsidRPr="00E53719">
        <w:rPr>
          <w:lang w:val="en-GB"/>
        </w:rPr>
        <w:t xml:space="preserve"> s.d. = 0.27 </w:t>
      </w:r>
      <m:oMath>
        <m:r>
          <w:rPr>
            <w:rFonts w:ascii="Cambria Math" w:hAnsi="Cambria Math"/>
            <w:lang w:val="en-GB"/>
          </w:rPr>
          <m:t>±</m:t>
        </m:r>
      </m:oMath>
      <w:r w:rsidRPr="00E53719">
        <w:rPr>
          <w:lang w:val="en-GB"/>
        </w:rPr>
        <w:t xml:space="preserve"> 0.16). In particular, the decoy with the highest possible outcome CB (</w:t>
      </w:r>
      <m:oMath>
        <m:r>
          <w:rPr>
            <w:rFonts w:ascii="Cambria Math" w:hAnsi="Cambria Math"/>
            <w:lang w:val="en-GB"/>
          </w:rPr>
          <m:t>p≈</m:t>
        </m:r>
      </m:oMath>
      <w:r w:rsidRPr="00E53719">
        <w:rPr>
          <w:lang w:val="en-GB"/>
        </w:rPr>
        <w:t xml:space="preserve"> 55, </w:t>
      </w:r>
      <m:oMath>
        <m:r>
          <w:rPr>
            <w:rFonts w:ascii="Cambria Math" w:hAnsi="Cambria Math"/>
            <w:lang w:val="en-GB"/>
          </w:rPr>
          <m:t>m≈</m:t>
        </m:r>
      </m:oMath>
      <w:r w:rsidRPr="00E53719">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E53719" w:rsidRDefault="00C418A2">
      <w:pPr>
        <w:pStyle w:val="BodyText"/>
        <w:rPr>
          <w:lang w:val="en-GB"/>
        </w:rPr>
      </w:pPr>
      <w:r w:rsidRPr="00E53719">
        <w:rPr>
          <w:lang w:val="en-GB"/>
        </w:rPr>
        <w:t>We tested the presence of the attraction and compromise effects by first computing the relative choice share of the target alternative (RST; Berkowitsch, Scheibehenne, &amp; Rieskamp, 2014) for each individual, and separately for attraction and compromise trials. The RST is computed as</w:t>
      </w:r>
    </w:p>
    <w:p w14:paraId="50D67756"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N</m:t>
        </m:r>
      </m:oMath>
      <w:r w:rsidRPr="00E53719">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Kruschke, 2013; Kruschke, 2014). </w:t>
      </w:r>
    </w:p>
    <w:p w14:paraId="5C2375E5" w14:textId="77777777" w:rsidR="00B76BF1" w:rsidRPr="00E53719" w:rsidRDefault="00C418A2">
      <w:pPr>
        <w:pStyle w:val="FirstParagraph"/>
        <w:rPr>
          <w:lang w:val="en-GB"/>
        </w:rPr>
      </w:pPr>
      <w:r w:rsidRPr="00E53719">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[0.51, 0.60], mean </w:t>
      </w:r>
      <m:oMath>
        <m:r>
          <w:rPr>
            <w:rFonts w:ascii="Cambria Math" w:hAnsi="Cambria Math"/>
            <w:lang w:val="en-GB"/>
          </w:rPr>
          <m:t>d</m:t>
        </m:r>
      </m:oMath>
      <w:r w:rsidRPr="00E53719">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[0.02, 0.21], mean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Figure </w:t>
      </w:r>
      <w:hyperlink w:anchor="fig:fig2-cfs">
        <w:r w:rsidRPr="00E53719">
          <w:rPr>
            <w:rStyle w:val="Hyperlink"/>
            <w:lang w:val="en-GB"/>
          </w:rPr>
          <w:t>2</w:t>
        </w:r>
      </w:hyperlink>
      <w:r w:rsidRPr="00E53719">
        <w:rPr>
          <w:lang w:val="en-GB"/>
        </w:rPr>
        <w:t xml:space="preserve">b). </w:t>
      </w:r>
    </w:p>
    <w:p w14:paraId="576EBDF0" w14:textId="77777777" w:rsidR="00B76BF1" w:rsidRPr="00E53719" w:rsidRDefault="00C418A2">
      <w:pPr>
        <w:pStyle w:val="FirstParagraph"/>
        <w:rPr>
          <w:lang w:val="en-GB"/>
        </w:rPr>
      </w:pPr>
      <w:r w:rsidRPr="00E53719">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[0.49, 0.58], 91.4% of posterior mass above 0.5, mean </w:t>
      </w:r>
      <m:oMath>
        <m:r>
          <w:rPr>
            <w:rFonts w:ascii="Cambria Math" w:hAnsi="Cambria Math"/>
            <w:lang w:val="en-GB"/>
          </w:rPr>
          <m:t>d</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0.12], mean </w:t>
      </w:r>
      <m:oMath>
        <m:r>
          <w:rPr>
            <w:rFonts w:ascii="Cambria Math" w:hAnsi="Cambria Math"/>
            <w:lang w:val="en-GB"/>
          </w:rPr>
          <m:t>d</m:t>
        </m:r>
      </m:oMath>
      <w:r w:rsidRPr="00E53719">
        <w:rPr>
          <w:lang w:val="en-GB"/>
        </w:rPr>
        <w:t xml:space="preserve"> = 0.29, % HDI = [-0.05, 0.65], 94.9% of posterior mass above 0; Figure </w:t>
      </w:r>
      <w:hyperlink w:anchor="fig:fig2-cfs">
        <w:r w:rsidRPr="00E53719">
          <w:rPr>
            <w:rStyle w:val="Hyperlink"/>
            <w:lang w:val="en-GB"/>
          </w:rPr>
          <w:t>2</w:t>
        </w:r>
      </w:hyperlink>
      <w:r w:rsidRPr="00E53719">
        <w:rPr>
          <w:lang w:val="en-GB"/>
        </w:rPr>
        <w:t xml:space="preserve">e). These results are similar to the marginal effects obtained using perceptual stimuli in previous work (Trueblood, Brown, &amp; Heathcote, 2015; Trueblood, Brown, Heathcote, &amp; Busemeyer, 2013). </w:t>
      </w:r>
    </w:p>
    <w:p w14:paraId="4E7981AB" w14:textId="77777777" w:rsidR="00B76BF1" w:rsidRPr="00E53719" w:rsidRDefault="00C418A2">
      <w:pPr>
        <w:pStyle w:val="FirstParagraph"/>
        <w:rPr>
          <w:lang w:val="en-GB"/>
        </w:rPr>
      </w:pPr>
      <w:commentRangeStart w:id="8"/>
      <w:r w:rsidRPr="00E53719">
        <w:rPr>
          <w:lang w:val="en-GB"/>
        </w:rPr>
        <w:t>As others (Berkowitsch, Scheibehenne, &amp; Rieskamp, 2014; Trueblood, Brown, &amp; Heathcote, 2014), we found a positive correlation between the effects across participants, even though it was weaker in our task (</w:t>
      </w:r>
      <m:oMath>
        <m:r>
          <w:rPr>
            <w:rFonts w:ascii="Cambria Math" w:hAnsi="Cambria Math"/>
            <w:lang w:val="en-GB"/>
          </w:rPr>
          <m:t>r</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[-0.07, 0.51], 94.7% of posterior mass above 0). </w:t>
      </w:r>
      <w:commentRangeEnd w:id="8"/>
      <w:r w:rsidRPr="00E53719">
        <w:rPr>
          <w:lang w:val="en-GB"/>
        </w:rPr>
        <w:commentReference w:id="8"/>
      </w:r>
    </w:p>
    <w:p w14:paraId="26706307" w14:textId="77777777" w:rsidR="00B76BF1" w:rsidRPr="00E53719" w:rsidRDefault="00C418A2">
      <w:pPr>
        <w:pStyle w:val="FirstParagraph"/>
        <w:rPr>
          <w:lang w:val="en-GB"/>
        </w:rPr>
      </w:pPr>
      <w:r w:rsidRPr="00E53719">
        <w:rPr>
          <w:lang w:val="en-GB"/>
        </w:rPr>
        <w:lastRenderedPageBreak/>
        <w:t>Taken together, we successfully induced a set of context effects across participants across the group, and non-trivial variability between individuals. These data provide a complex testing scenario to investigate gaze-bias effects in multi-alternative multi-attribute choice and compare gaze-dependent accumulation models with competing theories.</w:t>
      </w:r>
    </w:p>
    <w:p w14:paraId="4093B838" w14:textId="77777777" w:rsidR="00B76BF1" w:rsidRPr="00E53719" w:rsidRDefault="00C418A2">
      <w:pPr>
        <w:pStyle w:val="Heading2"/>
        <w:rPr>
          <w:lang w:val="en-GB"/>
        </w:rPr>
      </w:pPr>
      <w:r w:rsidRPr="00E53719">
        <w:rPr>
          <w:lang w:val="en-GB"/>
        </w:rPr>
        <w:t>Context effects are present in relative dwell times</w:t>
      </w:r>
    </w:p>
    <w:p w14:paraId="7E0F0A6A" w14:textId="04079B79" w:rsidR="00B76BF1" w:rsidRPr="00E53719" w:rsidRDefault="00C418A2">
      <w:pPr>
        <w:pStyle w:val="FirstParagraph"/>
        <w:rPr>
          <w:lang w:val="en-GB"/>
        </w:rPr>
      </w:pPr>
      <w:r w:rsidRPr="00E53719">
        <w:rPr>
          <w:lang w:val="en-GB"/>
        </w:rPr>
        <w:t>Next, we tested whether participants’ eye movements were affected by the set of available alternatives, similar to their choices.  Both patterns of context effects of choice behaviour were present in the relative dwell data: Target options received greater total dwell time</w:t>
      </w:r>
      <w:r w:rsidR="007E4677" w:rsidRPr="00E53719">
        <w:rPr>
          <w:lang w:val="en-GB"/>
        </w:rPr>
        <w:t xml:space="preserve"> </w:t>
      </w:r>
      <w:r w:rsidRPr="00E53719">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[0.005, 0.4], mean </w:t>
      </w:r>
      <m:oMath>
        <m:r>
          <w:rPr>
            <w:rFonts w:ascii="Cambria Math" w:hAnsi="Cambria Math"/>
            <w:lang w:val="en-GB"/>
          </w:rPr>
          <m:t>d</m:t>
        </m:r>
      </m:oMath>
      <w:r w:rsidRPr="00E53719">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[0.16, 0.97], Figure </w:t>
      </w:r>
      <w:hyperlink w:anchor="fig:fig2-cfs">
        <w:r w:rsidRPr="00E53719">
          <w:rPr>
            <w:rStyle w:val="Hyperlink"/>
            <w:lang w:val="en-GB"/>
          </w:rPr>
          <w:t>2</w:t>
        </w:r>
      </w:hyperlink>
      <w:r w:rsidRPr="00E53719">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[0.014, 0.03], mean </w:t>
      </w:r>
      <m:oMath>
        <m:r>
          <w:rPr>
            <w:rFonts w:ascii="Cambria Math" w:hAnsi="Cambria Math"/>
            <w:lang w:val="en-GB"/>
          </w:rPr>
          <m:t>d</m:t>
        </m:r>
      </m:oMath>
      <w:r w:rsidRPr="00E53719">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[0.53, 1.31], Figure </w:t>
      </w:r>
      <w:hyperlink w:anchor="fig:fig2-cfs">
        <w:r w:rsidRPr="00E53719">
          <w:rPr>
            <w:rStyle w:val="Hyperlink"/>
            <w:lang w:val="en-GB"/>
          </w:rPr>
          <w:t>2</w:t>
        </w:r>
      </w:hyperlink>
      <w:r w:rsidRPr="00E53719">
        <w:rPr>
          <w:lang w:val="en-GB"/>
        </w:rPr>
        <w:t>f). Targets and competitors also received longer greater total dwell time than</w:t>
      </w:r>
      <w:r w:rsidR="007E4677" w:rsidRPr="00E53719">
        <w:rPr>
          <w:lang w:val="en-GB"/>
        </w:rPr>
        <w:t xml:space="preserve"> </w:t>
      </w:r>
      <w:r w:rsidRPr="00E53719">
        <w:rPr>
          <w:lang w:val="en-GB"/>
        </w:rPr>
        <w:t>decoys in both trial types.</w:t>
      </w:r>
    </w:p>
    <w:p w14:paraId="220F8F0D" w14:textId="66DB2DF6" w:rsidR="00B76BF1" w:rsidRPr="00E53719" w:rsidRDefault="00C418A2">
      <w:pPr>
        <w:pStyle w:val="BodyText"/>
        <w:rPr>
          <w:lang w:val="en-GB"/>
        </w:rPr>
      </w:pPr>
      <w:r w:rsidRPr="00E53719">
        <w:rPr>
          <w:lang w:val="en-GB"/>
        </w:rPr>
        <w:t>To gain a better picture of participants’ eye movements over the course of the trial, we performed additional exploratory analyses of gaze and transition data.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E53719">
        <w:rPr>
          <w:lang w:val="en-GB"/>
        </w:rPr>
        <w:br w:type="page"/>
      </w:r>
    </w:p>
    <w:p w14:paraId="49EFBA04" w14:textId="77777777" w:rsidR="00B76BF1" w:rsidRPr="00E53719" w:rsidRDefault="00C418A2">
      <w:pPr>
        <w:pStyle w:val="Heading2"/>
        <w:rPr>
          <w:lang w:val="en-GB"/>
        </w:rPr>
      </w:pPr>
      <w:r w:rsidRPr="00E53719">
        <w:rPr>
          <w:lang w:val="en-GB"/>
        </w:rPr>
        <w:lastRenderedPageBreak/>
        <w:t>Behavioural modeling and model comparison</w:t>
      </w:r>
    </w:p>
    <w:p w14:paraId="0CC0128F" w14:textId="77777777" w:rsidR="00B76BF1" w:rsidRPr="00E53719" w:rsidRDefault="00B76BF1">
      <w:pPr>
        <w:pStyle w:val="BodyText"/>
        <w:ind w:firstLine="0"/>
        <w:rPr>
          <w:lang w:val="en-GB"/>
        </w:rPr>
      </w:pPr>
    </w:p>
    <w:p w14:paraId="3F94A907" w14:textId="753062B7" w:rsidR="00B76BF1" w:rsidRPr="00E53719" w:rsidRDefault="00C418A2">
      <w:pPr>
        <w:pStyle w:val="CaptionedFigure"/>
        <w:spacing w:line="360" w:lineRule="auto"/>
        <w:jc w:val="center"/>
        <w:rPr>
          <w:lang w:val="en-GB"/>
        </w:rPr>
      </w:pPr>
      <w:bookmarkStart w:id="9" w:name="fig%252525253Afig3-modelcomparison"/>
      <w:del w:id="10" w:author="Felix Molter" w:date="2021-01-15T19:36:00Z">
        <w:r w:rsidRPr="00E53719" w:rsidDel="000C64DF">
          <w:rPr>
            <w:lang w:val="en-GB"/>
          </w:rPr>
          <w:drawing>
            <wp:inline distT="0" distB="0" distL="0" distR="0" wp14:anchorId="20D6EFD7" wp14:editId="25EF457F">
              <wp:extent cx="5943600" cy="1479550"/>
              <wp:effectExtent l="0" t="0" r="0" b="0"/>
              <wp:doc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pic:cNvPicPr>
                        <a:picLocks noChangeAspect="1" noChangeArrowheads="1"/>
                      </pic:cNvPicPr>
                    </pic:nvPicPr>
                    <pic:blipFill>
                      <a:blip r:embed="rId13"/>
                      <a:stretch>
                        <a:fillRect/>
                      </a:stretch>
                    </pic:blipFill>
                    <pic:spPr bwMode="auto">
                      <a:xfrm>
                        <a:off x="0" y="0"/>
                        <a:ext cx="5943600" cy="1479550"/>
                      </a:xfrm>
                      <a:prstGeom prst="rect">
                        <a:avLst/>
                      </a:prstGeom>
                    </pic:spPr>
                  </pic:pic>
                </a:graphicData>
              </a:graphic>
            </wp:inline>
          </w:drawing>
        </w:r>
      </w:del>
      <w:bookmarkEnd w:id="9"/>
      <w:ins w:id="11" w:author="Felix Molter" w:date="2021-01-15T19:36:00Z">
        <w:r w:rsidR="000C64DF" w:rsidRPr="00E53719">
          <w:rPr>
            <w:lang w:val="en-GB"/>
          </w:rPr>
          <w:drawing>
            <wp:inline distT="0" distB="0" distL="0" distR="0" wp14:anchorId="5C47F8BF" wp14:editId="3FBBEF7C">
              <wp:extent cx="5842000" cy="332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model-comparison.pdf"/>
                      <pic:cNvPicPr/>
                    </pic:nvPicPr>
                    <pic:blipFill>
                      <a:blip r:embed="rId14">
                        <a:extLst>
                          <a:ext uri="{28A0092B-C50C-407E-A947-70E740481C1C}">
                            <a14:useLocalDpi xmlns:a14="http://schemas.microsoft.com/office/drawing/2010/main" val="0"/>
                          </a:ext>
                        </a:extLst>
                      </a:blip>
                      <a:stretch>
                        <a:fillRect/>
                      </a:stretch>
                    </pic:blipFill>
                    <pic:spPr>
                      <a:xfrm>
                        <a:off x="0" y="0"/>
                        <a:ext cx="5842000" cy="3327400"/>
                      </a:xfrm>
                      <a:prstGeom prst="rect">
                        <a:avLst/>
                      </a:prstGeom>
                    </pic:spPr>
                  </pic:pic>
                </a:graphicData>
              </a:graphic>
            </wp:inline>
          </w:drawing>
        </w:r>
      </w:ins>
    </w:p>
    <w:p w14:paraId="45254A68" w14:textId="5888D75E" w:rsidR="00B76BF1" w:rsidRPr="00E53719" w:rsidRDefault="00C418A2">
      <w:pPr>
        <w:pStyle w:val="ImageCaption"/>
        <w:spacing w:line="276" w:lineRule="auto"/>
        <w:rPr>
          <w:lang w:val="en-GB"/>
        </w:rPr>
      </w:pPr>
      <w:commentRangeStart w:id="12"/>
      <w:r w:rsidRPr="00E53719">
        <w:rPr>
          <w:b/>
          <w:lang w:val="en-GB"/>
        </w:rPr>
        <w:t xml:space="preserve">Figure </w:t>
      </w:r>
      <w:commentRangeEnd w:id="12"/>
      <w:r w:rsidR="00DC7937" w:rsidRPr="00E53719">
        <w:rPr>
          <w:rStyle w:val="CommentReference"/>
          <w:lang w:val="en-GB"/>
        </w:rPr>
        <w:commentReference w:id="12"/>
      </w:r>
      <w:r w:rsidRPr="00E53719">
        <w:rPr>
          <w:b/>
          <w:lang w:val="en-GB"/>
        </w:rPr>
        <w:t xml:space="preserve">3. Model comparison </w:t>
      </w:r>
      <w:ins w:id="13" w:author="Felix Molter" w:date="2021-01-16T13:57:00Z">
        <w:r w:rsidR="00542F2C" w:rsidRPr="00E53719">
          <w:rPr>
            <w:b/>
            <w:lang w:val="en-GB"/>
          </w:rPr>
          <w:t xml:space="preserve">and </w:t>
        </w:r>
      </w:ins>
      <w:del w:id="14" w:author="Felix Molter" w:date="2021-01-15T19:40:00Z">
        <w:r w:rsidRPr="00E53719" w:rsidDel="00D50B5F">
          <w:rPr>
            <w:b/>
            <w:lang w:val="en-GB"/>
          </w:rPr>
          <w:delText>and context-effects predicted from best-fitting model</w:delText>
        </w:r>
      </w:del>
      <w:ins w:id="15" w:author="Felix Molter" w:date="2021-01-15T19:40:00Z">
        <w:r w:rsidR="00D50B5F" w:rsidRPr="00E53719">
          <w:rPr>
            <w:b/>
            <w:lang w:val="en-GB"/>
          </w:rPr>
          <w:t>model predictions</w:t>
        </w:r>
      </w:ins>
      <w:r w:rsidRPr="00E53719">
        <w:rPr>
          <w:b/>
          <w:lang w:val="en-GB"/>
        </w:rPr>
        <w:t>.</w:t>
      </w:r>
      <w:r w:rsidRPr="00E53719">
        <w:rPr>
          <w:lang w:val="en-GB"/>
        </w:rPr>
        <w:t xml:space="preserve"> </w:t>
      </w:r>
      <w:r w:rsidRPr="00E53719">
        <w:rPr>
          <w:b/>
          <w:lang w:val="en-GB"/>
        </w:rPr>
        <w:t>(a)</w:t>
      </w:r>
      <w:r w:rsidRPr="00E53719">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E53719">
        <w:rPr>
          <w:b/>
          <w:lang w:val="en-GB"/>
        </w:rPr>
        <w:t>(b)</w:t>
      </w:r>
      <w:r w:rsidRPr="00E53719">
        <w:rPr>
          <w:lang w:val="en-GB"/>
        </w:rPr>
        <w:t xml:space="preserve"> The GLA fitted most (36 of 40, 90%) participants best, with a protected exceedance probability of 1 (inset). </w:t>
      </w:r>
      <w:del w:id="16" w:author="Felix Molter" w:date="2021-01-15T19:45:00Z">
        <w:r w:rsidRPr="00E53719" w:rsidDel="00BC3508">
          <w:rPr>
            <w:lang w:val="en-GB"/>
          </w:rPr>
          <w:delText xml:space="preserve">EU and </w:delTex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sidDel="00BC3508">
          <w:rPr>
            <w:lang w:val="en-GB"/>
          </w:rPr>
          <w:delText xml:space="preserve"> did not describe any participant best </w:delText>
        </w:r>
      </w:del>
      <w:r w:rsidRPr="00E53719">
        <w:rPr>
          <w:b/>
          <w:lang w:val="en-GB"/>
        </w:rPr>
        <w:t>(c, d)</w:t>
      </w:r>
      <w:r w:rsidRPr="00E53719">
        <w:rPr>
          <w:lang w:val="en-GB"/>
        </w:rPr>
        <w:t xml:space="preserve"> Observed and predicted RST of the best-fitting GLA for attraction </w:t>
      </w:r>
      <w:r w:rsidRPr="00E53719">
        <w:rPr>
          <w:b/>
          <w:lang w:val="en-GB"/>
        </w:rPr>
        <w:t>(c)</w:t>
      </w:r>
      <w:r w:rsidRPr="00E53719">
        <w:rPr>
          <w:lang w:val="en-GB"/>
        </w:rPr>
        <w:t xml:space="preserve"> and compromise </w:t>
      </w:r>
      <w:r w:rsidRPr="00E53719">
        <w:rPr>
          <w:b/>
          <w:lang w:val="en-GB"/>
        </w:rPr>
        <w:t>(d)</w:t>
      </w:r>
      <w:r w:rsidRPr="00E53719">
        <w:rPr>
          <w:lang w:val="en-GB"/>
        </w:rPr>
        <w:t xml:space="preserve"> trials. The winning model’s predicted context effect sizes correlated significantly with the observed ones. Strong context effects, however, were underestimated, as indicated by the reduced slopes.</w:t>
      </w:r>
      <w:ins w:id="17" w:author="Felix Molter" w:date="2021-01-15T19:40:00Z">
        <w:r w:rsidR="00D50B5F" w:rsidRPr="00E53719">
          <w:rPr>
            <w:lang w:val="en-GB"/>
          </w:rPr>
          <w:t xml:space="preserve"> </w:t>
        </w:r>
        <w:r w:rsidR="00735E2F" w:rsidRPr="00E53719">
          <w:rPr>
            <w:b/>
            <w:lang w:val="en-GB"/>
          </w:rPr>
          <w:t>(e-j)</w:t>
        </w:r>
      </w:ins>
      <w:r w:rsidR="00735E2F" w:rsidRPr="00E53719">
        <w:rPr>
          <w:lang w:val="en-GB"/>
        </w:rPr>
        <w:t xml:space="preserve"> </w:t>
      </w:r>
      <w:ins w:id="18" w:author="Felix Molter" w:date="2021-01-15T19:45:00Z">
        <w:r w:rsidR="00CD0985" w:rsidRPr="00E53719">
          <w:rPr>
            <w:lang w:val="en-GB"/>
          </w:rPr>
          <w:t xml:space="preserve">Observed and model-predicted probability of choosing the target </w:t>
        </w:r>
        <w:r w:rsidR="00CD0985" w:rsidRPr="00E53719">
          <w:rPr>
            <w:b/>
            <w:lang w:val="en-GB"/>
          </w:rPr>
          <w:t>(e, h)</w:t>
        </w:r>
        <w:r w:rsidR="00CD0985" w:rsidRPr="00E53719">
          <w:rPr>
            <w:lang w:val="en-GB"/>
          </w:rPr>
          <w:t xml:space="preserve">, competitor </w:t>
        </w:r>
        <w:r w:rsidR="00CD0985" w:rsidRPr="00E53719">
          <w:rPr>
            <w:b/>
            <w:lang w:val="en-GB"/>
          </w:rPr>
          <w:t>(f, i)</w:t>
        </w:r>
        <w:r w:rsidR="00CD0985" w:rsidRPr="00E53719">
          <w:rPr>
            <w:lang w:val="en-GB"/>
          </w:rPr>
          <w:t xml:space="preserve">, or decoy </w:t>
        </w:r>
        <w:r w:rsidR="00CD0985" w:rsidRPr="00E53719">
          <w:rPr>
            <w:b/>
            <w:lang w:val="en-GB"/>
          </w:rPr>
          <w:t>(g, j)</w:t>
        </w:r>
        <w:r w:rsidR="00CD0985" w:rsidRPr="00E53719">
          <w:rPr>
            <w:lang w:val="en-GB"/>
          </w:rPr>
          <w:t xml:space="preserve"> alternatives in attraction </w:t>
        </w:r>
        <w:r w:rsidR="00CD0985" w:rsidRPr="00E53719">
          <w:rPr>
            <w:b/>
            <w:lang w:val="en-GB"/>
          </w:rPr>
          <w:t>(e-g)</w:t>
        </w:r>
        <w:r w:rsidR="00CD0985" w:rsidRPr="00E53719">
          <w:rPr>
            <w:lang w:val="en-GB"/>
          </w:rPr>
          <w:t xml:space="preserve"> and compromise trials </w:t>
        </w:r>
        <w:r w:rsidR="00CD0985" w:rsidRPr="00E53719">
          <w:rPr>
            <w:b/>
            <w:lang w:val="en-GB"/>
          </w:rPr>
          <w:t>(h-j)</w:t>
        </w:r>
        <w:r w:rsidR="00CD0985" w:rsidRPr="00E53719">
          <w:rPr>
            <w:lang w:val="en-GB"/>
          </w:rPr>
          <w:t xml:space="preserve"> as a function of relative dwell time advantage. Relative dwell time advantage </w:t>
        </w:r>
      </w:ins>
      <w:ins w:id="19" w:author="Felix Molter" w:date="2021-01-15T19:46:00Z">
        <w:r w:rsidR="00BC3508" w:rsidRPr="00E53719">
          <w:rPr>
            <w:lang w:val="en-GB"/>
          </w:rPr>
          <w:t>was</w:t>
        </w:r>
      </w:ins>
      <w:ins w:id="20" w:author="Felix Molter" w:date="2021-01-15T19:45:00Z">
        <w:r w:rsidR="00CD0985" w:rsidRPr="00E53719">
          <w:rPr>
            <w:lang w:val="en-GB"/>
          </w:rPr>
          <w:t xml:space="preserve"> computed as relative dwell time towards an item minus the mean relative dwell time to all other items. White bars </w:t>
        </w:r>
      </w:ins>
      <w:ins w:id="21" w:author="Felix Molter" w:date="2021-01-15T19:46:00Z">
        <w:r w:rsidR="006B68BA" w:rsidRPr="00E53719">
          <w:rPr>
            <w:lang w:val="en-GB"/>
          </w:rPr>
          <w:t xml:space="preserve">and error bars </w:t>
        </w:r>
      </w:ins>
      <w:ins w:id="22" w:author="Felix Molter" w:date="2021-01-15T19:45:00Z">
        <w:r w:rsidR="00CD0985" w:rsidRPr="00E53719">
          <w:rPr>
            <w:lang w:val="en-GB"/>
          </w:rPr>
          <w:t xml:space="preserve">show </w:t>
        </w:r>
      </w:ins>
      <w:ins w:id="23" w:author="Felix Molter" w:date="2021-01-15T19:46:00Z">
        <w:r w:rsidR="006B68BA" w:rsidRPr="00E53719">
          <w:rPr>
            <w:lang w:val="en-GB"/>
          </w:rPr>
          <w:t xml:space="preserve">mean ± s.e. </w:t>
        </w:r>
      </w:ins>
      <w:ins w:id="24" w:author="Felix Molter" w:date="2021-01-15T19:45:00Z">
        <w:r w:rsidR="00CD0985" w:rsidRPr="00E53719">
          <w:rPr>
            <w:lang w:val="en-GB"/>
          </w:rPr>
          <w:t>observed data from even-numbered trials. Model predictions</w:t>
        </w:r>
      </w:ins>
      <w:ins w:id="25" w:author="Felix Molter" w:date="2021-01-16T13:57:00Z">
        <w:r w:rsidR="00542F2C" w:rsidRPr="00E53719">
          <w:rPr>
            <w:lang w:val="en-GB"/>
          </w:rPr>
          <w:t xml:space="preserve"> (coloured lines)</w:t>
        </w:r>
      </w:ins>
      <w:ins w:id="26" w:author="Felix Molter" w:date="2021-01-15T19:45:00Z">
        <w:r w:rsidR="00CD0985" w:rsidRPr="00E53719">
          <w:rPr>
            <w:lang w:val="en-GB"/>
          </w:rPr>
          <w:t xml:space="preserve"> are based on 50 simulations of each odd-numbered trial.</w:t>
        </w:r>
      </w:ins>
    </w:p>
    <w:p w14:paraId="42A461F4" w14:textId="77777777" w:rsidR="00B76BF1" w:rsidRPr="00E53719" w:rsidRDefault="00B76BF1">
      <w:pPr>
        <w:pStyle w:val="ImageCaption"/>
        <w:spacing w:line="276" w:lineRule="auto"/>
        <w:rPr>
          <w:lang w:val="en-GB"/>
        </w:rPr>
      </w:pPr>
    </w:p>
    <w:p w14:paraId="374EB63E" w14:textId="77777777" w:rsidR="00B76BF1" w:rsidRPr="00E53719" w:rsidRDefault="00C418A2">
      <w:pPr>
        <w:pStyle w:val="BodyText"/>
        <w:rPr>
          <w:lang w:val="en-GB"/>
        </w:rPr>
      </w:pPr>
      <w:r w:rsidRPr="00E53719">
        <w:rPr>
          <w:lang w:val="en-GB"/>
        </w:rPr>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E53719">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E53719">
        <w:rPr>
          <w:lang w:val="en-GB"/>
        </w:rPr>
        <w:t xml:space="preserve"> into subjective decision weights. Outcomes </w:t>
      </w:r>
      <m:oMath>
        <m:r>
          <w:rPr>
            <w:rFonts w:ascii="Cambria Math" w:hAnsi="Cambria Math"/>
            <w:lang w:val="en-GB"/>
          </w:rPr>
          <m:t>m</m:t>
        </m:r>
      </m:oMath>
      <w:r w:rsidRPr="00E53719">
        <w:rPr>
          <w:lang w:val="en-GB"/>
        </w:rPr>
        <w:t xml:space="preserve"> are transformed into utilities using a power function. Next, this model assumes that for each alternative </w:t>
      </w:r>
      <m:oMath>
        <m:r>
          <w:rPr>
            <w:rFonts w:ascii="Cambria Math" w:hAnsi="Cambria Math"/>
            <w:lang w:val="en-GB"/>
          </w:rPr>
          <m:t>i</m:t>
        </m:r>
      </m:oMath>
      <w:r w:rsidRPr="00E53719">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E53719">
        <w:rPr>
          <w:lang w:val="en-GB"/>
        </w:rPr>
        <w:t>, accumulators evolve according to</w:t>
      </w:r>
    </w:p>
    <w:p w14:paraId="61B231E0" w14:textId="77777777" w:rsidR="00B76BF1" w:rsidRPr="00E53719" w:rsidRDefault="00DC793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Similar to the aDDM, the </w:t>
      </w:r>
      <m:oMath>
        <m:r>
          <w:rPr>
            <w:rFonts w:ascii="Cambria Math" w:hAnsi="Cambria Math"/>
            <w:lang w:val="en-GB"/>
          </w:rPr>
          <m:t>θ</m:t>
        </m:r>
      </m:oMath>
      <w:r w:rsidRPr="00E53719">
        <w:rPr>
          <w:lang w:val="en-GB"/>
        </w:rPr>
        <w:t xml:space="preserve"> parameter (</w:t>
      </w:r>
      <m:oMath>
        <m:r>
          <w:rPr>
            <w:rFonts w:ascii="Cambria Math" w:hAnsi="Cambria Math"/>
            <w:lang w:val="en-GB"/>
          </w:rPr>
          <m:t>0≤θ≤1</m:t>
        </m:r>
      </m:oMath>
      <w:r w:rsidRPr="00E53719">
        <w:rPr>
          <w:lang w:val="en-GB"/>
        </w:rPr>
        <w:t xml:space="preserve">) controls discounting of unattended alternative utilities.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We computed choice probabilities from this model by applying the soft-max choice rule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35A950F3" w14:textId="77777777" w:rsidR="00B76BF1" w:rsidRPr="00E53719" w:rsidRDefault="00C418A2">
      <w:pPr>
        <w:pStyle w:val="BodyText"/>
        <w:rPr>
          <w:lang w:val="en-GB"/>
        </w:rPr>
      </w:pPr>
      <w:r w:rsidRPr="00E53719">
        <w:rPr>
          <w:lang w:val="en-GB"/>
        </w:rPr>
        <w:t xml:space="preserve">Additionally, we fitted an implementation of Multialternative Decision Field Theory (MDFT; Roe, Busemeyer, &amp; Townsend, 2001), representing the class of dynamic multi-attribute, multi-alternative choice theories, designed to explain context effects. In contrast to GLA, MDFT assumes that preferences evolve dynamically over time by accumulation of </w:t>
      </w:r>
      <w:r w:rsidRPr="00E53719">
        <w:rPr>
          <w:i/>
          <w:lang w:val="en-GB"/>
        </w:rPr>
        <w:t>attribute-wise</w:t>
      </w:r>
      <w:r w:rsidRPr="00E53719">
        <w:rPr>
          <w:lang w:val="en-GB"/>
        </w:rPr>
        <w:t xml:space="preserve"> comparisons between alternatives, and alternatives inhibit each other depending on their </w:t>
      </w:r>
      <w:r w:rsidRPr="00E53719">
        <w:rPr>
          <w:i/>
          <w:lang w:val="en-GB"/>
        </w:rPr>
        <w:t>distance</w:t>
      </w:r>
      <w:r w:rsidRPr="00E53719">
        <w:rPr>
          <w:lang w:val="en-GB"/>
        </w:rPr>
        <w:t xml:space="preserve"> (or similarity). MDFT does not assume any influence of gaze on the decision process. We included three baseline models in our model comparison: First, a standard Expected Utility model (EU; Von Neumann &amp; Morgenstern, 1947) that did not consider gaze data. Second, a </w:t>
      </w:r>
      <w:r w:rsidRPr="00E53719">
        <w:rPr>
          <w:lang w:val="en-GB"/>
        </w:rPr>
        <w:lastRenderedPageBreak/>
        <w:t>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that predicted choices only from trial-aggregated gaze towards each alternative, ignoring outcome values and outcome probabilities. Third, we 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that, like GLA, assumed leaky evidence accumulation over fixations, but ignored attribute values, utilizing only the sequence of fixations in each trial to predict choices (see Methods for details on the other models’ implementation and parameter estimation).</w:t>
      </w:r>
    </w:p>
    <w:p w14:paraId="3B9342CF" w14:textId="77777777" w:rsidR="00B76BF1" w:rsidRPr="00E53719" w:rsidRDefault="00C418A2">
      <w:pPr>
        <w:pStyle w:val="BodyText"/>
        <w:rPr>
          <w:lang w:val="en-GB"/>
        </w:rPr>
      </w:pPr>
      <w:r w:rsidRPr="00E53719">
        <w:rPr>
          <w:lang w:val="en-GB"/>
        </w:rPr>
        <w:t>All models were fit individually to the choice data of each participant. We compared the models by means of the Bayesian Information Criterion (BIC; Schwarz &amp; others, 1978), which penalizes more complex models and therefore accounts for differences in complexity between models.</w:t>
      </w:r>
    </w:p>
    <w:p w14:paraId="1B76D272" w14:textId="4F1C1C46" w:rsidR="00B76BF1" w:rsidRPr="00E53719" w:rsidRDefault="00C418A2">
      <w:pPr>
        <w:pStyle w:val="BodyText"/>
        <w:rPr>
          <w:lang w:val="en-GB"/>
        </w:rPr>
      </w:pPr>
      <w:r w:rsidRPr="00E53719">
        <w:rPr>
          <w:lang w:val="en-GB"/>
        </w:rPr>
        <w:t xml:space="preserve">Across the group, all models performed better than the random baseline model (Figure </w:t>
      </w:r>
      <w:hyperlink w:anchor="fig:fig3-modelcomparison">
        <w:r w:rsidRPr="00E53719">
          <w:rPr>
            <w:rStyle w:val="Hyperlink"/>
            <w:lang w:val="en-GB"/>
          </w:rPr>
          <w:t>3</w:t>
        </w:r>
      </w:hyperlink>
      <w:r w:rsidRPr="00E53719">
        <w:rPr>
          <w:lang w:val="en-GB"/>
        </w:rPr>
        <w:t xml:space="preserve">a). The GLA had the lowest BIC (mean </w:t>
      </w:r>
      <m:oMath>
        <m:r>
          <w:rPr>
            <w:rFonts w:ascii="Cambria Math" w:hAnsi="Cambria Math"/>
            <w:lang w:val="en-GB"/>
          </w:rPr>
          <m:t>±</m:t>
        </m:r>
      </m:oMath>
      <w:r w:rsidRPr="00E53719">
        <w:rPr>
          <w:lang w:val="en-GB"/>
        </w:rPr>
        <w:t xml:space="preserve"> s.d. = 230.63 </w:t>
      </w:r>
      <m:oMath>
        <m:r>
          <w:rPr>
            <w:rFonts w:ascii="Cambria Math" w:hAnsi="Cambria Math"/>
            <w:lang w:val="en-GB"/>
          </w:rPr>
          <m:t>±</m:t>
        </m:r>
      </m:oMath>
      <w:r w:rsidRPr="00E53719">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(mean </w:t>
      </w:r>
      <m:oMath>
        <m:r>
          <w:rPr>
            <w:rFonts w:ascii="Cambria Math" w:hAnsi="Cambria Math"/>
            <w:lang w:val="en-GB"/>
          </w:rPr>
          <m:t>±</m:t>
        </m:r>
      </m:oMath>
      <w:r w:rsidRPr="00E53719">
        <w:rPr>
          <w:lang w:val="en-GB"/>
        </w:rPr>
        <w:t xml:space="preserve"> s.d. = 302.46 </w:t>
      </w:r>
      <m:oMath>
        <m:r>
          <w:rPr>
            <w:rFonts w:ascii="Cambria Math" w:hAnsi="Cambria Math"/>
            <w:lang w:val="en-GB"/>
          </w:rPr>
          <m:t>±</m:t>
        </m:r>
      </m:oMath>
      <w:r w:rsidRPr="00E53719">
        <w:rPr>
          <w:lang w:val="en-GB"/>
        </w:rPr>
        <w:t xml:space="preserve"> 86.15), MDFT (mean </w:t>
      </w:r>
      <m:oMath>
        <m:r>
          <w:rPr>
            <w:rFonts w:ascii="Cambria Math" w:hAnsi="Cambria Math"/>
            <w:lang w:val="en-GB"/>
          </w:rPr>
          <m:t>±</m:t>
        </m:r>
      </m:oMath>
      <w:r w:rsidRPr="00E53719">
        <w:rPr>
          <w:lang w:val="en-GB"/>
        </w:rPr>
        <w:t xml:space="preserve"> s.d. = 345.77 </w:t>
      </w:r>
      <m:oMath>
        <m:r>
          <w:rPr>
            <w:rFonts w:ascii="Cambria Math" w:hAnsi="Cambria Math"/>
            <w:lang w:val="en-GB"/>
          </w:rPr>
          <m:t>±</m:t>
        </m:r>
      </m:oMath>
      <w:r w:rsidRPr="00E53719">
        <w:rPr>
          <w:lang w:val="en-GB"/>
        </w:rPr>
        <w:t xml:space="preserve"> 82.44), EU (mean </w:t>
      </w:r>
      <m:oMath>
        <m:r>
          <w:rPr>
            <w:rFonts w:ascii="Cambria Math" w:hAnsi="Cambria Math"/>
            <w:lang w:val="en-GB"/>
          </w:rPr>
          <m:t>±</m:t>
        </m:r>
      </m:oMath>
      <w:r w:rsidRPr="00E53719">
        <w:rPr>
          <w:lang w:val="en-GB"/>
        </w:rPr>
        <w:t xml:space="preserve"> s.d. = 360.57 </w:t>
      </w:r>
      <m:oMath>
        <m:r>
          <w:rPr>
            <w:rFonts w:ascii="Cambria Math" w:hAnsi="Cambria Math"/>
            <w:lang w:val="en-GB"/>
          </w:rPr>
          <m:t>±</m:t>
        </m:r>
      </m:oMath>
      <w:r w:rsidRPr="00E53719">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(mean </w:t>
      </w:r>
      <m:oMath>
        <m:r>
          <w:rPr>
            <w:rFonts w:ascii="Cambria Math" w:hAnsi="Cambria Math"/>
            <w:lang w:val="en-GB"/>
          </w:rPr>
          <m:t>±</m:t>
        </m:r>
      </m:oMath>
      <w:r w:rsidRPr="00E53719">
        <w:rPr>
          <w:lang w:val="en-GB"/>
        </w:rPr>
        <w:t xml:space="preserve"> s.d. = 414.81 </w:t>
      </w:r>
      <m:oMath>
        <m:r>
          <w:rPr>
            <w:rFonts w:ascii="Cambria Math" w:hAnsi="Cambria Math"/>
            <w:lang w:val="en-GB"/>
          </w:rPr>
          <m:t>±</m:t>
        </m:r>
      </m:oMath>
      <w:r w:rsidRPr="00E53719">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r w:rsidRPr="00E53719">
        <w:rPr>
          <w:rFonts w:eastAsiaTheme="minorEastAsia"/>
          <w:lang w:val="en-GB"/>
        </w:rPr>
        <w:t xml:space="preserve">. Note, that target and competitor options were designed to be closely matched in value, resulting in trials with high choice difficulty, that is also expected to be reflected in absolute model performance. </w:t>
      </w:r>
      <w:r w:rsidRPr="00E53719">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E53719">
          <w:rPr>
            <w:rStyle w:val="Hyperlink"/>
            <w:lang w:val="en-GB"/>
          </w:rPr>
          <w:t>3</w:t>
        </w:r>
      </w:hyperlink>
      <w:r w:rsidRPr="00E53719">
        <w:rPr>
          <w:lang w:val="en-GB"/>
        </w:rPr>
        <w:t>b). Protected exceedance probabilities (Rigoux, Stephan, Friston, &amp; Daunizeau,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E53719">
        <w:rPr>
          <w:lang w:val="en-GB"/>
        </w:rPr>
        <w:t xml:space="preserve">, Figure </w:t>
      </w:r>
      <w:hyperlink w:anchor="fig:fig3-modelcomparison">
        <w:r w:rsidRPr="00E53719">
          <w:rPr>
            <w:rStyle w:val="Hyperlink"/>
            <w:lang w:val="en-GB"/>
          </w:rPr>
          <w:t>3</w:t>
        </w:r>
      </w:hyperlink>
      <w:r w:rsidRPr="00E53719">
        <w:rPr>
          <w:lang w:val="en-GB"/>
        </w:rPr>
        <w:t>b inset).</w:t>
      </w:r>
    </w:p>
    <w:p w14:paraId="5CA2F158" w14:textId="1ABA3899" w:rsidR="00B76BF1" w:rsidRPr="00E53719" w:rsidRDefault="00C418A2">
      <w:pPr>
        <w:pStyle w:val="BodyText"/>
        <w:rPr>
          <w:lang w:val="en-GB"/>
        </w:rPr>
      </w:pPr>
      <w:r w:rsidRPr="00E53719">
        <w:rPr>
          <w:lang w:val="en-GB"/>
        </w:rPr>
        <w:t xml:space="preserve">The estimates for GLA’s gaze-discount parameter </w:t>
      </w:r>
      <m:oMath>
        <m:r>
          <w:rPr>
            <w:rFonts w:ascii="Cambria Math" w:hAnsi="Cambria Math"/>
            <w:lang w:val="en-GB"/>
          </w:rPr>
          <m:t>θ</m:t>
        </m:r>
      </m:oMath>
      <w:r w:rsidRPr="00E53719">
        <w:rPr>
          <w:lang w:val="en-GB"/>
        </w:rPr>
        <w:t xml:space="preserve">, controlling the degree to which alternative’s values are attenuated while not fixated, indicate that participants exhibited a moderate gaze discount on average: </w:t>
      </w:r>
      <m:oMath>
        <m:r>
          <w:rPr>
            <w:rFonts w:ascii="Cambria Math" w:hAnsi="Cambria Math"/>
            <w:lang w:val="en-GB"/>
          </w:rPr>
          <m:t>θ</m:t>
        </m:r>
      </m:oMath>
      <w:r w:rsidRPr="00E53719">
        <w:rPr>
          <w:lang w:val="en-GB"/>
        </w:rPr>
        <w:t xml:space="preserve"> estimates ranged from 0.13 (strong gaze-discount) to 0.95 (almost no gaze-discount), with mean </w:t>
      </w:r>
      <m:oMath>
        <m:r>
          <w:rPr>
            <w:rFonts w:ascii="Cambria Math" w:hAnsi="Cambria Math"/>
            <w:lang w:val="en-GB"/>
          </w:rPr>
          <m:t>±</m:t>
        </m:r>
      </m:oMath>
      <w:r w:rsidRPr="00E53719">
        <w:rPr>
          <w:lang w:val="en-GB"/>
        </w:rPr>
        <w:t xml:space="preserve"> s.d. = 0.69 </w:t>
      </w:r>
      <m:oMath>
        <m:r>
          <w:rPr>
            <w:rFonts w:ascii="Cambria Math" w:hAnsi="Cambria Math"/>
            <w:lang w:val="en-GB"/>
          </w:rPr>
          <m:t>±</m:t>
        </m:r>
      </m:oMath>
      <w:r w:rsidRPr="00E53719">
        <w:rPr>
          <w:lang w:val="en-GB"/>
        </w:rPr>
        <w:t xml:space="preserve"> 0.18. Estimates for the leak parameter </w:t>
      </w:r>
      <w:r w:rsidRPr="00E53719">
        <w:rPr>
          <w:lang w:val="en-GB"/>
        </w:rPr>
        <w:lastRenderedPageBreak/>
        <w:t xml:space="preserve">ranged from 0.08 (almost no leak) to 0.65 (moderately strong leak), with mean </w:t>
      </w:r>
      <m:oMath>
        <m:r>
          <w:rPr>
            <w:rFonts w:ascii="Cambria Math" w:hAnsi="Cambria Math"/>
            <w:lang w:val="en-GB"/>
          </w:rPr>
          <m:t>±</m:t>
        </m:r>
      </m:oMath>
      <w:r w:rsidRPr="00E53719">
        <w:rPr>
          <w:lang w:val="en-GB"/>
        </w:rPr>
        <w:t xml:space="preserve"> s.d. = 0.29 </w:t>
      </w:r>
      <m:oMath>
        <m:r>
          <w:rPr>
            <w:rFonts w:ascii="Cambria Math" w:hAnsi="Cambria Math"/>
            <w:lang w:val="en-GB"/>
          </w:rPr>
          <m:t>±</m:t>
        </m:r>
      </m:oMath>
      <w:r w:rsidRPr="00E53719">
        <w:rPr>
          <w:lang w:val="en-GB"/>
        </w:rPr>
        <w:t xml:space="preserve"> 0.2. In principle, the model could produce a choice bias towards the alternative fixated last, by combining strong leakage with a stro</w:t>
      </w:r>
      <w:r w:rsidR="00EF31EF" w:rsidRPr="00E53719">
        <w:rPr>
          <w:lang w:val="en-GB"/>
        </w:rPr>
        <w:t>ng gaze-</w:t>
      </w:r>
      <w:r w:rsidRPr="00E53719">
        <w:rPr>
          <w:lang w:val="en-GB"/>
        </w:rPr>
        <w:t xml:space="preserve">discount: With a strong leak, choices are influenced </w:t>
      </w:r>
      <w:r w:rsidR="00DD564F" w:rsidRPr="00E53719">
        <w:rPr>
          <w:lang w:val="en-GB"/>
        </w:rPr>
        <w:t>mainly</w:t>
      </w:r>
      <w:r w:rsidRPr="00E53719">
        <w:rPr>
          <w:lang w:val="en-GB"/>
        </w:rPr>
        <w:t xml:space="preserve"> by the information acquired in the final fixation. A strong gaze-discount could then bias choice towards the fixated alternative. The parameter estimates, however </w:t>
      </w:r>
      <w:r w:rsidR="00DD564F" w:rsidRPr="00E53719">
        <w:rPr>
          <w:lang w:val="en-GB"/>
        </w:rPr>
        <w:t>suggest only</w:t>
      </w:r>
      <w:r w:rsidRPr="00E53719">
        <w:rPr>
          <w:lang w:val="en-GB"/>
        </w:rPr>
        <w:t xml:space="preserve"> moderate strengths of leak and discounting, indicating</w:t>
      </w:r>
      <w:r w:rsidR="00DD564F" w:rsidRPr="00E53719">
        <w:rPr>
          <w:lang w:val="en-GB"/>
        </w:rPr>
        <w:t xml:space="preserve"> </w:t>
      </w:r>
      <w:r w:rsidRPr="00E53719">
        <w:rPr>
          <w:lang w:val="en-GB"/>
        </w:rPr>
        <w:t>that the model’s good performance was not purely driven by effects of last fixations, which are</w:t>
      </w:r>
      <w:r w:rsidR="00DD564F" w:rsidRPr="00E53719">
        <w:rPr>
          <w:lang w:val="en-GB"/>
        </w:rPr>
        <w:t xml:space="preserve"> </w:t>
      </w:r>
      <w:r w:rsidRPr="00E53719">
        <w:rPr>
          <w:lang w:val="en-GB"/>
        </w:rPr>
        <w:t xml:space="preserve">often directed to the chosen alternative. Individual parameter estimates of all GLA parameters are plotted in Supplemental Figure </w:t>
      </w:r>
      <w:hyperlink w:anchor="fig:gla-estimates">
        <w:r w:rsidRPr="00E53719">
          <w:rPr>
            <w:rStyle w:val="Hyperlink"/>
            <w:rFonts w:eastAsia="Cambria"/>
            <w:lang w:val="en-GB"/>
          </w:rPr>
          <w:t>3</w:t>
        </w:r>
      </w:hyperlink>
      <w:r w:rsidRPr="00E53719">
        <w:rPr>
          <w:lang w:val="en-GB"/>
        </w:rPr>
        <w:t xml:space="preserve"> and summarised in Supplemental Table </w:t>
      </w:r>
      <w:hyperlink w:anchor="tab:gla-estimates">
        <w:r w:rsidRPr="00E53719">
          <w:rPr>
            <w:rStyle w:val="Hyperlink"/>
            <w:rFonts w:eastAsia="Cambria"/>
            <w:lang w:val="en-GB"/>
          </w:rPr>
          <w:t>1</w:t>
        </w:r>
      </w:hyperlink>
      <w:r w:rsidRPr="00E53719">
        <w:rPr>
          <w:lang w:val="en-GB"/>
        </w:rPr>
        <w:t>.</w:t>
      </w:r>
    </w:p>
    <w:p w14:paraId="7211B6F3" w14:textId="77777777" w:rsidR="00B76BF1" w:rsidRPr="00E53719" w:rsidRDefault="00C418A2">
      <w:pPr>
        <w:pStyle w:val="BodyText"/>
        <w:rPr>
          <w:ins w:id="27" w:author="Felix Molter" w:date="2021-01-19T16:52:00Z"/>
          <w:lang w:val="en-GB"/>
        </w:rPr>
      </w:pPr>
      <w:commentRangeStart w:id="28"/>
      <w:commentRangeStart w:id="29"/>
      <w:r w:rsidRPr="00E53719">
        <w:rPr>
          <w:lang w:val="en-GB"/>
        </w:rPr>
        <w:t>Given</w:t>
      </w:r>
      <w:commentRangeEnd w:id="28"/>
      <w:r w:rsidRPr="00E53719">
        <w:rPr>
          <w:lang w:val="en-GB"/>
        </w:rPr>
        <w:commentReference w:id="28"/>
      </w:r>
      <w:commentRangeEnd w:id="29"/>
      <w:r w:rsidR="00DD564F" w:rsidRPr="00E53719">
        <w:rPr>
          <w:rStyle w:val="CommentReference"/>
          <w:lang w:val="en-GB"/>
        </w:rPr>
        <w:commentReference w:id="29"/>
      </w:r>
      <w:r w:rsidRPr="00E53719">
        <w:rPr>
          <w:lang w:val="en-GB"/>
        </w:rPr>
        <w:t xml:space="preserve"> that MDFT outperforms utility-based models when choices are influenced by context (Berkowitsch, Scheibehenne, &amp; Rieskamp, 2014), we tested whether model fit of MDFT (relative to GLA) was higher for participants with higher RST. In other words: Is MDFT’s disadvantage reduced, the stronger context effects are? While for 7 out of 9 participants with an RST above 0.7 in attraction trials where still clearly best described by GLA, we found a positive trend of such an association for attraction, but not compromise trials (Supplemental Figure </w:t>
      </w:r>
      <w:hyperlink w:anchor="fig:dbic-rst">
        <w:r w:rsidRPr="00E53719">
          <w:rPr>
            <w:rStyle w:val="Hyperlink"/>
            <w:rFonts w:eastAsia="Cambria"/>
            <w:lang w:val="en-GB"/>
          </w:rPr>
          <w:t>4</w:t>
        </w:r>
      </w:hyperlink>
      <w:r w:rsidRPr="00E53719">
        <w:rPr>
          <w:lang w:val="en-GB"/>
        </w:rPr>
        <w:t>), so that the relative superiority of GLA over MDFT decreased for participants with strong attraction effects. This suggests that some features of MDFT might help predict choice above GLA’s gaze-discount mechanism.</w:t>
      </w:r>
    </w:p>
    <w:p w14:paraId="61154CB8" w14:textId="0A2C7199" w:rsidR="00774FF0" w:rsidRPr="00E53719" w:rsidRDefault="00EE1FBE" w:rsidP="00774FF0">
      <w:pPr>
        <w:pStyle w:val="BodyText"/>
        <w:rPr>
          <w:ins w:id="30" w:author="Felix Molter" w:date="2021-01-19T16:53:00Z"/>
          <w:lang w:val="en-GB"/>
        </w:rPr>
      </w:pPr>
      <w:ins w:id="31" w:author="Felix Molter" w:date="2021-01-19T16:52:00Z">
        <w:r w:rsidRPr="00E53719">
          <w:rPr>
            <w:lang w:val="en-GB"/>
          </w:rPr>
          <w:t xml:space="preserve">Insert model-predicted </w:t>
        </w:r>
      </w:ins>
      <w:ins w:id="32" w:author="Felix Molter" w:date="2021-01-19T16:53:00Z">
        <w:r w:rsidRPr="00E53719">
          <w:rPr>
            <w:lang w:val="en-GB"/>
          </w:rPr>
          <w:t>association of dwell time advantage and probability of choice</w:t>
        </w:r>
      </w:ins>
    </w:p>
    <w:p w14:paraId="26CF1FD0" w14:textId="2146B1EA" w:rsidR="00774FF0" w:rsidRPr="00E53719" w:rsidRDefault="00774FF0" w:rsidP="00774FF0">
      <w:pPr>
        <w:pStyle w:val="BodyText"/>
        <w:numPr>
          <w:ilvl w:val="0"/>
          <w:numId w:val="11"/>
        </w:numPr>
        <w:rPr>
          <w:ins w:id="33" w:author="Felix Molter" w:date="2021-01-19T16:53:00Z"/>
          <w:lang w:val="en-GB"/>
        </w:rPr>
        <w:pPrChange w:id="34" w:author="Felix Molter" w:date="2021-01-19T16:53:00Z">
          <w:pPr>
            <w:pStyle w:val="BodyText"/>
          </w:pPr>
        </w:pPrChange>
      </w:pPr>
      <w:ins w:id="35" w:author="Felix Molter" w:date="2021-01-19T16:53:00Z">
        <w:r w:rsidRPr="00E53719">
          <w:rPr>
            <w:lang w:val="en-GB"/>
          </w:rPr>
          <w:t>In the data, this relationship was positive throughout, both for attraction and compromise trials</w:t>
        </w:r>
      </w:ins>
    </w:p>
    <w:p w14:paraId="04C8AAA2" w14:textId="5667B7B7" w:rsidR="00774FF0" w:rsidRPr="00E53719" w:rsidRDefault="00774FF0" w:rsidP="00774FF0">
      <w:pPr>
        <w:pStyle w:val="BodyText"/>
        <w:numPr>
          <w:ilvl w:val="0"/>
          <w:numId w:val="11"/>
        </w:numPr>
        <w:rPr>
          <w:ins w:id="36" w:author="Felix Molter" w:date="2021-01-19T16:54:00Z"/>
          <w:lang w:val="en-GB"/>
        </w:rPr>
        <w:pPrChange w:id="37" w:author="Felix Molter" w:date="2021-01-19T16:53:00Z">
          <w:pPr>
            <w:pStyle w:val="BodyText"/>
          </w:pPr>
        </w:pPrChange>
      </w:pPr>
      <w:ins w:id="38" w:author="Felix Molter" w:date="2021-01-19T16:54:00Z">
        <w:r w:rsidRPr="00E53719">
          <w:rPr>
            <w:lang w:val="en-GB"/>
          </w:rPr>
          <w:t>All gaze-dependent models succeed in capturing this association</w:t>
        </w:r>
      </w:ins>
    </w:p>
    <w:p w14:paraId="1C49C7A9" w14:textId="40600FE4" w:rsidR="00774FF0" w:rsidRPr="00E53719" w:rsidRDefault="00774FF0" w:rsidP="00774FF0">
      <w:pPr>
        <w:pStyle w:val="BodyText"/>
        <w:numPr>
          <w:ilvl w:val="0"/>
          <w:numId w:val="11"/>
        </w:numPr>
        <w:rPr>
          <w:ins w:id="39" w:author="Felix Molter" w:date="2021-01-19T16:55:00Z"/>
          <w:lang w:val="en-GB"/>
        </w:rPr>
        <w:pPrChange w:id="40" w:author="Felix Molter" w:date="2021-01-19T16:53:00Z">
          <w:pPr>
            <w:pStyle w:val="BodyText"/>
          </w:pPr>
        </w:pPrChange>
      </w:pPr>
      <w:ins w:id="41" w:author="Felix Molter" w:date="2021-01-19T16:54:00Z">
        <w:r w:rsidRPr="00E53719">
          <w:rPr>
            <w:lang w:val="en-GB"/>
          </w:rPr>
          <w:t xml:space="preserve">MDFT and EU miss this. </w:t>
        </w:r>
      </w:ins>
      <w:ins w:id="42" w:author="Felix Molter" w:date="2021-01-19T16:55:00Z">
        <w:r w:rsidRPr="00E53719">
          <w:rPr>
            <w:lang w:val="en-GB"/>
          </w:rPr>
          <w:t>Their predictions still increase, as they perform better than random in predicting choices and chosen alternatives are generally looked at longer than unchosen alternatives, but all-in-all they fail to account for this association</w:t>
        </w:r>
      </w:ins>
    </w:p>
    <w:p w14:paraId="7F0A11F6" w14:textId="77330EC1" w:rsidR="00774FF0" w:rsidRPr="00E53719" w:rsidRDefault="00774FF0" w:rsidP="00774FF0">
      <w:pPr>
        <w:pStyle w:val="BodyText"/>
        <w:numPr>
          <w:ilvl w:val="0"/>
          <w:numId w:val="11"/>
        </w:numPr>
        <w:rPr>
          <w:ins w:id="43" w:author="Felix Molter" w:date="2021-01-19T16:55:00Z"/>
          <w:lang w:val="en-GB"/>
        </w:rPr>
        <w:pPrChange w:id="44" w:author="Felix Molter" w:date="2021-01-19T16:53:00Z">
          <w:pPr>
            <w:pStyle w:val="BodyText"/>
          </w:pPr>
        </w:pPrChange>
      </w:pPr>
      <w:ins w:id="45" w:author="Felix Molter" w:date="2021-01-19T16:55:00Z">
        <w:r w:rsidRPr="00E53719">
          <w:rPr>
            <w:lang w:val="en-GB"/>
          </w:rPr>
          <w:t>Note that gaze-dependent models also predict choices of the dominated decoy in attraction trials, if the decoy has large dwell advantage</w:t>
        </w:r>
      </w:ins>
    </w:p>
    <w:p w14:paraId="0CB78341" w14:textId="5470C512" w:rsidR="00774FF0" w:rsidRPr="00E53719" w:rsidRDefault="00774FF0" w:rsidP="00774FF0">
      <w:pPr>
        <w:pStyle w:val="BodyText"/>
        <w:numPr>
          <w:ilvl w:val="1"/>
          <w:numId w:val="11"/>
        </w:numPr>
        <w:rPr>
          <w:lang w:val="en-GB"/>
        </w:rPr>
        <w:pPrChange w:id="46" w:author="Felix Molter" w:date="2021-01-19T16:56:00Z">
          <w:pPr>
            <w:pStyle w:val="BodyText"/>
          </w:pPr>
        </w:pPrChange>
      </w:pPr>
      <w:ins w:id="47" w:author="Felix Molter" w:date="2021-01-19T16:56:00Z">
        <w:r w:rsidRPr="00E53719">
          <w:rPr>
            <w:lang w:val="en-GB"/>
          </w:rPr>
          <w:lastRenderedPageBreak/>
          <w:t xml:space="preserve">GBstat worst, GBdyn less bad, GLA least bad </w:t>
        </w:r>
      </w:ins>
    </w:p>
    <w:p w14:paraId="217AAB0D" w14:textId="77777777" w:rsidR="00752614" w:rsidRPr="00E53719" w:rsidRDefault="00C418A2">
      <w:pPr>
        <w:pStyle w:val="BodyText"/>
        <w:rPr>
          <w:ins w:id="48" w:author="Felix Molter" w:date="2021-01-19T16:57:00Z"/>
          <w:lang w:val="en-GB"/>
        </w:rPr>
      </w:pPr>
      <w:r w:rsidRPr="00E53719">
        <w:rPr>
          <w:lang w:val="en-GB"/>
        </w:rP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E53719">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[0.43, 0.79], Figure </w:t>
      </w:r>
      <w:hyperlink w:anchor="fig:fig3-modelcomparison">
        <w:r w:rsidRPr="00E53719">
          <w:rPr>
            <w:rStyle w:val="Hyperlink"/>
            <w:lang w:val="en-GB"/>
          </w:rPr>
          <w:t>3</w:t>
        </w:r>
      </w:hyperlink>
      <w:r w:rsidRPr="00E53719">
        <w:rPr>
          <w:lang w:val="en-GB"/>
        </w:rPr>
        <w:t>c) and compromise (</w:t>
      </w:r>
      <m:oMath>
        <m:r>
          <w:rPr>
            <w:rFonts w:ascii="Cambria Math" w:hAnsi="Cambria Math"/>
            <w:lang w:val="en-GB"/>
          </w:rPr>
          <m:t>r</m:t>
        </m:r>
      </m:oMath>
      <w:r w:rsidRPr="00E53719">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[0.58, 0.86], Figure </w:t>
      </w:r>
      <w:hyperlink w:anchor="fig:fig3-modelcomparison">
        <w:r w:rsidRPr="00E53719">
          <w:rPr>
            <w:rStyle w:val="Hyperlink"/>
            <w:lang w:val="en-GB"/>
          </w:rPr>
          <w:t>3</w:t>
        </w:r>
      </w:hyperlink>
      <w:r w:rsidRPr="00E53719">
        <w:rPr>
          <w:lang w:val="en-GB"/>
        </w:rPr>
        <w:t xml:space="preserve">d) trials. </w:t>
      </w:r>
      <w:commentRangeStart w:id="49"/>
      <w:r w:rsidRPr="00E53719">
        <w:rPr>
          <w:lang w:val="en-GB"/>
        </w:rPr>
        <w:t xml:space="preserve">However, the model underestimates large deviations from RST = 0.5, suggesting that the gaze-discount mechanism by itself is limited in its predictive </w:t>
      </w:r>
      <w:commentRangeStart w:id="50"/>
      <w:r w:rsidRPr="00E53719">
        <w:rPr>
          <w:lang w:val="en-GB"/>
        </w:rPr>
        <w:t>range</w:t>
      </w:r>
      <w:commentRangeEnd w:id="50"/>
      <w:r w:rsidR="00F07F4C" w:rsidRPr="00E53719">
        <w:rPr>
          <w:rStyle w:val="CommentReference"/>
          <w:lang w:val="en-GB"/>
        </w:rPr>
        <w:commentReference w:id="50"/>
      </w:r>
      <w:r w:rsidRPr="00E53719">
        <w:rPr>
          <w:lang w:val="en-GB"/>
        </w:rPr>
        <w:t>.</w:t>
      </w:r>
      <w:commentRangeEnd w:id="49"/>
      <w:r w:rsidRPr="00E53719">
        <w:rPr>
          <w:lang w:val="en-GB"/>
        </w:rPr>
        <w:commentReference w:id="49"/>
      </w:r>
    </w:p>
    <w:p w14:paraId="2CA47D64" w14:textId="59FB658C" w:rsidR="00B76BF1" w:rsidRPr="00E53719" w:rsidRDefault="00752614">
      <w:pPr>
        <w:pStyle w:val="BodyText"/>
        <w:rPr>
          <w:ins w:id="51" w:author="Felix Molter" w:date="2021-01-19T16:59:00Z"/>
          <w:lang w:val="en-GB"/>
        </w:rPr>
      </w:pPr>
      <w:ins w:id="52" w:author="Felix Molter" w:date="2021-01-19T16:57:00Z">
        <w:r w:rsidRPr="00E53719">
          <w:rPr>
            <w:lang w:val="en-GB"/>
          </w:rPr>
          <w:t xml:space="preserve">- limited predictive range: </w:t>
        </w:r>
      </w:ins>
      <w:ins w:id="53" w:author="Felix Molter" w:date="2021-01-19T16:58:00Z">
        <w:r w:rsidRPr="00E53719">
          <w:rPr>
            <w:lang w:val="en-GB"/>
          </w:rPr>
          <w:t xml:space="preserve">dominated decoys are chosen almost never, yet dwell times towards them are not as short, in proportion. This limits simple gaze-dependent models like GLA in reducing their </w:t>
        </w:r>
      </w:ins>
      <w:ins w:id="54" w:author="Felix Molter" w:date="2021-01-19T16:59:00Z">
        <w:r w:rsidRPr="00E53719">
          <w:rPr>
            <w:lang w:val="en-GB"/>
          </w:rPr>
          <w:t>probability of being chosen.</w:t>
        </w:r>
      </w:ins>
    </w:p>
    <w:p w14:paraId="0BA86C1E" w14:textId="2C002AC7" w:rsidR="00752614" w:rsidRPr="00E53719" w:rsidRDefault="00752614">
      <w:pPr>
        <w:pStyle w:val="BodyText"/>
        <w:rPr>
          <w:ins w:id="55" w:author="Felix Molter" w:date="2021-01-19T17:00:00Z"/>
          <w:lang w:val="en-GB"/>
        </w:rPr>
      </w:pPr>
      <w:ins w:id="56" w:author="Felix Molter" w:date="2021-01-19T16:59:00Z">
        <w:r w:rsidRPr="00E53719">
          <w:rPr>
            <w:lang w:val="en-GB"/>
          </w:rPr>
          <w:t xml:space="preserve">- Similarly, while targets are looked at slightly longer, they are chosen much more frequently for some participants. Here, again, gaze-dependent models are limited by their dependence on gaze data: Gaze </w:t>
        </w:r>
      </w:ins>
      <w:ins w:id="57" w:author="Felix Molter" w:date="2021-01-19T17:00:00Z">
        <w:r w:rsidRPr="00E53719">
          <w:rPr>
            <w:lang w:val="en-GB"/>
          </w:rPr>
          <w:t>is not distributed extremely enough in favour of the targets, to predict very strong context effects.</w:t>
        </w:r>
      </w:ins>
    </w:p>
    <w:p w14:paraId="55321968" w14:textId="6EE4AAAA" w:rsidR="00620A14" w:rsidRPr="00E53719" w:rsidRDefault="00620A14">
      <w:pPr>
        <w:pStyle w:val="BodyText"/>
        <w:rPr>
          <w:ins w:id="58" w:author="Felix Molter" w:date="2021-01-19T17:03:00Z"/>
          <w:lang w:val="en-GB"/>
        </w:rPr>
      </w:pPr>
      <w:ins w:id="59" w:author="Felix Molter" w:date="2021-01-19T17:00:00Z">
        <w:r w:rsidRPr="00E53719">
          <w:rPr>
            <w:lang w:val="en-GB"/>
          </w:rPr>
          <w:t>- Note, however, that the GLA still wins the model comparison</w:t>
        </w:r>
      </w:ins>
      <w:ins w:id="60" w:author="Felix Molter" w:date="2021-01-19T17:01:00Z">
        <w:r w:rsidRPr="00E53719">
          <w:rPr>
            <w:lang w:val="en-GB"/>
          </w:rPr>
          <w:t xml:space="preserve">, even for most participants with large AE. A closer inspection of predicted choice probabilities (supplemental figure) shows that, on average, it predicts high probability for the empirically chosen alternative (resulting in </w:t>
        </w:r>
      </w:ins>
      <w:ins w:id="61" w:author="Felix Molter" w:date="2021-01-19T17:02:00Z">
        <w:r w:rsidRPr="00E53719">
          <w:rPr>
            <w:lang w:val="en-GB"/>
          </w:rPr>
          <w:t xml:space="preserve">good overall fit), but still predicts rather similar proportions of target and competitor choices (resulting in </w:t>
        </w:r>
      </w:ins>
      <w:ins w:id="62" w:author="Felix Molter" w:date="2021-01-19T17:03:00Z">
        <w:r w:rsidRPr="00E53719">
          <w:rPr>
            <w:lang w:val="en-GB"/>
          </w:rPr>
          <w:t>reduced RST)</w:t>
        </w:r>
      </w:ins>
    </w:p>
    <w:p w14:paraId="7DD66280" w14:textId="09D067B2" w:rsidR="00442557" w:rsidRPr="00E53719" w:rsidRDefault="00442557">
      <w:pPr>
        <w:pStyle w:val="BodyText"/>
        <w:rPr>
          <w:lang w:val="en-GB"/>
        </w:rPr>
      </w:pPr>
      <w:ins w:id="63" w:author="Felix Molter" w:date="2021-01-19T17:03:00Z">
        <w:r w:rsidRPr="00E53719">
          <w:rPr>
            <w:lang w:val="en-GB"/>
          </w:rPr>
          <w:t xml:space="preserve">- Other models, like MDFT, </w:t>
        </w:r>
        <w:r w:rsidR="005079F6" w:rsidRPr="00E53719">
          <w:rPr>
            <w:lang w:val="en-GB"/>
          </w:rPr>
          <w:t xml:space="preserve">predict larger differences in probability of choosing target vs competitor, but overall have lower </w:t>
        </w:r>
      </w:ins>
      <w:ins w:id="64" w:author="Felix Molter" w:date="2021-01-19T17:04:00Z">
        <w:r w:rsidR="005079F6" w:rsidRPr="00E53719">
          <w:rPr>
            <w:lang w:val="en-GB"/>
          </w:rPr>
          <w:t>predicted probability of the empirically chosen alternative (which results in inferior model fit).</w:t>
        </w:r>
      </w:ins>
    </w:p>
    <w:p w14:paraId="3D6B3B92" w14:textId="77777777" w:rsidR="00B76BF1" w:rsidRPr="00E53719" w:rsidRDefault="00C418A2">
      <w:pPr>
        <w:pStyle w:val="Heading2"/>
        <w:rPr>
          <w:lang w:val="en-GB"/>
        </w:rPr>
      </w:pPr>
      <w:r w:rsidRPr="00E53719">
        <w:rPr>
          <w:lang w:val="en-GB"/>
        </w:rPr>
        <w:t>Systematic exploration of a large model space</w:t>
      </w:r>
    </w:p>
    <w:p w14:paraId="55D92C80" w14:textId="5913BF4F" w:rsidR="00B76BF1" w:rsidRPr="00E53719" w:rsidRDefault="00C418A2">
      <w:pPr>
        <w:pStyle w:val="FirstParagraph"/>
        <w:rPr>
          <w:lang w:val="en-GB"/>
        </w:rPr>
      </w:pPr>
      <w:r w:rsidRPr="00E53719">
        <w:rPr>
          <w:lang w:val="en-GB"/>
        </w:rPr>
        <w:t xml:space="preserve">The model comparison identified the advantage of the gaze-dependent accumulation model over its competitors. These results, however, are limited to the </w:t>
      </w:r>
      <w:r w:rsidRPr="00E53719">
        <w:rPr>
          <w:i/>
          <w:lang w:val="en-GB"/>
        </w:rPr>
        <w:t>a priori</w:t>
      </w:r>
      <w:r w:rsidRPr="00E53719">
        <w:rPr>
          <w:lang w:val="en-GB"/>
        </w:rPr>
        <w:t xml:space="preserve"> selection of models and the specific mechanisms implemented in them. In addition, the reported model </w:t>
      </w:r>
      <w:r w:rsidRPr="00E53719">
        <w:rPr>
          <w:lang w:val="en-GB"/>
        </w:rPr>
        <w:lastRenderedPageBreak/>
        <w:t xml:space="preserve">comparison offers no way to test the contribution of individual model mechanisms (such as accumulation leak, inhibition between alternatives, or the gaze-dependent discount) to model performance. It is also conceivable that a combination of mechanisms of multiple model classes (i.e., a </w:t>
      </w:r>
      <w:r w:rsidRPr="00E53719">
        <w:rPr>
          <w:i/>
          <w:lang w:val="en-GB"/>
        </w:rPr>
        <w:t>hybrid</w:t>
      </w:r>
      <w:r w:rsidRPr="00E53719">
        <w:rPr>
          <w:lang w:val="en-GB"/>
        </w:rPr>
        <w:t xml:space="preserve"> model) exceeds the performance of extant models. For example, while MDFT was outperformed by two gaze-dependent models, its unique distance-dependent inhibition mechanism could improve model fit above and beyond gaze-bias mechanisms, as suggested by the relationship between relative model fit and RST. Similarly, different implementations of the gaze-dependency have been proposed (Ashby, Jekel, Dickert, &amp; Glöckner, 2016) and could result in even better model performance.</w:t>
      </w:r>
    </w:p>
    <w:p w14:paraId="078D09E3" w14:textId="77777777" w:rsidR="00B76BF1" w:rsidRPr="00E53719" w:rsidRDefault="00C418A2">
      <w:pPr>
        <w:pStyle w:val="BodyText"/>
        <w:rPr>
          <w:lang w:val="en-GB"/>
        </w:rPr>
      </w:pPr>
      <w:r w:rsidRPr="00E53719">
        <w:rPr>
          <w:lang w:val="en-GB"/>
        </w:rPr>
        <w:t xml:space="preserve">To overcome these limitations, we performed a search across a large, systematically designed model space, in a so-called "switchboard analysis" (see Turner, Schley,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E53719">
        <w:rPr>
          <w:i/>
          <w:lang w:val="en-GB"/>
        </w:rPr>
        <w:t>a priori</w:t>
      </w:r>
      <w:r w:rsidRPr="00E53719">
        <w:rPr>
          <w:lang w:val="en-GB"/>
        </w:rPr>
        <w:t xml:space="preserve"> defined models.</w:t>
      </w:r>
    </w:p>
    <w:p w14:paraId="48C105B5" w14:textId="77777777" w:rsidR="00B76BF1" w:rsidRPr="00E53719" w:rsidRDefault="00C418A2">
      <w:pPr>
        <w:pStyle w:val="BodyText"/>
        <w:rPr>
          <w:lang w:val="en-GB"/>
        </w:rPr>
      </w:pPr>
      <w:r w:rsidRPr="00E53719">
        <w:rPr>
          <w:lang w:val="en-GB"/>
        </w:rPr>
        <w:t>We used this method to address an additional issue: Gaze-bias mechanisms can be implemented in multiple ways (e.g., as discounting non-ﬁxated alternatives’ values, controlling accumulation leak, among others; see Ashby, Jekel, Dickert, &amp; Glöckner, 2016). We therefore expanded the range of gaze-dependent mechanisms from the original set of models to include additional eye-movement related switches, like attribute- and alternative-wise gaze 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Perona, &amp; Rangel, 2017; Thomas, Molter, Krajbich, Heekeren, &amp; Mohr, 2019).</w:t>
      </w:r>
    </w:p>
    <w:p w14:paraId="3004CC18" w14:textId="77777777" w:rsidR="00B76BF1" w:rsidRPr="00E53719" w:rsidRDefault="00B76BF1">
      <w:pPr>
        <w:pStyle w:val="BodyText"/>
        <w:rPr>
          <w:lang w:val="en-GB"/>
        </w:rPr>
      </w:pPr>
    </w:p>
    <w:p w14:paraId="4316784E" w14:textId="77777777" w:rsidR="00B76BF1" w:rsidRPr="00E53719" w:rsidRDefault="00C418A2">
      <w:pPr>
        <w:pStyle w:val="CaptionedFigure"/>
        <w:spacing w:line="360" w:lineRule="auto"/>
        <w:jc w:val="center"/>
        <w:rPr>
          <w:lang w:val="en-GB"/>
        </w:rPr>
      </w:pPr>
      <w:bookmarkStart w:id="65" w:name="fig%252525253Afig4-switchboard-overview"/>
      <w:commentRangeStart w:id="66"/>
      <w:commentRangeStart w:id="67"/>
      <w:r w:rsidRPr="00E53719">
        <w:rPr>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bookmarkEnd w:id="65"/>
      <w:commentRangeEnd w:id="66"/>
      <w:commentRangeEnd w:id="67"/>
      <w:r w:rsidRPr="00E53719">
        <w:rPr>
          <w:lang w:val="en-GB"/>
        </w:rPr>
        <w:commentReference w:id="66"/>
      </w:r>
      <w:r w:rsidR="005F229B" w:rsidRPr="00E53719">
        <w:rPr>
          <w:rStyle w:val="CommentReference"/>
          <w:lang w:val="en-GB"/>
        </w:rPr>
        <w:commentReference w:id="67"/>
      </w:r>
    </w:p>
    <w:p w14:paraId="50121C08" w14:textId="77777777" w:rsidR="00B76BF1" w:rsidRPr="00E53719" w:rsidRDefault="00C418A2">
      <w:pPr>
        <w:pStyle w:val="ImageCaption"/>
        <w:spacing w:line="276" w:lineRule="auto"/>
        <w:rPr>
          <w:lang w:val="en-GB"/>
        </w:rPr>
      </w:pPr>
      <w:r w:rsidRPr="00E53719">
        <w:rPr>
          <w:b/>
          <w:lang w:val="en-GB"/>
        </w:rPr>
        <w:t>Figure 4. Switchboard analysis.</w:t>
      </w:r>
      <w:r w:rsidRPr="00E53719">
        <w:rPr>
          <w:lang w:val="en-GB"/>
        </w:rPr>
        <w:t xml:space="preserve"> </w:t>
      </w:r>
      <w:r w:rsidRPr="00E53719">
        <w:rPr>
          <w:b/>
          <w:lang w:val="en-GB"/>
        </w:rPr>
        <w:t>(a)</w:t>
      </w:r>
      <w:r w:rsidRPr="00E53719">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E53719">
        <w:rPr>
          <w:b/>
          <w:lang w:val="en-GB"/>
        </w:rPr>
        <w:t>(b)</w:t>
      </w:r>
      <w:r w:rsidRPr="00E53719">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E53719">
        <w:rPr>
          <w:b/>
          <w:lang w:val="en-GB"/>
        </w:rPr>
        <w:t>(c)</w:t>
      </w:r>
      <w:r w:rsidRPr="00E53719">
        <w:rPr>
          <w:lang w:val="en-GB"/>
        </w:rPr>
        <w:t xml:space="preserve">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Methods) including the variant with lowest BIC, which is therefore highlighted twice.</w:t>
      </w:r>
    </w:p>
    <w:p w14:paraId="61CA349F" w14:textId="77777777" w:rsidR="00B76BF1" w:rsidRPr="00E53719" w:rsidRDefault="00B76BF1">
      <w:pPr>
        <w:pStyle w:val="BodyText"/>
        <w:rPr>
          <w:lang w:val="en-GB"/>
        </w:rPr>
      </w:pPr>
    </w:p>
    <w:p w14:paraId="7659AFED" w14:textId="77777777" w:rsidR="005F229B" w:rsidRPr="00E53719" w:rsidRDefault="005F229B">
      <w:pPr>
        <w:pStyle w:val="BodyText"/>
        <w:rPr>
          <w:lang w:val="en-GB"/>
        </w:rPr>
      </w:pPr>
    </w:p>
    <w:p w14:paraId="58271190" w14:textId="77777777" w:rsidR="005F229B" w:rsidRPr="00E53719" w:rsidRDefault="005F229B">
      <w:pPr>
        <w:pStyle w:val="BodyText"/>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E53719" w14:paraId="51C983CA" w14:textId="77777777">
        <w:tc>
          <w:tcPr>
            <w:tcW w:w="411" w:type="dxa"/>
            <w:tcBorders>
              <w:bottom w:val="single" w:sz="6" w:space="0" w:color="000000"/>
            </w:tcBorders>
            <w:vAlign w:val="center"/>
          </w:tcPr>
          <w:p w14:paraId="2551B02C" w14:textId="77777777" w:rsidR="00B76BF1" w:rsidRPr="00E53719"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E53719" w:rsidRDefault="00C418A2">
            <w:pPr>
              <w:pStyle w:val="Compact"/>
              <w:widowControl w:val="0"/>
              <w:snapToGrid w:val="0"/>
              <w:spacing w:before="0" w:after="0" w:line="276" w:lineRule="auto"/>
              <w:ind w:firstLine="0"/>
              <w:jc w:val="center"/>
              <w:textAlignment w:val="center"/>
              <w:rPr>
                <w:rFonts w:eastAsia="Cambria"/>
                <w:lang w:val="en-GB"/>
              </w:rPr>
            </w:pPr>
            <w:r w:rsidRPr="00E53719">
              <w:rPr>
                <w:rFonts w:eastAsia="Cambria"/>
                <w:b/>
                <w:i/>
                <w:lang w:val="en-GB"/>
              </w:rPr>
              <w:t>N</w:t>
            </w:r>
          </w:p>
        </w:tc>
        <w:tc>
          <w:tcPr>
            <w:tcW w:w="873" w:type="dxa"/>
            <w:tcBorders>
              <w:bottom w:val="single" w:sz="6" w:space="0" w:color="000000"/>
            </w:tcBorders>
            <w:vAlign w:val="center"/>
          </w:tcPr>
          <w:p w14:paraId="3F7D542E"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Leak</w:t>
            </w:r>
          </w:p>
        </w:tc>
        <w:tc>
          <w:tcPr>
            <w:tcW w:w="1264" w:type="dxa"/>
            <w:tcBorders>
              <w:bottom w:val="single" w:sz="6" w:space="0" w:color="000000"/>
            </w:tcBorders>
            <w:vAlign w:val="center"/>
          </w:tcPr>
          <w:p w14:paraId="44737A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Inhibition</w:t>
            </w:r>
          </w:p>
        </w:tc>
        <w:tc>
          <w:tcPr>
            <w:tcW w:w="1597" w:type="dxa"/>
            <w:tcBorders>
              <w:bottom w:val="single" w:sz="6" w:space="0" w:color="000000"/>
            </w:tcBorders>
            <w:vAlign w:val="center"/>
          </w:tcPr>
          <w:p w14:paraId="1D2B9F4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Integration</w:t>
            </w:r>
          </w:p>
        </w:tc>
        <w:tc>
          <w:tcPr>
            <w:tcW w:w="1504" w:type="dxa"/>
            <w:tcBorders>
              <w:bottom w:val="single" w:sz="6" w:space="0" w:color="000000"/>
            </w:tcBorders>
            <w:vAlign w:val="center"/>
          </w:tcPr>
          <w:p w14:paraId="2D8B3DA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Comparison</w:t>
            </w:r>
          </w:p>
        </w:tc>
      </w:tr>
      <w:tr w:rsidR="00B76BF1" w:rsidRPr="00E53719" w14:paraId="16DB8865" w14:textId="77777777">
        <w:tc>
          <w:tcPr>
            <w:tcW w:w="411" w:type="dxa"/>
            <w:vAlign w:val="center"/>
          </w:tcPr>
          <w:p w14:paraId="3AD1BED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w:t>
            </w:r>
          </w:p>
        </w:tc>
        <w:tc>
          <w:tcPr>
            <w:tcW w:w="474" w:type="dxa"/>
            <w:vAlign w:val="center"/>
          </w:tcPr>
          <w:p w14:paraId="1B930B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17</w:t>
            </w:r>
          </w:p>
        </w:tc>
        <w:tc>
          <w:tcPr>
            <w:tcW w:w="873" w:type="dxa"/>
            <w:shd w:val="clear" w:color="auto" w:fill="DEE6EF"/>
            <w:vAlign w:val="center"/>
          </w:tcPr>
          <w:p w14:paraId="732D460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AE55A0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BBBC1B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2D0471E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1E91DF7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5D36B57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AE4DB26" w14:textId="77777777">
        <w:tc>
          <w:tcPr>
            <w:tcW w:w="411" w:type="dxa"/>
            <w:vAlign w:val="center"/>
          </w:tcPr>
          <w:p w14:paraId="7F0C441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B</w:t>
            </w:r>
          </w:p>
        </w:tc>
        <w:tc>
          <w:tcPr>
            <w:tcW w:w="474" w:type="dxa"/>
            <w:vAlign w:val="center"/>
          </w:tcPr>
          <w:p w14:paraId="149CDF1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9</w:t>
            </w:r>
          </w:p>
        </w:tc>
        <w:tc>
          <w:tcPr>
            <w:tcW w:w="873" w:type="dxa"/>
            <w:shd w:val="clear" w:color="auto" w:fill="DEE6EF"/>
            <w:vAlign w:val="center"/>
          </w:tcPr>
          <w:p w14:paraId="6126C9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7FCAA5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231F3C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06E0CA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18E72E0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7DD2B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53980565" w14:textId="77777777">
        <w:tc>
          <w:tcPr>
            <w:tcW w:w="411" w:type="dxa"/>
            <w:vAlign w:val="center"/>
          </w:tcPr>
          <w:p w14:paraId="38B83A6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w:t>
            </w:r>
          </w:p>
        </w:tc>
        <w:tc>
          <w:tcPr>
            <w:tcW w:w="474" w:type="dxa"/>
            <w:vAlign w:val="center"/>
          </w:tcPr>
          <w:p w14:paraId="0EA5C6D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4</w:t>
            </w:r>
          </w:p>
        </w:tc>
        <w:tc>
          <w:tcPr>
            <w:tcW w:w="873" w:type="dxa"/>
            <w:shd w:val="clear" w:color="auto" w:fill="DEE6EF"/>
            <w:vAlign w:val="center"/>
          </w:tcPr>
          <w:p w14:paraId="08CA8AF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D40E8A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1E2B771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483737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41F136C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Additive</w:t>
            </w:r>
          </w:p>
        </w:tc>
        <w:tc>
          <w:tcPr>
            <w:tcW w:w="1504" w:type="dxa"/>
            <w:vAlign w:val="center"/>
          </w:tcPr>
          <w:p w14:paraId="5DCE6F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57E2482" w14:textId="77777777">
        <w:tc>
          <w:tcPr>
            <w:tcW w:w="411" w:type="dxa"/>
            <w:vAlign w:val="center"/>
          </w:tcPr>
          <w:p w14:paraId="0A13DE9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w:t>
            </w:r>
          </w:p>
        </w:tc>
        <w:tc>
          <w:tcPr>
            <w:tcW w:w="474" w:type="dxa"/>
            <w:vAlign w:val="center"/>
          </w:tcPr>
          <w:p w14:paraId="37500E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3</w:t>
            </w:r>
          </w:p>
        </w:tc>
        <w:tc>
          <w:tcPr>
            <w:tcW w:w="873" w:type="dxa"/>
            <w:vAlign w:val="center"/>
          </w:tcPr>
          <w:p w14:paraId="154CA3B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3831ED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6E70A2DC"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7224B29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4E3BDE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2FF8C3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B8224A6" w14:textId="77777777">
        <w:tc>
          <w:tcPr>
            <w:tcW w:w="411" w:type="dxa"/>
            <w:vAlign w:val="center"/>
          </w:tcPr>
          <w:p w14:paraId="034B96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E</w:t>
            </w:r>
          </w:p>
        </w:tc>
        <w:tc>
          <w:tcPr>
            <w:tcW w:w="474" w:type="dxa"/>
            <w:vAlign w:val="center"/>
          </w:tcPr>
          <w:p w14:paraId="05E3F40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2</w:t>
            </w:r>
          </w:p>
        </w:tc>
        <w:tc>
          <w:tcPr>
            <w:tcW w:w="873" w:type="dxa"/>
            <w:vAlign w:val="center"/>
          </w:tcPr>
          <w:p w14:paraId="1515C9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7FDC2D8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CCA883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40D7854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27201D6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1615C06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AD393B8" w14:textId="77777777">
        <w:tc>
          <w:tcPr>
            <w:tcW w:w="411" w:type="dxa"/>
            <w:vAlign w:val="center"/>
          </w:tcPr>
          <w:p w14:paraId="2AC4E53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F</w:t>
            </w:r>
          </w:p>
        </w:tc>
        <w:tc>
          <w:tcPr>
            <w:tcW w:w="474" w:type="dxa"/>
            <w:vAlign w:val="center"/>
          </w:tcPr>
          <w:p w14:paraId="5E9A8B4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69DE1F3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961A8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02949B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1A2078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6AB9696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660EA4C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7ED12FA2" w14:textId="77777777">
        <w:tc>
          <w:tcPr>
            <w:tcW w:w="411" w:type="dxa"/>
            <w:vAlign w:val="center"/>
          </w:tcPr>
          <w:p w14:paraId="01D6F3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G</w:t>
            </w:r>
          </w:p>
        </w:tc>
        <w:tc>
          <w:tcPr>
            <w:tcW w:w="474" w:type="dxa"/>
            <w:vAlign w:val="center"/>
          </w:tcPr>
          <w:p w14:paraId="2E4C3B2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3D8629B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EFAA36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05B65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5D40C4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597" w:type="dxa"/>
            <w:vAlign w:val="center"/>
          </w:tcPr>
          <w:p w14:paraId="18C2D46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055A93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087A13D4" w14:textId="77777777">
        <w:tc>
          <w:tcPr>
            <w:tcW w:w="411" w:type="dxa"/>
            <w:vAlign w:val="center"/>
          </w:tcPr>
          <w:p w14:paraId="3A1D4B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H</w:t>
            </w:r>
          </w:p>
        </w:tc>
        <w:tc>
          <w:tcPr>
            <w:tcW w:w="474" w:type="dxa"/>
            <w:vAlign w:val="center"/>
          </w:tcPr>
          <w:p w14:paraId="10D5B6B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71CEBD9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shd w:val="clear" w:color="auto" w:fill="DEE6EF"/>
            <w:vAlign w:val="center"/>
          </w:tcPr>
          <w:p w14:paraId="234CAF3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1089" w:type="dxa"/>
            <w:vAlign w:val="center"/>
          </w:tcPr>
          <w:p w14:paraId="4FEA84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72EE0DE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3198C18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C44DA5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25482F5C" w14:textId="77777777">
        <w:tc>
          <w:tcPr>
            <w:tcW w:w="411" w:type="dxa"/>
            <w:vAlign w:val="center"/>
          </w:tcPr>
          <w:p w14:paraId="4E57710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w:t>
            </w:r>
          </w:p>
        </w:tc>
        <w:tc>
          <w:tcPr>
            <w:tcW w:w="474" w:type="dxa"/>
            <w:vAlign w:val="center"/>
          </w:tcPr>
          <w:p w14:paraId="0B97D83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B4D573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4117D8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4AD9D2E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217D0C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555F5FB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6E6F4B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3074550C" w14:textId="77777777">
        <w:tc>
          <w:tcPr>
            <w:tcW w:w="411" w:type="dxa"/>
            <w:vAlign w:val="center"/>
          </w:tcPr>
          <w:p w14:paraId="5D4DAC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J</w:t>
            </w:r>
          </w:p>
        </w:tc>
        <w:tc>
          <w:tcPr>
            <w:tcW w:w="474" w:type="dxa"/>
            <w:vAlign w:val="center"/>
          </w:tcPr>
          <w:p w14:paraId="07DD6AF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45CEEC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C42185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EACDB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285CA8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5B0F0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00950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bookmarkStart w:id="68" w:name="tab%252525253Aswitchboard-best-ind"/>
            <w:bookmarkEnd w:id="68"/>
          </w:p>
        </w:tc>
      </w:tr>
    </w:tbl>
    <w:p w14:paraId="79EF791C" w14:textId="77777777" w:rsidR="00B76BF1" w:rsidRPr="00E53719" w:rsidRDefault="00C418A2">
      <w:pPr>
        <w:pStyle w:val="TableCaption"/>
        <w:spacing w:line="276" w:lineRule="auto"/>
        <w:ind w:firstLine="0"/>
        <w:rPr>
          <w:lang w:val="en-GB"/>
        </w:rPr>
      </w:pPr>
      <w:r w:rsidRPr="00E53719">
        <w:rPr>
          <w:b/>
          <w:bCs/>
          <w:lang w:val="en-GB"/>
        </w:rPr>
        <w:t>Table 2. Overview of individually best fitting model variants.</w:t>
      </w:r>
      <w:r w:rsidRPr="00E53719">
        <w:rPr>
          <w:lang w:val="en-GB"/>
        </w:rPr>
        <w:t xml:space="preserve"> </w:t>
      </w:r>
      <w:r w:rsidRPr="00E53719">
        <w:rPr>
          <w:i/>
          <w:iCs/>
          <w:lang w:val="en-GB"/>
        </w:rPr>
        <w:t>N</w:t>
      </w:r>
      <w:r w:rsidRPr="00E53719">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 discount). </w:t>
      </w:r>
      <w:r w:rsidRPr="00E53719">
        <w:rPr>
          <w:i/>
          <w:lang w:val="en-GB"/>
        </w:rPr>
        <w:t>"n.d."</w:t>
      </w:r>
      <w:r w:rsidRPr="00E53719">
        <w:rPr>
          <w:lang w:val="en-GB"/>
        </w:rPr>
        <w:t xml:space="preserve"> denotes variants where comparison mechanisms were not distinguishable by the analysis.</w:t>
      </w:r>
    </w:p>
    <w:p w14:paraId="73061982" w14:textId="77777777" w:rsidR="00B76BF1" w:rsidRPr="00E53719" w:rsidRDefault="00B76BF1">
      <w:pPr>
        <w:pStyle w:val="TableCaption"/>
        <w:spacing w:line="276" w:lineRule="auto"/>
        <w:ind w:firstLine="0"/>
        <w:rPr>
          <w:lang w:val="en-GB"/>
        </w:rPr>
      </w:pPr>
    </w:p>
    <w:p w14:paraId="4C0D979F" w14:textId="56FFB660" w:rsidR="00B76BF1" w:rsidRPr="00E53719" w:rsidRDefault="00C418A2">
      <w:pPr>
        <w:pStyle w:val="BodyText"/>
        <w:rPr>
          <w:lang w:val="en-GB"/>
        </w:rPr>
      </w:pPr>
      <w:r w:rsidRPr="00E53719">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E53719">
        <w:rPr>
          <w:i/>
          <w:iCs/>
          <w:lang w:val="en-GB"/>
        </w:rPr>
        <w:t xml:space="preserve">a priori </w:t>
      </w:r>
      <w:r w:rsidRPr="00E53719">
        <w:rPr>
          <w:lang w:val="en-GB"/>
        </w:rPr>
        <w:t xml:space="preserve">GLA, but with substantial differences depending on the specific set of switch levels (Figure </w:t>
      </w:r>
      <w:hyperlink w:anchor="fig:fig4-switchboard-overview">
        <w:r w:rsidRPr="00E53719">
          <w:rPr>
            <w:rStyle w:val="Hyperlink"/>
            <w:lang w:val="en-GB"/>
          </w:rPr>
          <w:t>4</w:t>
        </w:r>
      </w:hyperlink>
      <w:r w:rsidRPr="00E53719">
        <w:rPr>
          <w:lang w:val="en-GB"/>
        </w:rPr>
        <w:t xml:space="preserve">a; see Methods and Supplemental Table </w:t>
      </w:r>
      <w:hyperlink w:anchor="tab:switchboard-overview">
        <w:r w:rsidRPr="00E53719">
          <w:rPr>
            <w:rStyle w:val="Hyperlink"/>
            <w:rFonts w:eastAsia="Cambria"/>
            <w:lang w:val="en-GB"/>
          </w:rPr>
          <w:t>2</w:t>
        </w:r>
      </w:hyperlink>
      <w:r w:rsidRPr="00E53719">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 discount, constant leak, no inhibition, no comparison). Similarly, one variant (not in Table 2) conceptually resembles MDFT in some, but not all aspects (additive attribute integration, comparative evidence accumulation, constant leak, distance-based inhibition, strong attribute-wise gaze discount).</w:t>
      </w:r>
    </w:p>
    <w:p w14:paraId="407E914B" w14:textId="77777777" w:rsidR="00B76BF1" w:rsidRPr="00E53719" w:rsidRDefault="00C418A2">
      <w:pPr>
        <w:pStyle w:val="BodyText"/>
        <w:rPr>
          <w:lang w:val="en-GB"/>
        </w:rPr>
      </w:pPr>
      <w:commentRangeStart w:id="69"/>
      <w:commentRangeStart w:id="70"/>
      <w:r w:rsidRPr="00E53719">
        <w:rPr>
          <w:lang w:val="en-GB"/>
        </w:rPr>
        <w:lastRenderedPageBreak/>
        <w:t>The</w:t>
      </w:r>
      <w:commentRangeEnd w:id="69"/>
      <w:r w:rsidRPr="00E53719">
        <w:rPr>
          <w:lang w:val="en-GB"/>
        </w:rPr>
        <w:commentReference w:id="69"/>
      </w:r>
      <w:commentRangeEnd w:id="70"/>
      <w:r w:rsidR="005F229B" w:rsidRPr="00E53719">
        <w:rPr>
          <w:rStyle w:val="CommentReference"/>
          <w:lang w:val="en-GB"/>
        </w:rPr>
        <w:commentReference w:id="70"/>
      </w:r>
      <w:r w:rsidRPr="00E53719">
        <w:rPr>
          <w:lang w:val="en-GB"/>
        </w:rPr>
        <w:t xml:space="preserve"> total number of unique model variants was reduced because comparative and independent accumulation models cannot be distinguished in cases, when choice probabilities are derived from a soft-max choice rule with a freely estimated inverse temperature parameter over the final accumulator values. This happens when a variant uses no or constant inhibition and leak. We removed 32 duplicate variants with comparative accumulation from the following analyses, and note cases where comparative accumulation would yield equivalent results.</w:t>
      </w:r>
    </w:p>
    <w:p w14:paraId="5298BE9D" w14:textId="77777777" w:rsidR="00B76BF1" w:rsidRPr="00E53719" w:rsidRDefault="00C418A2">
      <w:pPr>
        <w:pStyle w:val="BodyText"/>
        <w:rPr>
          <w:lang w:val="en-GB"/>
        </w:rPr>
      </w:pPr>
      <w:r w:rsidRPr="00E53719">
        <w:rPr>
          <w:lang w:val="en-GB"/>
        </w:rPr>
        <w:t xml:space="preserve">The optimization algorithm failed to find a solution better than a random model for 108 of 6400 (1.69%) of estimation runs. Since all model variants used the soft-max choice rule (Equation </w:t>
      </w:r>
      <w:hyperlink w:anchor="eq:softmax">
        <w:r w:rsidRPr="00E53719">
          <w:rPr>
            <w:rStyle w:val="Hyperlink"/>
            <w:lang w:val="en-GB"/>
          </w:rPr>
          <w:t>[eq:softmax]</w:t>
        </w:r>
      </w:hyperlink>
      <w:r w:rsidRPr="00E53719">
        <w:rPr>
          <w:lang w:val="en-GB"/>
        </w:rPr>
        <w:t xml:space="preserve">) and therefore could predict random choices by setting the inverse temperature parameter </w:t>
      </w:r>
      <m:oMath>
        <m:r>
          <w:rPr>
            <w:rFonts w:ascii="Cambria Math" w:hAnsi="Cambria Math"/>
            <w:lang w:val="en-GB"/>
          </w:rPr>
          <m:t>β</m:t>
        </m:r>
      </m:oMath>
      <w:r w:rsidRPr="00E53719">
        <w:rPr>
          <w:lang w:val="en-GB"/>
        </w:rPr>
        <w:t xml:space="preserve"> to 0, this indicates non-convergence of the optimization algorithm. All but one non-converged estimation run used distance-dependent inhibition. For the following analyses we set the maximum-likelihood estimates of the failed runs to that of the nested random model.</w:t>
      </w:r>
    </w:p>
    <w:p w14:paraId="48D57B1B" w14:textId="77777777" w:rsidR="00B76BF1" w:rsidRPr="00E53719" w:rsidRDefault="00C418A2">
      <w:pPr>
        <w:pStyle w:val="BodyText"/>
        <w:rPr>
          <w:lang w:val="en-GB"/>
        </w:rPr>
      </w:pPr>
      <w:r w:rsidRPr="00E53719">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E53719">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E53719">
        <w:rPr>
          <w:lang w:val="en-GB"/>
        </w:rPr>
        <w:t xml:space="preserve"> = 333.20; Figure </w:t>
      </w:r>
      <w:hyperlink w:anchor="fig:fig4-switchboard-overview">
        <w:r w:rsidRPr="00E53719">
          <w:rPr>
            <w:rStyle w:val="Hyperlink"/>
            <w:lang w:val="en-GB"/>
          </w:rPr>
          <w:t>4</w:t>
        </w:r>
      </w:hyperlink>
      <w:r w:rsidRPr="00E53719">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E53719">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E53719">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E53719">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E53719">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E53719">
        <w:rPr>
          <w:lang w:val="en-GB"/>
        </w:rPr>
        <w:t xml:space="preserve"> = 351.57). In summary, all mechanisms that allowed a model to exploit the positive association between gaze and choice improved model fit on average.</w:t>
      </w:r>
    </w:p>
    <w:p w14:paraId="40E08E21" w14:textId="77777777" w:rsidR="00B76BF1" w:rsidRPr="00E53719" w:rsidRDefault="00C418A2">
      <w:pPr>
        <w:pStyle w:val="BodyText"/>
        <w:rPr>
          <w:lang w:val="en-GB"/>
        </w:rPr>
      </w:pPr>
      <w:commentRangeStart w:id="71"/>
      <w:commentRangeStart w:id="72"/>
      <w:r w:rsidRPr="00E53719">
        <w:rPr>
          <w:lang w:val="en-GB"/>
        </w:rPr>
        <w:t>The</w:t>
      </w:r>
      <w:commentRangeEnd w:id="71"/>
      <w:r w:rsidRPr="00E53719">
        <w:rPr>
          <w:lang w:val="en-GB"/>
        </w:rPr>
        <w:commentReference w:id="71"/>
      </w:r>
      <w:commentRangeEnd w:id="72"/>
      <w:r w:rsidR="00D63D4A" w:rsidRPr="00E53719">
        <w:rPr>
          <w:rStyle w:val="CommentReference"/>
          <w:lang w:val="en-GB"/>
        </w:rPr>
        <w:commentReference w:id="72"/>
      </w:r>
      <w:r w:rsidRPr="00E53719">
        <w:rPr>
          <w:lang w:val="en-GB"/>
        </w:rPr>
        <w:t xml:space="preserve"> overall best-fitting model variant was the variant identical to the GLA (Figure </w:t>
      </w:r>
      <w:hyperlink w:anchor="fig:fig4-switchboard-overview">
        <w:r w:rsidRPr="00E53719">
          <w:rPr>
            <w:rStyle w:val="Hyperlink"/>
            <w:lang w:val="en-GB"/>
          </w:rPr>
          <w:t>4</w:t>
        </w:r>
      </w:hyperlink>
      <w:r w:rsidRPr="00E53719">
        <w:rPr>
          <w:lang w:val="en-GB"/>
        </w:rPr>
        <w:t xml:space="preserve">c, Supplemental Table </w:t>
      </w:r>
      <w:r w:rsidRPr="00E53719">
        <w:rPr>
          <w:rStyle w:val="Hyperlink"/>
          <w:lang w:val="en-GB"/>
        </w:rPr>
        <w:t>3</w:t>
      </w:r>
      <w:r w:rsidRPr="00E53719">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w:t>
      </w:r>
      <w:r w:rsidRPr="00E53719">
        <w:rPr>
          <w:lang w:val="en-GB"/>
        </w:rPr>
        <w:lastRenderedPageBreak/>
        <w:t xml:space="preserve">alternative-wise but no attribute-wise gaze-discount and constant leak (Supplemental Table </w:t>
      </w:r>
      <w:hyperlink w:anchor="tab:switchboard-best-agg">
        <w:r w:rsidRPr="00E53719">
          <w:rPr>
            <w:rStyle w:val="Hyperlink"/>
            <w:rFonts w:eastAsia="Cambria"/>
            <w:lang w:val="en-GB"/>
          </w:rPr>
          <w:t>3</w:t>
        </w:r>
      </w:hyperlink>
      <w:r w:rsidRPr="00E53719">
        <w:rPr>
          <w:lang w:val="en-GB"/>
        </w:rPr>
        <w:t>). Results were more ambiguous for the comparison and inhibition mechanisms.</w:t>
      </w:r>
    </w:p>
    <w:p w14:paraId="01B9613B" w14:textId="77777777" w:rsidR="00B76BF1" w:rsidRPr="00E53719" w:rsidRDefault="00C418A2">
      <w:pPr>
        <w:pStyle w:val="BodyText"/>
        <w:rPr>
          <w:lang w:val="en-GB"/>
        </w:rPr>
      </w:pPr>
      <w:r w:rsidRPr="00E53719">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E53719">
        <w:rPr>
          <w:i/>
          <w:lang w:val="en-GB"/>
        </w:rPr>
        <w:t>hybrid variant</w:t>
      </w:r>
      <w:r w:rsidRPr="00E53719">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E53719">
        <w:rPr>
          <w:lang w:val="en-GB"/>
        </w:rPr>
        <w:t xml:space="preserve"> = 345.77; Figure </w:t>
      </w:r>
      <w:hyperlink w:anchor="fig:fig3-modelcomparison">
        <w:r w:rsidRPr="00E53719">
          <w:rPr>
            <w:rStyle w:val="Hyperlink"/>
            <w:lang w:val="en-GB"/>
          </w:rPr>
          <w:t>3</w:t>
        </w:r>
      </w:hyperlink>
      <w:r w:rsidRPr="00E53719">
        <w:rPr>
          <w:lang w:val="en-GB"/>
        </w:rPr>
        <w:t>a).</w:t>
      </w:r>
    </w:p>
    <w:p w14:paraId="3FD3D4B9" w14:textId="77777777" w:rsidR="00B76BF1" w:rsidRPr="00E53719" w:rsidRDefault="00C418A2">
      <w:pPr>
        <w:pStyle w:val="BodyText"/>
        <w:rPr>
          <w:lang w:val="en-GB"/>
        </w:rPr>
      </w:pPr>
      <w:r w:rsidRPr="00E53719">
        <w:rPr>
          <w:lang w:val="en-GB"/>
        </w:rPr>
        <w:t xml:space="preserve">Of the 160 different model variants, the GLA variant also described 17 of 40 (42.5%) participants best (Table </w:t>
      </w:r>
      <w:hyperlink w:anchor="tab:switchboard-best-ind">
        <w:r w:rsidRPr="00E53719">
          <w:rPr>
            <w:rStyle w:val="Hyperlink"/>
            <w:lang w:val="en-GB"/>
          </w:rPr>
          <w:t>2</w:t>
        </w:r>
      </w:hyperlink>
      <w:r w:rsidRPr="00E53719">
        <w:rPr>
          <w:lang w:val="en-GB"/>
        </w:rPr>
        <w:t>). Another similar variant with additive attribute integration best described additional four participants best. An additive relationship between attributes is typically assumed by models of multi-attribute multi-alternative choice (e.g., Roe, Busemeyer,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 discount. Note that gaze-dependent inhibition and leakage mechanisms can act similarly to an alternative-wise gaze discount: All three mechanisms effectively reduce accumulated evidence of non-fixated alternatives. Whereas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C949134" w14:textId="56BCCC56" w:rsidR="00B76BF1" w:rsidRPr="00E53719" w:rsidRDefault="00C418A2">
      <w:pPr>
        <w:pStyle w:val="BodyText"/>
        <w:ind w:firstLine="0"/>
        <w:jc w:val="center"/>
        <w:rPr>
          <w:lang w:val="en-GB"/>
        </w:rPr>
      </w:pPr>
      <w:del w:id="73" w:author="Felix Molter" w:date="2021-01-18T16:10:00Z">
        <w:r w:rsidRPr="00E53719" w:rsidDel="00A41DBB">
          <w:rPr>
            <w:lang w:val="en-GB"/>
          </w:rPr>
          <w:lastRenderedPageBreak/>
          <w:drawing>
            <wp:inline distT="0" distB="0" distL="0" distR="0" wp14:anchorId="72E06E77" wp14:editId="4B781B29">
              <wp:extent cx="3594100" cy="3416300"/>
              <wp:effectExtent l="0" t="0" r="0" b="0"/>
              <wp:doc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pic:cNvPicPr>
                        <a:picLocks noChangeAspect="1" noChangeArrowheads="1"/>
                      </pic:cNvPicPr>
                    </pic:nvPicPr>
                    <pic:blipFill>
                      <a:blip r:embed="rId16"/>
                      <a:stretch>
                        <a:fillRect/>
                      </a:stretch>
                    </pic:blipFill>
                    <pic:spPr bwMode="auto">
                      <a:xfrm>
                        <a:off x="0" y="0"/>
                        <a:ext cx="3594100" cy="3416300"/>
                      </a:xfrm>
                      <a:prstGeom prst="rect">
                        <a:avLst/>
                      </a:prstGeom>
                    </pic:spPr>
                  </pic:pic>
                </a:graphicData>
              </a:graphic>
            </wp:inline>
          </w:drawing>
        </w:r>
      </w:del>
      <w:ins w:id="74" w:author="Felix Molter" w:date="2021-01-18T19:09:00Z">
        <w:r w:rsidR="00190EF1" w:rsidRPr="00E53719">
          <w:rPr>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7">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ins>
    </w:p>
    <w:p w14:paraId="2A935A20" w14:textId="77777777" w:rsidR="00B76BF1" w:rsidRPr="00E53719" w:rsidRDefault="00C418A2">
      <w:pPr>
        <w:pStyle w:val="CaptionedFigure"/>
        <w:spacing w:line="276" w:lineRule="auto"/>
        <w:rPr>
          <w:lang w:val="en-GB"/>
        </w:rPr>
      </w:pPr>
      <w:r w:rsidRPr="00E53719">
        <w:rPr>
          <w:b/>
          <w:bCs/>
          <w:lang w:val="en-GB"/>
        </w:rPr>
        <w:t>Figure 5.</w:t>
      </w:r>
      <w:r w:rsidRPr="00E53719">
        <w:rPr>
          <w:lang w:val="en-GB"/>
        </w:rPr>
        <w:t xml:space="preserve"> </w:t>
      </w:r>
      <w:commentRangeStart w:id="75"/>
      <w:r w:rsidRPr="00E53719">
        <w:rPr>
          <w:b/>
          <w:bCs/>
          <w:lang w:val="en-GB"/>
        </w:rPr>
        <w:t>Predicted context effects from two variants that fit the most participants' data best individually.</w:t>
      </w:r>
      <w:r w:rsidRPr="00E53719">
        <w:rPr>
          <w:lang w:val="en-GB"/>
        </w:rPr>
        <w:t xml:space="preserve"> The top </w:t>
      </w:r>
      <w:r w:rsidRPr="00E53719">
        <w:rPr>
          <w:b/>
          <w:bCs/>
          <w:lang w:val="en-GB"/>
        </w:rPr>
        <w:t>(a, b)</w:t>
      </w:r>
      <w:r w:rsidRPr="00E53719">
        <w:rPr>
          <w:lang w:val="en-GB"/>
        </w:rPr>
        <w:t xml:space="preserve"> variant fit 17 participants best and was identical to the GLA model. The bottom </w:t>
      </w:r>
      <w:r w:rsidRPr="00E53719">
        <w:rPr>
          <w:b/>
          <w:bCs/>
          <w:lang w:val="en-GB"/>
        </w:rPr>
        <w:t>(c, d)</w:t>
      </w:r>
      <w:r w:rsidRPr="00E53719">
        <w:rPr>
          <w:lang w:val="en-GB"/>
        </w:rPr>
        <w:t xml:space="preserve"> hybrid variant fit 9 participants best and combined distance-dependent inhibition with alternative-wise gaze-discounting. While the variant without inhibition underestimated strong attraction effects </w:t>
      </w:r>
      <w:r w:rsidRPr="00E53719">
        <w:rPr>
          <w:b/>
          <w:bCs/>
          <w:lang w:val="en-GB"/>
        </w:rPr>
        <w:t>(a)</w:t>
      </w:r>
      <w:r w:rsidRPr="00E53719">
        <w:rPr>
          <w:lang w:val="en-GB"/>
        </w:rPr>
        <w:t xml:space="preserve">, </w:t>
      </w:r>
      <w:commentRangeStart w:id="76"/>
      <w:r w:rsidRPr="00E53719">
        <w:rPr>
          <w:lang w:val="en-GB"/>
        </w:rPr>
        <w:t>the hybrid variant predicted attraction effects substantially better</w:t>
      </w:r>
      <w:commentRangeEnd w:id="76"/>
      <w:r w:rsidRPr="00E53719">
        <w:rPr>
          <w:lang w:val="en-GB"/>
        </w:rPr>
        <w:commentReference w:id="76"/>
      </w:r>
      <w:r w:rsidRPr="00E53719">
        <w:rPr>
          <w:lang w:val="en-GB"/>
        </w:rPr>
        <w:commentReference w:id="77"/>
      </w:r>
      <w:r w:rsidRPr="00E53719">
        <w:rPr>
          <w:lang w:val="en-GB"/>
        </w:rPr>
        <w:t xml:space="preserve"> </w:t>
      </w:r>
      <w:r w:rsidRPr="00E53719">
        <w:rPr>
          <w:b/>
          <w:bCs/>
          <w:lang w:val="en-GB"/>
        </w:rPr>
        <w:t>(c)</w:t>
      </w:r>
      <w:r w:rsidRPr="00E53719">
        <w:rPr>
          <w:lang w:val="en-GB"/>
        </w:rPr>
        <w:t xml:space="preserve">. Predictions for compromise effects did not differ meaningfully between the two variants. Note, that because the top variant coincided with the GLA, panels </w:t>
      </w:r>
      <w:r w:rsidRPr="00E53719">
        <w:rPr>
          <w:b/>
          <w:bCs/>
          <w:lang w:val="en-GB"/>
        </w:rPr>
        <w:t>(a)</w:t>
      </w:r>
      <w:r w:rsidRPr="00E53719">
        <w:rPr>
          <w:lang w:val="en-GB"/>
        </w:rPr>
        <w:t xml:space="preserve"> and </w:t>
      </w:r>
      <w:r w:rsidRPr="00E53719">
        <w:rPr>
          <w:b/>
          <w:bCs/>
          <w:lang w:val="en-GB"/>
        </w:rPr>
        <w:t>(b)</w:t>
      </w:r>
      <w:r w:rsidRPr="00E53719">
        <w:rPr>
          <w:lang w:val="en-GB"/>
        </w:rPr>
        <w:t xml:space="preserve"> resemble Figure 3c and d (differences are due to stochasticity in simulation of choices), and shown again for illustration purpos</w:t>
      </w:r>
      <w:bookmarkStart w:id="78" w:name="fig%252525253Afig5-switchboard-pred-rst1"/>
      <w:bookmarkEnd w:id="78"/>
      <w:r w:rsidRPr="00E53719">
        <w:rPr>
          <w:lang w:val="en-GB"/>
        </w:rPr>
        <w:t>es.</w:t>
      </w:r>
      <w:commentRangeEnd w:id="75"/>
      <w:r w:rsidR="00A41DBB" w:rsidRPr="00E53719">
        <w:rPr>
          <w:rStyle w:val="CommentReference"/>
          <w:lang w:val="en-GB"/>
        </w:rPr>
        <w:commentReference w:id="75"/>
      </w:r>
    </w:p>
    <w:p w14:paraId="71F5361E" w14:textId="77777777" w:rsidR="00B76BF1" w:rsidRPr="00E53719" w:rsidRDefault="00B76BF1">
      <w:pPr>
        <w:pStyle w:val="CaptionedFigure"/>
        <w:spacing w:line="276" w:lineRule="auto"/>
        <w:rPr>
          <w:lang w:val="en-GB"/>
        </w:rPr>
      </w:pPr>
    </w:p>
    <w:p w14:paraId="672A1B73" w14:textId="77777777" w:rsidR="00B76BF1" w:rsidRPr="00E53719" w:rsidRDefault="00C418A2">
      <w:pPr>
        <w:pStyle w:val="BodyText"/>
        <w:rPr>
          <w:lang w:val="en-GB"/>
        </w:rPr>
      </w:pPr>
      <w:r w:rsidRPr="00E53719">
        <w:rPr>
          <w:lang w:val="en-GB"/>
        </w:rPr>
        <w:t xml:space="preserve">Notably, nine participants (22.5%) were best described by the previously described hybrid variant using a distance-dependent inhibition mechanism (Table </w:t>
      </w:r>
      <w:hyperlink w:anchor="tab:switchboard-best-ind">
        <w:r w:rsidRPr="00E53719">
          <w:rPr>
            <w:rStyle w:val="Hyperlink"/>
            <w:lang w:val="en-GB"/>
          </w:rPr>
          <w:t>2</w:t>
        </w:r>
      </w:hyperlink>
      <w:r w:rsidRPr="00E53719">
        <w:rPr>
          <w:lang w:val="en-GB"/>
        </w:rPr>
        <w:t>). Additional two participants were best described by other variants using distance-dependent inhibition in conjunction with an alternative-wise gaze discount.</w:t>
      </w:r>
    </w:p>
    <w:p w14:paraId="556C0309" w14:textId="77777777" w:rsidR="00B76BF1" w:rsidRPr="00E53719" w:rsidRDefault="00C418A2">
      <w:pPr>
        <w:pStyle w:val="BodyText"/>
        <w:rPr>
          <w:lang w:val="en-GB"/>
        </w:rPr>
      </w:pPr>
      <w:r w:rsidRPr="00E53719">
        <w:rPr>
          <w:lang w:val="en-GB"/>
        </w:rPr>
        <w:lastRenderedPageBreak/>
        <w:t xml:space="preserve">Counting switch-values of individually best fitting variants, most participants were best described by model variants with multiplicative integration, with alternative-wise and no attribute-wise gaze discount, with constant accumulation leak parameter and no inhibition (Supplemental Figure </w:t>
      </w:r>
      <w:hyperlink w:anchor="fig:switchboard-ind-switch-counts">
        <w:r w:rsidRPr="00E53719">
          <w:rPr>
            <w:rStyle w:val="Hyperlink"/>
            <w:rFonts w:eastAsia="Cambria"/>
            <w:lang w:val="en-GB"/>
          </w:rPr>
          <w:t>5</w:t>
        </w:r>
      </w:hyperlink>
      <w:r w:rsidRPr="00E53719">
        <w:rPr>
          <w:lang w:val="en-GB"/>
        </w:rPr>
        <w:t>), echoing the results of best fitting individual and aggregate models.</w:t>
      </w:r>
    </w:p>
    <w:p w14:paraId="2BBD5E91" w14:textId="77777777" w:rsidR="00B76BF1" w:rsidRPr="00E53719" w:rsidRDefault="00C418A2">
      <w:pPr>
        <w:pStyle w:val="BodyText"/>
        <w:rPr>
          <w:ins w:id="79" w:author="Felix Molter" w:date="2021-01-19T17:06:00Z"/>
          <w:lang w:val="en-GB"/>
        </w:rPr>
      </w:pPr>
      <w:commentRangeStart w:id="80"/>
      <w:r w:rsidRPr="00E53719">
        <w:rPr>
          <w:lang w:val="en-GB"/>
        </w:rPr>
        <w:t>Finally, we probed the switchboard variants’ ability to accurately predict individual differences in context effects.</w:t>
      </w:r>
      <w:commentRangeEnd w:id="80"/>
      <w:r w:rsidR="00C32187" w:rsidRPr="00E53719">
        <w:rPr>
          <w:rStyle w:val="CommentReference"/>
          <w:lang w:val="en-GB"/>
        </w:rPr>
        <w:commentReference w:id="80"/>
      </w:r>
      <w:r w:rsidRPr="00E53719">
        <w:rPr>
          <w:lang w:val="en-GB"/>
        </w:rPr>
        <w:t xml:space="preserve"> To this extent we compared RST predictions of the two variants that best described the most participants: The variant that coincided with the GLA (variant A in Table 2), and the </w:t>
      </w:r>
      <w:r w:rsidRPr="00E53719">
        <w:rPr>
          <w:i/>
          <w:lang w:val="en-GB"/>
        </w:rPr>
        <w:t>hybrid</w:t>
      </w:r>
      <w:r w:rsidRPr="00E53719">
        <w:rPr>
          <w:lang w:val="en-GB"/>
        </w:rPr>
        <w:t xml:space="preserve"> variant (variant B in Table 2) that described 9 participants best by combining an alternative-wise gaze-discount with distance-dependent inhibition (</w:t>
      </w:r>
      <w:commentRangeStart w:id="81"/>
      <w:r w:rsidRPr="00E53719">
        <w:rPr>
          <w:lang w:val="en-GB"/>
        </w:rPr>
        <w:t xml:space="preserve">Figure </w:t>
      </w:r>
      <w:hyperlink w:anchor="fig:fig5-switchboard-pred-rst">
        <w:r w:rsidRPr="00E53719">
          <w:rPr>
            <w:rStyle w:val="Hyperlink"/>
            <w:lang w:val="en-GB"/>
          </w:rPr>
          <w:t>5</w:t>
        </w:r>
      </w:hyperlink>
      <w:commentRangeEnd w:id="81"/>
      <w:r w:rsidRPr="00E53719">
        <w:rPr>
          <w:lang w:val="en-GB"/>
        </w:rPr>
        <w:commentReference w:id="81"/>
      </w:r>
      <w:r w:rsidRPr="00E53719">
        <w:rPr>
          <w:lang w:val="en-GB"/>
        </w:rPr>
        <w:commentReference w:id="82"/>
      </w:r>
      <w:r w:rsidRPr="00E53719">
        <w:rPr>
          <w:lang w:val="en-GB"/>
        </w:rPr>
        <w:t xml:space="preserve">). This analysis revealed that the </w:t>
      </w:r>
      <w:r w:rsidRPr="00E53719">
        <w:rPr>
          <w:i/>
          <w:lang w:val="en-GB"/>
        </w:rPr>
        <w:t>hybrid</w:t>
      </w:r>
      <w:r w:rsidRPr="00E53719">
        <w:rPr>
          <w:lang w:val="en-GB"/>
        </w:rPr>
        <w:t xml:space="preserve"> variant predicted individual differences in the attraction effect better than the GLA model, as it was also able to capture the behaviour of participants where the effect was particularly strong.</w:t>
      </w:r>
    </w:p>
    <w:p w14:paraId="26343E54" w14:textId="3DC60DCE" w:rsidR="00166849" w:rsidRPr="00E53719" w:rsidRDefault="00166849" w:rsidP="00166849">
      <w:pPr>
        <w:pStyle w:val="BodyText"/>
        <w:numPr>
          <w:ilvl w:val="0"/>
          <w:numId w:val="11"/>
        </w:numPr>
        <w:rPr>
          <w:ins w:id="83" w:author="Felix Molter" w:date="2021-01-19T17:07:00Z"/>
          <w:lang w:val="en-GB"/>
        </w:rPr>
        <w:pPrChange w:id="84" w:author="Felix Molter" w:date="2021-01-19T17:06:00Z">
          <w:pPr>
            <w:pStyle w:val="BodyText"/>
          </w:pPr>
        </w:pPrChange>
      </w:pPr>
      <w:ins w:id="85" w:author="Felix Molter" w:date="2021-01-19T17:06:00Z">
        <w:r w:rsidRPr="00E53719">
          <w:rPr>
            <w:lang w:val="en-GB"/>
          </w:rPr>
          <w:t xml:space="preserve">It did so, by predicting higher probability of target choices, and lower probability of competitor choices </w:t>
        </w:r>
      </w:ins>
      <w:ins w:id="86" w:author="Felix Molter" w:date="2021-01-19T17:07:00Z">
        <w:r w:rsidRPr="00E53719">
          <w:rPr>
            <w:lang w:val="en-GB"/>
          </w:rPr>
          <w:t xml:space="preserve">in attraction trials </w:t>
        </w:r>
      </w:ins>
      <w:ins w:id="87" w:author="Felix Molter" w:date="2021-01-19T17:06:00Z">
        <w:r w:rsidRPr="00E53719">
          <w:rPr>
            <w:lang w:val="en-GB"/>
          </w:rPr>
          <w:t>(upwards shift in Fig 5e</w:t>
        </w:r>
      </w:ins>
      <w:ins w:id="88" w:author="Felix Molter" w:date="2021-01-19T17:08:00Z">
        <w:r w:rsidR="003220BF" w:rsidRPr="00E53719">
          <w:rPr>
            <w:lang w:val="en-GB"/>
          </w:rPr>
          <w:t>, also supplemental figure with predicted choice probabilities</w:t>
        </w:r>
      </w:ins>
      <w:ins w:id="89" w:author="Felix Molter" w:date="2021-01-19T17:06:00Z">
        <w:r w:rsidRPr="00E53719">
          <w:rPr>
            <w:lang w:val="en-GB"/>
          </w:rPr>
          <w:t>)</w:t>
        </w:r>
      </w:ins>
      <w:ins w:id="90" w:author="Felix Molter" w:date="2021-01-19T17:07:00Z">
        <w:r w:rsidRPr="00E53719">
          <w:rPr>
            <w:lang w:val="en-GB"/>
          </w:rPr>
          <w:t>. This was driven primarily by the model’s predictions for individuals with strong attraction effects (supplemental figure).</w:t>
        </w:r>
      </w:ins>
    </w:p>
    <w:p w14:paraId="311F2C39" w14:textId="361864C8" w:rsidR="00166849" w:rsidRPr="00E53719" w:rsidRDefault="00166849" w:rsidP="00166849">
      <w:pPr>
        <w:pStyle w:val="BodyText"/>
        <w:numPr>
          <w:ilvl w:val="0"/>
          <w:numId w:val="11"/>
        </w:numPr>
        <w:rPr>
          <w:lang w:val="en-GB"/>
        </w:rPr>
        <w:pPrChange w:id="91" w:author="Felix Molter" w:date="2021-01-19T17:06:00Z">
          <w:pPr>
            <w:pStyle w:val="BodyText"/>
          </w:pPr>
        </w:pPrChange>
      </w:pPr>
      <w:ins w:id="92" w:author="Felix Molter" w:date="2021-01-19T17:07:00Z">
        <w:r w:rsidRPr="00E53719">
          <w:rPr>
            <w:lang w:val="en-GB"/>
          </w:rPr>
          <w:t>The two variants predictions differed much less in compromise trials</w:t>
        </w:r>
      </w:ins>
    </w:p>
    <w:p w14:paraId="1AE1A28A" w14:textId="77777777" w:rsidR="00B76BF1" w:rsidRPr="00E53719" w:rsidRDefault="00C418A2">
      <w:pPr>
        <w:pStyle w:val="Heading1"/>
        <w:rPr>
          <w:lang w:val="en-GB"/>
        </w:rPr>
      </w:pPr>
      <w:r w:rsidRPr="00E53719">
        <w:rPr>
          <w:lang w:val="en-GB"/>
        </w:rPr>
        <w:t>Discussion</w:t>
      </w:r>
    </w:p>
    <w:p w14:paraId="5D255502" w14:textId="16AA615C" w:rsidR="00B76BF1" w:rsidRPr="00E53719" w:rsidRDefault="00C418A2">
      <w:pPr>
        <w:pStyle w:val="FirstParagraph"/>
        <w:rPr>
          <w:lang w:val="en-GB"/>
        </w:rPr>
      </w:pPr>
      <w:r w:rsidRPr="00E53719">
        <w:rPr>
          <w:lang w:val="en-GB"/>
        </w:rPr>
        <w:t xml:space="preserve">In this study, we investigated if risky choice behaviour can be characterized by a gaze-dependent evidence accumulation framework, especially when choices are influenced by the context of available alternatives. In line with previous findings, we found choice behaviour to be context-dependent (Busemeyer, Gluth, Rieskamp,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description of their choices. Finally, in a systematic search across a large space of possible model variants, we showed that gaze-dependent accumulation describes all participants’ behaviour best. </w:t>
      </w:r>
      <w:r w:rsidRPr="00E53719">
        <w:rPr>
          <w:lang w:val="en-GB"/>
        </w:rPr>
        <w:lastRenderedPageBreak/>
        <w:t>Predicting data from participants with particularly strong attraction effects, however, required inclusion of an</w:t>
      </w:r>
      <w:r w:rsidR="0016431B" w:rsidRPr="00E53719">
        <w:rPr>
          <w:lang w:val="en-GB"/>
        </w:rPr>
        <w:t xml:space="preserve"> </w:t>
      </w:r>
      <w:r w:rsidRPr="00E53719">
        <w:rPr>
          <w:lang w:val="en-GB"/>
        </w:rPr>
        <w:t>additional similarity-based inhibition mechanism.</w:t>
      </w:r>
    </w:p>
    <w:p w14:paraId="7C3B1580" w14:textId="77777777" w:rsidR="00B76BF1" w:rsidRPr="00E53719" w:rsidRDefault="00C418A2">
      <w:pPr>
        <w:pStyle w:val="BodyText"/>
        <w:rPr>
          <w:lang w:val="en-GB"/>
        </w:rPr>
      </w:pPr>
      <w:r w:rsidRPr="00E53719">
        <w:rPr>
          <w:lang w:val="en-GB"/>
        </w:rPr>
        <w:t>Prior work could already demonstrate that choices between risky prospects can be influenced by the set of available alternatives, producing attraction (Huber, Payne, &amp; Puto, 1982; Mohr, Heekeren, &amp; Rieskamp, 2017; Soltani, De Martino, &amp; Camerer, 2012; Wedell, 1991), similarity (Tversky, 1972) and other decoy effects (Soltani,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E53719" w:rsidRDefault="00C418A2">
      <w:pPr>
        <w:pStyle w:val="BodyText"/>
        <w:rPr>
          <w:lang w:val="en-GB"/>
        </w:rPr>
      </w:pPr>
      <w:r w:rsidRPr="00E53719">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Rieskamp,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0E1B7A63" w14:textId="77777777" w:rsidR="00B76BF1" w:rsidRPr="00E53719" w:rsidRDefault="00C418A2">
      <w:pPr>
        <w:pStyle w:val="BodyText"/>
        <w:rPr>
          <w:ins w:id="93" w:author="Felix Molter" w:date="2021-01-19T17:09:00Z"/>
          <w:lang w:val="en-GB"/>
        </w:rPr>
      </w:pPr>
      <w:r w:rsidRPr="00E53719">
        <w:rPr>
          <w:lang w:val="en-GB"/>
        </w:rPr>
        <w:t xml:space="preserve">Process data like eye movement recordings are frequently used to test competing theoretical accounts of risky decision making (Fiedler &amp; Glöckner, 2012; Glöckner &amp; Herbold, 2011; Johnson, Schulte-Mecklenbeck, &amp; Willemsen, 2008; Payne &amp; Braunstein, 1978; Rosen &amp; Rosenkoetter, 1976; Russo &amp; Dosher, 1983). Models can be considered implausible, if process data are incompatible with their predicted </w:t>
      </w:r>
      <w:commentRangeStart w:id="94"/>
      <w:commentRangeStart w:id="95"/>
      <w:r w:rsidRPr="00E53719">
        <w:rPr>
          <w:lang w:val="en-GB"/>
        </w:rPr>
        <w:t>decision process</w:t>
      </w:r>
      <w:commentRangeEnd w:id="94"/>
      <w:r w:rsidRPr="00E53719">
        <w:rPr>
          <w:lang w:val="en-GB"/>
        </w:rPr>
        <w:commentReference w:id="94"/>
      </w:r>
      <w:commentRangeEnd w:id="95"/>
      <w:r w:rsidR="006151ED" w:rsidRPr="00E53719">
        <w:rPr>
          <w:rStyle w:val="CommentReference"/>
          <w:lang w:val="en-GB"/>
        </w:rPr>
        <w:commentReference w:id="95"/>
      </w:r>
      <w:r w:rsidRPr="00E53719">
        <w:rPr>
          <w:lang w:val="en-GB"/>
        </w:rPr>
        <w:t>.</w:t>
      </w:r>
    </w:p>
    <w:p w14:paraId="10DD2CC5" w14:textId="624AE11C" w:rsidR="00076D21" w:rsidRPr="00E53719" w:rsidRDefault="00076D21" w:rsidP="00076D21">
      <w:pPr>
        <w:pStyle w:val="BodyText"/>
        <w:numPr>
          <w:ilvl w:val="0"/>
          <w:numId w:val="11"/>
        </w:numPr>
        <w:rPr>
          <w:lang w:val="en-GB"/>
        </w:rPr>
        <w:pPrChange w:id="96" w:author="Felix Molter" w:date="2021-01-19T17:09:00Z">
          <w:pPr>
            <w:pStyle w:val="BodyText"/>
          </w:pPr>
        </w:pPrChange>
      </w:pPr>
      <w:ins w:id="97" w:author="Felix Molter" w:date="2021-01-19T17:09:00Z">
        <w:r w:rsidRPr="00E53719">
          <w:rPr>
            <w:lang w:val="en-GB"/>
          </w:rPr>
          <w:t>Discuss models’ abilities to capture gaze-choice association and how this “eliminates” MDFT and EU here</w:t>
        </w:r>
      </w:ins>
    </w:p>
    <w:p w14:paraId="4F32EF26" w14:textId="28D57DAB" w:rsidR="00B76BF1" w:rsidRPr="00E53719" w:rsidRDefault="00C418A2">
      <w:pPr>
        <w:pStyle w:val="BodyText"/>
        <w:rPr>
          <w:lang w:val="en-GB"/>
        </w:rPr>
      </w:pPr>
      <w:r w:rsidRPr="00E53719">
        <w:rPr>
          <w:lang w:val="en-GB"/>
        </w:rPr>
        <w:t xml:space="preserve">Our study involved choices between three risky gambles designed to elicit context effects. Prior research makes contradicting predictions about the direction of information search </w:t>
      </w:r>
      <w:r w:rsidRPr="00E53719">
        <w:rPr>
          <w:lang w:val="en-GB"/>
        </w:rPr>
        <w:lastRenderedPageBreak/>
        <w:t>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Glöckner, 2012; Glöckner &amp; Herbold, 2011; Johnson, Schulte-Mecklenbeck, &amp; Willemsen, 2008, but see Russo &amp; Dosher, 1983; Su et al., 2013</w:t>
      </w:r>
      <w:r w:rsidR="001205B6" w:rsidRPr="00E53719">
        <w:rPr>
          <w:lang w:val="en-GB"/>
        </w:rPr>
        <w:t xml:space="preserve">, or in the </w:t>
      </w:r>
      <w:r w:rsidR="0024469B" w:rsidRPr="00E53719">
        <w:rPr>
          <w:lang w:val="en-GB"/>
        </w:rPr>
        <w:t xml:space="preserve">related </w:t>
      </w:r>
      <w:r w:rsidR="001205B6" w:rsidRPr="00E53719">
        <w:rPr>
          <w:lang w:val="en-GB"/>
        </w:rPr>
        <w:t>domain of intertemporal choice</w:t>
      </w:r>
      <w:r w:rsidR="0024469B" w:rsidRPr="00E53719">
        <w:rPr>
          <w:lang w:val="en-GB"/>
        </w:rPr>
        <w:t>: Amasino et al., 2019</w:t>
      </w:r>
      <w:r w:rsidRPr="00E53719">
        <w:rPr>
          <w:lang w:val="en-GB"/>
        </w:rPr>
        <w:t>).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Ansani, &amp; Paglieri (2020) found that adding an asymmetrically dominated decoy to a choice set shifts eye movements towards the target’s dominant attribute, and results in more transitions between target and decoy. Cataldo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2C75A19A" w:rsidR="00B76BF1" w:rsidRPr="00E53719" w:rsidRDefault="00C418A2">
      <w:pPr>
        <w:pStyle w:val="BodyText"/>
        <w:rPr>
          <w:lang w:val="en-GB"/>
        </w:rPr>
      </w:pPr>
      <w:r w:rsidRPr="00E53719">
        <w:rPr>
          <w:lang w:val="en-GB"/>
        </w:rPr>
        <w:t xml:space="preserve">Across decision making domains longer gaze towards an alternative is generally associated with a higher probability of choosing it (Armel, Beaumel, &amp; Rangel, 2008; Ashby, Jekel, Dickert, &amp; Glöckner, 2016; Cavanagh, Wiecki, Kochar, &amp; Frank, 2014; Folke, Jacobsen, Fleming, &amp; De Martino, 2016; Gluth, Kern, Kortmann, &amp; Vitali, 2020; Krajbich, Armel, &amp; Rangel, 2010; Krajbich &amp; Rangel, 2011; Shimojo, Simion, Shimojo, &amp; Scheier, 2003; Smith &amp; Krajbich, 2018; Tavares, Perona, &amp; Rangel, 2017; Towal, Mormann, &amp; Koch, 2013; Vaidya &amp; Fellows, 2015). This association is also present in choices between risky prospects (Fiedler &amp; Glöckner, 2012; Glickman et al., 2019; Glöckner &amp; Herbold, 2011; Smith &amp; Krajbich, 2018; Stewart, Hermens, &amp; Matthews, 2016). </w:t>
      </w:r>
      <w:r w:rsidR="000C5B01" w:rsidRPr="00E53719">
        <w:rPr>
          <w:lang w:val="en-GB"/>
        </w:rPr>
        <w:t xml:space="preserve">While these </w:t>
      </w:r>
      <w:r w:rsidRPr="00E53719">
        <w:rPr>
          <w:lang w:val="en-GB"/>
        </w:rPr>
        <w:t>results are mostly correlational</w:t>
      </w:r>
      <w:r w:rsidR="000C5B01" w:rsidRPr="00E53719">
        <w:rPr>
          <w:lang w:val="en-GB"/>
        </w:rPr>
        <w:t>, m</w:t>
      </w:r>
      <w:r w:rsidRPr="00E53719">
        <w:rPr>
          <w:lang w:val="en-GB"/>
        </w:rPr>
        <w:t xml:space="preserve">ultiple </w:t>
      </w:r>
      <w:r w:rsidRPr="00E53719">
        <w:rPr>
          <w:lang w:val="en-GB"/>
        </w:rPr>
        <w:lastRenderedPageBreak/>
        <w:t>studies, found that manipulation of gaze towards an alternative increases its likelihood of being chosen</w:t>
      </w:r>
      <w:r w:rsidR="000C5B01" w:rsidRPr="00E53719">
        <w:rPr>
          <w:lang w:val="en-GB"/>
        </w:rPr>
        <w:t>, suggesting that gaze allocation influences choice</w:t>
      </w:r>
      <w:r w:rsidRPr="00E53719">
        <w:rPr>
          <w:lang w:val="en-GB"/>
        </w:rPr>
        <w:t xml:space="preserve"> (Armel, Beaumel, &amp; Rangel, 2008; Liu et al., 2020; Pärnamets et al., 2015; Shimojo, Simion, Shimojo, &amp; Scheier, 2003; Sui, Liu, &amp; Rao, 2020; Tavares, Perona, &amp; Rangel, 2017).</w:t>
      </w:r>
    </w:p>
    <w:p w14:paraId="4CDD8723" w14:textId="26D7DA7D" w:rsidR="00B76BF1" w:rsidRPr="00E53719" w:rsidRDefault="00C418A2">
      <w:pPr>
        <w:pStyle w:val="BodyText"/>
        <w:rPr>
          <w:lang w:val="en-GB"/>
        </w:rPr>
      </w:pPr>
      <w:r w:rsidRPr="00E53719">
        <w:rPr>
          <w:lang w:val="en-GB"/>
        </w:rPr>
        <w:t xml:space="preserve">The positive association between gaze and choice is also present in our data: Ultimately chosen gambles were looked at longer than others, and </w:t>
      </w:r>
      <w:r w:rsidR="000C5B01" w:rsidRPr="00E53719">
        <w:rPr>
          <w:lang w:val="en-GB"/>
        </w:rPr>
        <w:t>the</w:t>
      </w:r>
      <w:r w:rsidRPr="00E53719">
        <w:rPr>
          <w:lang w:val="en-GB"/>
        </w:rPr>
        <w:t xml:space="preserve"> effect increased over the course of a trial</w:t>
      </w:r>
      <w:r w:rsidR="00846B5B" w:rsidRPr="00E53719">
        <w:rPr>
          <w:lang w:val="en-GB"/>
        </w:rPr>
        <w:t xml:space="preserve"> (see Supplementary </w:t>
      </w:r>
      <w:r w:rsidR="00AD110F" w:rsidRPr="00E53719">
        <w:rPr>
          <w:lang w:val="en-GB"/>
        </w:rPr>
        <w:t>Analyses</w:t>
      </w:r>
      <w:r w:rsidR="00846B5B" w:rsidRPr="00E53719">
        <w:rPr>
          <w:lang w:val="en-GB"/>
        </w:rPr>
        <w:t>)</w:t>
      </w:r>
      <w:r w:rsidRPr="00E53719">
        <w:rPr>
          <w:lang w:val="en-GB"/>
        </w:rPr>
        <w:t>.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E53719">
        <w:rPr>
          <w:lang w:val="en-GB"/>
        </w:rPr>
        <w:t>s</w:t>
      </w:r>
      <w:r w:rsidRPr="00E53719">
        <w:rPr>
          <w:lang w:val="en-GB"/>
        </w:rPr>
        <w:t xml:space="preserve"> to predict context-dependent choice. Our data illustrate that this contextual modulation of gaze is indeed present.</w:t>
      </w:r>
    </w:p>
    <w:p w14:paraId="69962EA4" w14:textId="77777777" w:rsidR="00B76BF1" w:rsidRPr="00E53719" w:rsidRDefault="00C418A2">
      <w:pPr>
        <w:pStyle w:val="BodyText"/>
        <w:rPr>
          <w:lang w:val="en-GB"/>
        </w:rPr>
      </w:pPr>
      <w:r w:rsidRPr="00E53719">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(Gluth, Spektor, &amp; Rieskamp, 2018) and food items (Gluth, Kern, Kortmann, &amp; Vitali, 2020). This mediation through gaze, formalized by a gaze-dependent accumulation model, provided a better description of the observed data than competing accounts. Adding to other work implicating mechanisms of visual attention in the emergence of context effects (Cataldo &amp; Cohen, 2019; Trueblood &amp; Dasari, 2017), our work shows how gaze can mediate context effects in a similar way: Choice sets affect the distribution of gaze, which in turn affects the choice process.</w:t>
      </w:r>
    </w:p>
    <w:p w14:paraId="41883D1E" w14:textId="390029E6" w:rsidR="00B76BF1" w:rsidRPr="00E53719" w:rsidRDefault="00C418A2">
      <w:pPr>
        <w:pStyle w:val="BodyText"/>
        <w:rPr>
          <w:lang w:val="en-GB"/>
        </w:rPr>
      </w:pPr>
      <w:r w:rsidRPr="00E53719">
        <w:rPr>
          <w:lang w:val="en-GB"/>
        </w:rPr>
        <w:t xml:space="preserve">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(Rieskamp, Busemeyer, &amp; Mellers, 2006). To explain context effects, multiple competing accounts have been proposed (Bhatia, 2013; Noguchi &amp; Stewart, 2018; Roe, Busemeyer, &amp; </w:t>
      </w:r>
      <w:r w:rsidRPr="00E53719">
        <w:rPr>
          <w:lang w:val="en-GB"/>
        </w:rPr>
        <w:lastRenderedPageBreak/>
        <w:t xml:space="preserve">Townsend, 2001; Soltani, De Martino, &amp; Camerer, 2012; Trueblood, Brown, &amp; Heathcote, 2014; Tsetsos, Chater, &amp; Usher, 2012; Usher &amp; McClelland, 2004; Wollschläger &amp; Diederich, 2012, see Turner, Schley, Muller, &amp; Tsetsos, 2018, for a taxonomy of mechanisms and overview). </w:t>
      </w:r>
    </w:p>
    <w:p w14:paraId="229D8530" w14:textId="77777777" w:rsidR="00B76BF1" w:rsidRPr="00E53719" w:rsidRDefault="00C418A2">
      <w:pPr>
        <w:pStyle w:val="BodyText"/>
        <w:rPr>
          <w:lang w:val="en-GB"/>
        </w:rPr>
      </w:pPr>
      <w:r w:rsidRPr="00E53719">
        <w:rPr>
          <w:lang w:val="en-GB"/>
        </w:rPr>
        <w:t xml:space="preserve">These models often assume that an alternative’s value is computed in comparisons to other alternatives on single attributes (e.g., Roe, Busemeyer, &amp; Townsend, 2001; Usher &amp; McClelland, 2004), that the considered attribute dimension switches stochastically from moment to moment (e.g., Bhatia, 2013; Roe, Busemeyer, &amp; Townsend, 2001; Usher &amp; McClelland, 2004), and that choices result from accumulation (often imperfect, i.e., leaky) of evidence until a threshold is reached (Bhatia, 2013; Roe, Busemeyer, &amp; Townsend, 2001; Trueblood, Brown, &amp; Heathcote, 2014; Usher &amp; McClelland, 2004). Switching between attribute dimensions can introduce correlations between accumulators for similar alternatives, generating similarity effects (Bhatia, 2013; Roe, Busemeyer, &amp; Townsend, 2001; Turner, Schley,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Busemeyer, &amp; Townsend, 2001). Non-linear value functions discounting alternatives with extreme attribute values can produce compromise effects (Trueblood, Brown, &amp; Heathcote, 2014). </w:t>
      </w:r>
    </w:p>
    <w:p w14:paraId="100B3B63" w14:textId="77777777" w:rsidR="00B76BF1" w:rsidRPr="00E53719" w:rsidRDefault="00C418A2">
      <w:pPr>
        <w:pStyle w:val="BodyText"/>
        <w:rPr>
          <w:lang w:val="en-GB"/>
        </w:rPr>
      </w:pPr>
      <w:r w:rsidRPr="00E53719">
        <w:rPr>
          <w:lang w:val="en-GB"/>
        </w:rPr>
        <w:t xml:space="preserve">However, while they propose precise psychological processes leading up to decisions, their relationship to observable process data, like eye movement recordings, remains implicit. For example, the switching between attribute dimensions is often considered an attentional mechanism (Bhatia, 2013; Roe, Busemeyer, &amp; Townsend, 2001; Turner, Schley,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 (Cavanagh, Wiecki, Kochar, &amp; Frank, 2014; Glickman et al., 2019; Krajbich, Armel, &amp; Rangel, 2010; Krajbich &amp; Rangel, 2011; Molter, Thomas, Heekeren, &amp; Mohr, 2019; Thomas, </w:t>
      </w:r>
      <w:r w:rsidRPr="00E53719">
        <w:rPr>
          <w:lang w:val="en-GB"/>
        </w:rPr>
        <w:lastRenderedPageBreak/>
        <w:t>Molter, Krajbich, Heekeren, &amp; Mohr, 2019), which propose a formal account of the association between gaze and choice.</w:t>
      </w:r>
    </w:p>
    <w:p w14:paraId="296F72D1" w14:textId="3A6A2169" w:rsidR="005644D3" w:rsidRPr="00E53719" w:rsidRDefault="00C418A2">
      <w:pPr>
        <w:pStyle w:val="BodyText"/>
        <w:rPr>
          <w:lang w:val="en-GB"/>
        </w:rPr>
      </w:pPr>
      <w:r w:rsidRPr="00E53719">
        <w:rPr>
          <w:lang w:val="en-GB"/>
        </w:rPr>
        <w:t>In our study, a straightforward three-alternative extension of gaze-dependent accumulation model previously applied to binary risky choice (Glickman et al., 2019) explained context-dependent choice data best. Remarkably, it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because gaze itself depended on the context of available alternatives. This model performed best even across a large space of models, which included variants using additive attribute integration, attribute-wise gaze-discount and accumulation of comparative values. Such variants resemble extant models of context-dependent choice (e.g., MDFT; Roe, Busemeyer, &amp; Townsend, 2001), as they accumulate results from single attribute comparisons. Yet they performed worse, even when they included gaze-dependency. Our results thus question whether models</w:t>
      </w:r>
      <w:r w:rsidR="00257877" w:rsidRPr="00E53719">
        <w:rPr>
          <w:lang w:val="en-GB"/>
        </w:rPr>
        <w:t xml:space="preserve"> of context-dependent choice</w:t>
      </w:r>
      <w:r w:rsidRPr="00E53719">
        <w:rPr>
          <w:lang w:val="en-GB"/>
        </w:rPr>
        <w:t xml:space="preserve"> must </w:t>
      </w:r>
      <w:r w:rsidR="00257877" w:rsidRPr="00E53719">
        <w:rPr>
          <w:lang w:val="en-GB"/>
        </w:rPr>
        <w:t xml:space="preserve">use </w:t>
      </w:r>
      <w:r w:rsidRPr="00E53719">
        <w:rPr>
          <w:lang w:val="en-GB"/>
        </w:rPr>
        <w:t>attribute-wise comparisons</w:t>
      </w:r>
      <w:r w:rsidR="00257877" w:rsidRPr="00E53719">
        <w:rPr>
          <w:lang w:val="en-GB"/>
        </w:rPr>
        <w:t xml:space="preserve"> over alternative-wise integration of attributes</w:t>
      </w:r>
      <w:r w:rsidRPr="00E53719">
        <w:rPr>
          <w:lang w:val="en-GB"/>
        </w:rPr>
        <w:t xml:space="preserve">. However, we also found that strong context effects could be predicted best using an additional inhibition mechanism based on alternatives’ similarity (which is comparative in nature), while still using alternative-wise valuation at its core. This raises the possibility of multiple parallel processes (i.e., within-alternative valuation </w:t>
      </w:r>
      <w:r w:rsidRPr="00E53719">
        <w:rPr>
          <w:i/>
          <w:lang w:val="en-GB"/>
        </w:rPr>
        <w:t>and</w:t>
      </w:r>
      <w:r w:rsidRPr="00E53719">
        <w:rPr>
          <w:lang w:val="en-GB"/>
        </w:rPr>
        <w:t xml:space="preserve"> comparative mechanisms). Even though this variant described only a subset of participants best, the inhibition mechanism might still be present for other participants, but not strong enough to justify increased complexity in the model comparison.</w:t>
      </w:r>
      <w:r w:rsidR="005644D3" w:rsidRPr="00E53719">
        <w:rPr>
          <w:lang w:val="en-GB"/>
        </w:rPr>
        <w:t xml:space="preserve"> </w:t>
      </w:r>
    </w:p>
    <w:p w14:paraId="7319D59E" w14:textId="584124BA" w:rsidR="00B76BF1" w:rsidRPr="00E53719" w:rsidRDefault="005644D3">
      <w:pPr>
        <w:pStyle w:val="BodyText"/>
        <w:rPr>
          <w:lang w:val="en-GB"/>
        </w:rPr>
      </w:pPr>
      <w:r w:rsidRPr="00E53719">
        <w:rPr>
          <w:lang w:val="en-GB"/>
        </w:rPr>
        <w:t xml:space="preserve">More generally, as gaze-dependence was present in every best-performing model, our results suggest that extant models of context-dependent choice are likely to benefit from implementing gaze-dependence, too. </w:t>
      </w:r>
      <w:r w:rsidR="00C418A2" w:rsidRPr="00E53719">
        <w:rPr>
          <w:lang w:val="en-GB"/>
        </w:rPr>
        <w:t>Our analyses showed that once the playing field is leveled this way, other theoretical aspects can be compared more appropriately. Explicitly formalizing the relationship between model variables and eye movement recordings will result in more testable predictions that can help distinguish and evaluate competing theories.</w:t>
      </w:r>
    </w:p>
    <w:p w14:paraId="4124F7F9" w14:textId="181D5EA9" w:rsidR="00B76BF1" w:rsidRPr="00E53719" w:rsidRDefault="00C418A2">
      <w:pPr>
        <w:pStyle w:val="BodyText"/>
        <w:rPr>
          <w:lang w:val="en-GB"/>
        </w:rPr>
      </w:pPr>
      <w:r w:rsidRPr="00E53719">
        <w:rPr>
          <w:lang w:val="en-GB"/>
        </w:rPr>
        <w:lastRenderedPageBreak/>
        <w:t xml:space="preserve">In sum, we find support for gaze-dependent evidence accumulation in complex, context-dependent risky choice. The presented model </w:t>
      </w:r>
      <w:r w:rsidR="005644D3" w:rsidRPr="00E53719">
        <w:rPr>
          <w:lang w:val="en-GB"/>
        </w:rPr>
        <w:t xml:space="preserve">class </w:t>
      </w:r>
      <w:r w:rsidRPr="00E53719">
        <w:rPr>
          <w:lang w:val="en-GB"/>
        </w:rPr>
        <w:t>is compatible with observed transition data, and uses the contextual modulation of gaze in addition to a distance-dependent inhibition mechanism to predict context effec</w:t>
      </w:r>
      <w:bookmarkStart w:id="98" w:name="discussion"/>
      <w:bookmarkEnd w:id="98"/>
      <w:r w:rsidRPr="00E53719">
        <w:rPr>
          <w:lang w:val="en-GB"/>
        </w:rPr>
        <w:t>ts.</w:t>
      </w:r>
    </w:p>
    <w:p w14:paraId="4249E2C0" w14:textId="77777777" w:rsidR="00B76BF1" w:rsidRPr="00E53719" w:rsidRDefault="00C418A2">
      <w:pPr>
        <w:pStyle w:val="Heading1"/>
        <w:rPr>
          <w:lang w:val="en-GB"/>
        </w:rPr>
      </w:pPr>
      <w:r w:rsidRPr="00E53719">
        <w:rPr>
          <w:lang w:val="en-GB"/>
        </w:rPr>
        <w:t>Methods</w:t>
      </w:r>
    </w:p>
    <w:p w14:paraId="278CAAAE" w14:textId="77777777" w:rsidR="00B76BF1" w:rsidRPr="00E53719" w:rsidRDefault="00C418A2">
      <w:pPr>
        <w:pStyle w:val="Heading2"/>
        <w:rPr>
          <w:lang w:val="en-GB"/>
        </w:rPr>
      </w:pPr>
      <w:r w:rsidRPr="00E53719">
        <w:rPr>
          <w:lang w:val="en-GB"/>
        </w:rPr>
        <w:t>Participants</w:t>
      </w:r>
    </w:p>
    <w:p w14:paraId="5A7CA143" w14:textId="35E57EC2" w:rsidR="00B76BF1" w:rsidRPr="00E53719" w:rsidRDefault="00C418A2">
      <w:pPr>
        <w:pStyle w:val="FirstParagraph"/>
        <w:rPr>
          <w:lang w:val="en-GB"/>
        </w:rPr>
      </w:pPr>
      <w:r w:rsidRPr="00E53719">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E53719">
        <w:rPr>
          <w:lang w:val="en-GB"/>
        </w:rPr>
        <w:t xml:space="preserve"> s.d. age 27.2 </w:t>
      </w:r>
      <m:oMath>
        <m:r>
          <w:rPr>
            <w:rFonts w:ascii="Cambria Math" w:hAnsi="Cambria Math"/>
            <w:lang w:val="en-GB"/>
          </w:rPr>
          <m:t>±</m:t>
        </m:r>
      </m:oMath>
      <w:r w:rsidRPr="00E53719">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bookmarkStart w:id="99" w:name="participants"/>
      <w:bookmarkEnd w:id="99"/>
    </w:p>
    <w:p w14:paraId="7A436F30" w14:textId="77777777" w:rsidR="00B76BF1" w:rsidRPr="00E53719" w:rsidRDefault="00C418A2">
      <w:pPr>
        <w:pStyle w:val="Heading2"/>
        <w:rPr>
          <w:lang w:val="en-GB"/>
        </w:rPr>
      </w:pPr>
      <w:r w:rsidRPr="00E53719">
        <w:rPr>
          <w:lang w:val="en-GB"/>
        </w:rPr>
        <w:t>Task and stimuli</w:t>
      </w:r>
    </w:p>
    <w:p w14:paraId="080D7B34" w14:textId="139F3728" w:rsidR="00B76BF1" w:rsidRPr="00E53719" w:rsidRDefault="00C418A2">
      <w:pPr>
        <w:pStyle w:val="FirstParagraph"/>
        <w:rPr>
          <w:lang w:val="en-GB"/>
        </w:rPr>
      </w:pPr>
      <w:r w:rsidRPr="00E53719">
        <w:rPr>
          <w:lang w:val="en-GB"/>
        </w:rPr>
        <w:t xml:space="preserve">Participants performed a value-based choice task with stimuli designed to elicit attraction and compromise effects (Figure </w:t>
      </w:r>
      <w:hyperlink w:anchor="fig:fig1-task">
        <w:r w:rsidRPr="00E53719">
          <w:rPr>
            <w:rStyle w:val="Hyperlink"/>
            <w:lang w:val="en-GB"/>
          </w:rPr>
          <w:t>1</w:t>
        </w:r>
      </w:hyperlink>
      <w:r w:rsidRPr="00E53719">
        <w:rPr>
          <w:lang w:val="en-GB"/>
        </w:rPr>
        <w:t xml:space="preserve">). Each trial started with a 1.5 s fixation cross at the screen center. Then, three all-or-nothing gambles were presented next to each other on the screen. Gambles were described by a probability </w:t>
      </w:r>
      <m:oMath>
        <m:r>
          <w:rPr>
            <w:rFonts w:ascii="Cambria Math" w:hAnsi="Cambria Math"/>
            <w:lang w:val="en-GB"/>
          </w:rPr>
          <m:t>p</m:t>
        </m:r>
      </m:oMath>
      <w:r w:rsidRPr="00E53719">
        <w:rPr>
          <w:lang w:val="en-GB"/>
        </w:rPr>
        <w:t xml:space="preserve"> to win outcome </w:t>
      </w:r>
      <m:oMath>
        <m:r>
          <w:rPr>
            <w:rFonts w:ascii="Cambria Math" w:hAnsi="Cambria Math"/>
            <w:lang w:val="en-GB"/>
          </w:rPr>
          <m:t>m</m:t>
        </m:r>
      </m:oMath>
      <w:r w:rsidRPr="00E53719">
        <w:rPr>
          <w:lang w:val="en-GB"/>
        </w:rPr>
        <w:t xml:space="preserve"> (and winning nothing otherwise). Each gamble was enclosed by a rectangle. Gamble attributes </w:t>
      </w:r>
      <m:oMath>
        <m:r>
          <w:rPr>
            <w:rFonts w:ascii="Cambria Math" w:hAnsi="Cambria Math"/>
            <w:lang w:val="en-GB"/>
          </w:rPr>
          <m:t>p</m:t>
        </m:r>
      </m:oMath>
      <w:r w:rsidRPr="00E53719">
        <w:rPr>
          <w:lang w:val="en-GB"/>
        </w:rPr>
        <w:t xml:space="preserve"> and </w:t>
      </w:r>
      <m:oMath>
        <m:r>
          <w:rPr>
            <w:rFonts w:ascii="Cambria Math" w:hAnsi="Cambria Math"/>
            <w:lang w:val="en-GB"/>
          </w:rPr>
          <m:t>m</m:t>
        </m:r>
      </m:oMath>
      <w:r w:rsidRPr="00E53719">
        <w:rPr>
          <w:lang w:val="en-GB"/>
        </w:rPr>
        <w:t xml:space="preserve"> were arranged so that the vertical distance between two attributes of one option was equal to the horizontal distance between the centers of neighbouring alternatives. This distance was set to approximately 10.0° of 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w:t>
      </w:r>
      <w:r w:rsidRPr="00E53719">
        <w:rPr>
          <w:lang w:val="en-GB"/>
        </w:rPr>
        <w:lastRenderedPageBreak/>
        <w:t>participants received a brief (0.3 s) feedback about their choice (but not about a gamble outcome).</w:t>
      </w:r>
    </w:p>
    <w:p w14:paraId="083C29A0" w14:textId="77777777" w:rsidR="00B76BF1" w:rsidRPr="00E53719" w:rsidRDefault="00C418A2">
      <w:pPr>
        <w:pStyle w:val="BodyText"/>
        <w:rPr>
          <w:lang w:val="en-GB"/>
        </w:rPr>
      </w:pPr>
      <w:r w:rsidRPr="00E53719">
        <w:rPr>
          <w:lang w:val="en-GB"/>
        </w:rPr>
        <w:t>Participants were instructed that after completing the task, one of the trials would be chosen randomly and the gamble chosen in this task would be played out for real money with a virtual wheel of fortune, using a later to be disclosed payout multiplier. This multiplier was set at 0.5 to scale winning bonuses to Freie Universität’s payout standards.</w:t>
      </w:r>
    </w:p>
    <w:p w14:paraId="0715874A" w14:textId="77777777" w:rsidR="00B76BF1" w:rsidRPr="00E53719" w:rsidRDefault="00C418A2">
      <w:pPr>
        <w:pStyle w:val="BodyText"/>
        <w:rPr>
          <w:lang w:val="en-GB"/>
        </w:rPr>
      </w:pPr>
      <w:r w:rsidRPr="00E53719">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E53719">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E53719">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E53719">
        <w:rPr>
          <w:lang w:val="en-GB"/>
        </w:rPr>
        <w:t xml:space="preserve"> = 15 EUR) and less risky option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E53719">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for option </w:t>
      </w:r>
      <m:oMath>
        <m:r>
          <w:rPr>
            <w:rFonts w:ascii="Cambria Math" w:hAnsi="Cambria Math"/>
            <w:lang w:val="en-GB"/>
          </w:rPr>
          <m:t>A</m:t>
        </m:r>
      </m:oMath>
      <w:r w:rsidRPr="00E53719">
        <w:rPr>
          <w:lang w:val="en-GB"/>
        </w:rPr>
        <w:t xml:space="preserve"> is then either increased (if </w:t>
      </w:r>
      <m:oMath>
        <m:r>
          <w:rPr>
            <w:rFonts w:ascii="Cambria Math" w:hAnsi="Cambria Math"/>
            <w:lang w:val="en-GB"/>
          </w:rPr>
          <m:t>B</m:t>
        </m:r>
      </m:oMath>
      <w:r w:rsidRPr="00E53719">
        <w:rPr>
          <w:lang w:val="en-GB"/>
        </w:rPr>
        <w:t xml:space="preserve"> was preferred) or decreased (if </w:t>
      </w:r>
      <m:oMath>
        <m:r>
          <w:rPr>
            <w:rFonts w:ascii="Cambria Math" w:hAnsi="Cambria Math"/>
            <w:lang w:val="en-GB"/>
          </w:rPr>
          <m:t>A</m:t>
        </m:r>
      </m:oMath>
      <w:r w:rsidRPr="00E53719">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E53719">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E53719">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E53719">
        <w:rPr>
          <w:lang w:val="en-GB"/>
        </w:rPr>
        <w:t xml:space="preserv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designed in a way that option pairs </w:t>
      </w:r>
      <m:oMath>
        <m:r>
          <w:rPr>
            <w:rFonts w:ascii="Cambria Math" w:hAnsi="Cambria Math"/>
            <w:lang w:val="en-GB"/>
          </w:rPr>
          <m:t>A-B</m:t>
        </m:r>
      </m:oMath>
      <w:r w:rsidRPr="00E53719">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introduced and designed to be 2% and 1 EUR worse than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respectively.</w:t>
      </w:r>
    </w:p>
    <w:p w14:paraId="5FF3E325" w14:textId="77777777" w:rsidR="00B76BF1" w:rsidRPr="00E53719" w:rsidRDefault="00C418A2">
      <w:pPr>
        <w:pStyle w:val="BodyText"/>
        <w:rPr>
          <w:lang w:val="en-GB"/>
        </w:rPr>
      </w:pPr>
      <w:r w:rsidRPr="00E53719">
        <w:rPr>
          <w:lang w:val="en-GB"/>
        </w:rPr>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For each trial, uniform noise was added to each option’s outcome m (</w:t>
      </w:r>
      <m:oMath>
        <m:r>
          <w:rPr>
            <w:rFonts w:ascii="Cambria Math" w:hAnsi="Cambria Math"/>
            <w:lang w:val="en-GB"/>
          </w:rPr>
          <m:t>±</m:t>
        </m:r>
      </m:oMath>
      <w:r w:rsidRPr="00E53719">
        <w:rPr>
          <w:lang w:val="en-GB"/>
        </w:rPr>
        <w:t xml:space="preserve">0 EUR, +1 EUR) and probability p (–3%, </w:t>
      </w:r>
      <m:oMath>
        <m:r>
          <w:rPr>
            <w:rFonts w:ascii="Cambria Math" w:hAnsi="Cambria Math"/>
            <w:lang w:val="en-GB"/>
          </w:rPr>
          <m:t>±</m:t>
        </m:r>
      </m:oMath>
      <w:r w:rsidRPr="00E53719">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their focal option, to preserve dominance relation.</w:t>
      </w:r>
    </w:p>
    <w:p w14:paraId="2A5DE44D" w14:textId="77777777" w:rsidR="00B76BF1" w:rsidRPr="00E53719" w:rsidRDefault="00C418A2">
      <w:pPr>
        <w:pStyle w:val="BodyText"/>
        <w:rPr>
          <w:lang w:val="en-GB"/>
        </w:rPr>
      </w:pPr>
      <w:r w:rsidRPr="00E53719">
        <w:rPr>
          <w:lang w:val="en-GB"/>
        </w:rPr>
        <w:lastRenderedPageBreak/>
        <w:t>Participants performed 25 practice trials not relevant for their payout under supervision of the experimenter.</w:t>
      </w:r>
      <w:bookmarkStart w:id="100" w:name="sec%252525253Amethods%252525253Atask-sti"/>
      <w:bookmarkEnd w:id="100"/>
    </w:p>
    <w:p w14:paraId="6F0C19FD" w14:textId="77777777" w:rsidR="00B76BF1" w:rsidRPr="00E53719" w:rsidRDefault="00C418A2">
      <w:pPr>
        <w:pStyle w:val="Heading2"/>
        <w:rPr>
          <w:lang w:val="en-GB"/>
        </w:rPr>
      </w:pPr>
      <w:r w:rsidRPr="00E53719">
        <w:rPr>
          <w:lang w:val="en-GB"/>
        </w:rPr>
        <w:t>Eye tracking</w:t>
      </w:r>
    </w:p>
    <w:p w14:paraId="3E4DEBB5" w14:textId="77777777" w:rsidR="00B76BF1" w:rsidRPr="00E53719" w:rsidRDefault="00C418A2">
      <w:pPr>
        <w:pStyle w:val="FirstParagraph"/>
        <w:rPr>
          <w:lang w:val="en-GB"/>
        </w:rPr>
      </w:pPr>
      <w:r w:rsidRPr="00E53719">
        <w:rPr>
          <w:lang w:val="en-GB"/>
        </w:rP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re-center their gaze on the central fixation cross between trials.</w:t>
      </w:r>
    </w:p>
    <w:p w14:paraId="4E584EB4" w14:textId="4475942E" w:rsidR="00B76BF1" w:rsidRPr="00E53719" w:rsidRDefault="00C418A2">
      <w:pPr>
        <w:pStyle w:val="BodyText"/>
        <w:rPr>
          <w:lang w:val="en-GB"/>
        </w:rPr>
      </w:pPr>
      <w:r w:rsidRPr="00E53719">
        <w:rPr>
          <w:lang w:val="en-GB"/>
        </w:rPr>
        <w:t>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was computed by summing all fixation durations towards respective AOIs. Relative dwell time was computed by normalisation to the sum of all dwells in the trial.</w:t>
      </w:r>
      <w:bookmarkStart w:id="101" w:name="sec%252525253Amethods%252525253Aeye-trac"/>
      <w:bookmarkEnd w:id="101"/>
    </w:p>
    <w:p w14:paraId="2CD021F7" w14:textId="77777777" w:rsidR="00B76BF1" w:rsidRPr="00E53719" w:rsidRDefault="00C418A2">
      <w:pPr>
        <w:pStyle w:val="Heading2"/>
        <w:rPr>
          <w:lang w:val="en-GB"/>
        </w:rPr>
      </w:pPr>
      <w:r w:rsidRPr="00E53719">
        <w:rPr>
          <w:lang w:val="en-GB"/>
        </w:rPr>
        <w:t>Behavioural modeling</w:t>
      </w:r>
    </w:p>
    <w:p w14:paraId="47B3BAA6" w14:textId="77777777" w:rsidR="00B76BF1" w:rsidRPr="00E53719" w:rsidRDefault="00C418A2">
      <w:pPr>
        <w:pStyle w:val="BodyText"/>
        <w:rPr>
          <w:lang w:val="en-GB"/>
        </w:rPr>
      </w:pPr>
      <w:r w:rsidRPr="00E53719">
        <w:rPr>
          <w:b/>
          <w:bCs/>
          <w:lang w:val="en-GB"/>
        </w:rPr>
        <w:t>Baseline: Random choice.</w:t>
      </w:r>
      <w:r w:rsidRPr="00E53719">
        <w:rPr>
          <w:lang w:val="en-GB"/>
        </w:rPr>
        <w:t xml:space="preserve">  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E53719">
        <w:rPr>
          <w:lang w:val="en-GB"/>
        </w:rPr>
        <w:t xml:space="preserve"> for all three alternatives and serves as a benchmark against which other models can be compared.</w:t>
      </w:r>
      <w:bookmarkStart w:id="102" w:name="baseline-random-choice"/>
      <w:bookmarkEnd w:id="102"/>
    </w:p>
    <w:p w14:paraId="550C5BCE" w14:textId="77777777" w:rsidR="00B76BF1" w:rsidRPr="00E53719" w:rsidRDefault="00C418A2">
      <w:pPr>
        <w:pStyle w:val="BodyText"/>
        <w:rPr>
          <w:lang w:val="en-GB"/>
        </w:rPr>
      </w:pPr>
      <w:r w:rsidRPr="00E53719">
        <w:rPr>
          <w:b/>
          <w:bCs/>
          <w:lang w:val="en-GB"/>
        </w:rPr>
        <w:t xml:space="preserve">Expected Utility.  </w:t>
      </w:r>
      <w:r w:rsidRPr="00E53719">
        <w:rPr>
          <w:lang w:val="en-GB"/>
        </w:rPr>
        <w:t xml:space="preserve">Expected Utility Theory (EU; Von Neumann &amp; Morgenstern, 1947) assumes that choice behaviour can be described as maximization of expected subjective utility. </w:t>
      </w:r>
      <w:r w:rsidRPr="00E53719">
        <w:rPr>
          <w:lang w:val="en-GB"/>
        </w:rPr>
        <w:lastRenderedPageBreak/>
        <w:t xml:space="preserve">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 xml:space="preserve"> using a power function with one free parameter </w:t>
      </w:r>
      <m:oMath>
        <m:r>
          <w:rPr>
            <w:rFonts w:ascii="Cambria Math" w:hAnsi="Cambria Math"/>
            <w:lang w:val="en-GB"/>
          </w:rPr>
          <m:t>α</m:t>
        </m:r>
      </m:oMath>
      <w:r w:rsidRPr="00E53719">
        <w:rPr>
          <w:lang w:val="en-GB"/>
        </w:rPr>
        <w:t>:</w:t>
      </w:r>
    </w:p>
    <w:p w14:paraId="562ABE15" w14:textId="77777777" w:rsidR="00B76BF1" w:rsidRPr="00E53719"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E53719" w:rsidRDefault="00C418A2">
      <w:pPr>
        <w:pStyle w:val="FirstParagraph"/>
        <w:rPr>
          <w:lang w:val="en-GB"/>
        </w:rPr>
      </w:pPr>
      <w:r w:rsidRPr="00E53719">
        <w:rPr>
          <w:lang w:val="en-GB"/>
        </w:rPr>
        <w:t xml:space="preserve">Predicted choice probabilities are computed using a soft-max choice rule (Sutton &amp; Barto,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AB41AB3"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J</m:t>
        </m:r>
      </m:oMath>
      <w:r w:rsidRPr="00E53719">
        <w:rPr>
          <w:lang w:val="en-GB"/>
        </w:rPr>
        <w:t xml:space="preserve"> is the set of all available alternatives. The inverse temperature parameter </w:t>
      </w:r>
      <m:oMath>
        <m:r>
          <w:rPr>
            <w:rFonts w:ascii="Cambria Math" w:hAnsi="Cambria Math"/>
            <w:lang w:val="en-GB"/>
          </w:rPr>
          <m:t>β</m:t>
        </m:r>
      </m:oMath>
      <w:r w:rsidRPr="00E53719">
        <w:rPr>
          <w:lang w:val="en-GB"/>
        </w:rPr>
        <w:t xml:space="preserve"> controls the degree of randomness in the choice (choices become more deterministic with larger </w:t>
      </w:r>
      <w:bookmarkStart w:id="103" w:name="expected-utility"/>
      <w:bookmarkEnd w:id="103"/>
      <m:oMath>
        <m:r>
          <w:rPr>
            <w:rFonts w:ascii="Cambria Math" w:hAnsi="Cambria Math"/>
            <w:lang w:val="en-GB"/>
          </w:rPr>
          <m:t>β</m:t>
        </m:r>
      </m:oMath>
      <w:r w:rsidRPr="00E53719">
        <w:rPr>
          <w:lang w:val="en-GB"/>
        </w:rPr>
        <w:t>).</w:t>
      </w:r>
    </w:p>
    <w:p w14:paraId="634C3EB4" w14:textId="77777777" w:rsidR="00B76BF1" w:rsidRPr="00E53719" w:rsidRDefault="00C418A2">
      <w:pPr>
        <w:pStyle w:val="BodyText"/>
        <w:rPr>
          <w:lang w:val="en-GB"/>
        </w:rPr>
      </w:pPr>
      <w:r w:rsidRPr="00E53719">
        <w:rPr>
          <w:b/>
          <w:bCs/>
          <w:lang w:val="en-GB"/>
        </w:rPr>
        <w:t xml:space="preserve">Multialternative Decision Field Theory.  </w:t>
      </w:r>
      <w:r w:rsidRPr="00E53719">
        <w:rPr>
          <w:lang w:val="en-GB"/>
        </w:rPr>
        <w:t xml:space="preserve">Multialternative Decision Field Theory (MDFT; Roe, Busemeyer, &amp; Townsend, 2001)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at each point in time </w:t>
      </w:r>
      <m:oMath>
        <m:r>
          <w:rPr>
            <w:rFonts w:ascii="Cambria Math" w:hAnsi="Cambria Math"/>
            <w:lang w:val="en-GB"/>
          </w:rPr>
          <m:t>t</m:t>
        </m:r>
      </m:oMath>
      <w:r w:rsidRPr="00E53719">
        <w:rPr>
          <w:lang w:val="en-GB"/>
        </w:rPr>
        <w:t>. Valences are determined as</w:t>
      </w:r>
    </w:p>
    <w:p w14:paraId="7F0E6836" w14:textId="77777777" w:rsidR="00B76BF1" w:rsidRPr="00E53719"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M</m:t>
        </m:r>
      </m:oMath>
      <w:r w:rsidRPr="00E53719">
        <w:rPr>
          <w:lang w:val="en-GB"/>
        </w:rPr>
        <w:t xml:space="preserve"> is a matrix containing all alternatives’ attributes.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E53719">
        <w:rPr>
          <w:lang w:val="en-GB"/>
        </w:rPr>
        <w:t xml:space="preserve">. </w:t>
      </w:r>
      <m:oMath>
        <m:r>
          <w:rPr>
            <w:rFonts w:ascii="Cambria Math" w:hAnsi="Cambria Math"/>
            <w:lang w:val="en-GB"/>
          </w:rPr>
          <m:t>C</m:t>
        </m:r>
      </m:oMath>
      <w:r w:rsidRPr="00E53719">
        <w:rPr>
          <w:lang w:val="en-GB"/>
        </w:rPr>
        <w:t xml:space="preserve"> is a contrast matrix, designed to perform attribute-wise contrasts between one option and the mean of other options’ attributes.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up to time </w:t>
      </w:r>
      <m:oMath>
        <m:r>
          <w:rPr>
            <w:rFonts w:ascii="Cambria Math" w:hAnsi="Cambria Math"/>
            <w:lang w:val="en-GB"/>
          </w:rPr>
          <m:t>t</m:t>
        </m:r>
      </m:oMath>
      <w:r w:rsidRPr="00E53719">
        <w:rPr>
          <w:lang w:val="en-GB"/>
        </w:rPr>
        <w:t>:</w:t>
      </w:r>
    </w:p>
    <w:p w14:paraId="1100E57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E53719" w:rsidRDefault="00C418A2">
      <w:pPr>
        <w:pStyle w:val="FirstParagraph"/>
        <w:rPr>
          <w:lang w:val="en-GB"/>
        </w:rPr>
      </w:pPr>
      <w:r w:rsidRPr="00E53719">
        <w:rPr>
          <w:lang w:val="en-GB"/>
        </w:rPr>
        <w:t xml:space="preserve">Critically, </w:t>
      </w:r>
      <m:oMath>
        <m:r>
          <w:rPr>
            <w:rFonts w:ascii="Cambria Math" w:hAnsi="Cambria Math"/>
            <w:lang w:val="en-GB"/>
          </w:rPr>
          <m:t>S</m:t>
        </m:r>
      </m:oMath>
      <w:r w:rsidRPr="00E53719">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E53719">
        <w:rPr>
          <w:lang w:val="en-GB"/>
        </w:rPr>
        <w:t xml:space="preserve"> determine how much the current preference state is influenced by the previous one, controlled by the decay </w:t>
      </w:r>
      <w:r w:rsidRPr="00E53719">
        <w:rPr>
          <w:lang w:val="en-GB"/>
        </w:rPr>
        <w:lastRenderedPageBreak/>
        <w:t xml:space="preserve">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E53719">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Taken together, the feedback matrix </w:t>
      </w:r>
      <m:oMath>
        <m:r>
          <w:rPr>
            <w:rFonts w:ascii="Cambria Math" w:hAnsi="Cambria Math"/>
            <w:lang w:val="en-GB"/>
          </w:rPr>
          <m:t>S</m:t>
        </m:r>
      </m:oMath>
      <w:r w:rsidRPr="00E53719">
        <w:rPr>
          <w:lang w:val="en-GB"/>
        </w:rPr>
        <w:t xml:space="preserve"> is given by</w:t>
      </w:r>
    </w:p>
    <w:p w14:paraId="7806FA71" w14:textId="77777777" w:rsidR="00B76BF1" w:rsidRPr="00E53719"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I</m:t>
        </m:r>
      </m:oMath>
      <w:r w:rsidRPr="00E53719">
        <w:rPr>
          <w:lang w:val="en-GB"/>
        </w:rPr>
        <w:t xml:space="preserve"> is the identity matrix. </w:t>
      </w:r>
      <m:oMath>
        <m:r>
          <w:rPr>
            <w:rFonts w:ascii="Cambria Math" w:hAnsi="Cambria Math"/>
            <w:lang w:val="en-GB"/>
          </w:rPr>
          <m:t>D</m:t>
        </m:r>
      </m:oMath>
      <w:r w:rsidRPr="00E53719">
        <w:rPr>
          <w:lang w:val="en-GB"/>
        </w:rPr>
        <w:t xml:space="preserve"> is a matrix containing pairwise distances between alternatives.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is asymptotically normally distributed with mean </w:t>
      </w:r>
      <m:oMath>
        <m:r>
          <w:rPr>
            <w:rFonts w:ascii="Cambria Math" w:hAnsi="Cambria Math"/>
            <w:lang w:val="en-GB"/>
          </w:rPr>
          <m:t>ξ</m:t>
        </m:r>
      </m:oMath>
      <w:r w:rsidRPr="00E53719">
        <w:rPr>
          <w:lang w:val="en-GB"/>
        </w:rPr>
        <w:t xml:space="preserve"> and covariance matrix </w:t>
      </w:r>
      <m:oMath>
        <m:r>
          <w:rPr>
            <w:rFonts w:ascii="Cambria Math" w:hAnsi="Cambria Math"/>
            <w:lang w:val="en-GB"/>
          </w:rPr>
          <m:t>Ω</m:t>
        </m:r>
      </m:oMath>
      <w:r w:rsidRPr="00E53719">
        <w:rPr>
          <w:lang w:val="en-GB"/>
        </w:rPr>
        <w:t xml:space="preserve"> (Busemeyer &amp; Diederich, 2002), from which choice probabilities are derived as in the general Thurstone model (Böckenholt, 1992).</w:t>
      </w:r>
    </w:p>
    <w:p w14:paraId="51D87CA3" w14:textId="77777777" w:rsidR="00B76BF1" w:rsidRPr="00E53719" w:rsidRDefault="00C418A2">
      <w:pPr>
        <w:pStyle w:val="BodyText"/>
        <w:rPr>
          <w:lang w:val="en-GB"/>
        </w:rPr>
      </w:pPr>
      <w:r w:rsidRPr="00E53719">
        <w:rPr>
          <w:lang w:val="en-GB"/>
        </w:rPr>
        <w:t xml:space="preserve">In total, the MDFT implementation includes five free parameters: The attribute weight </w:t>
      </w:r>
      <m:oMath>
        <m:r>
          <w:rPr>
            <w:rFonts w:ascii="Cambria Math" w:hAnsi="Cambria Math"/>
            <w:lang w:val="en-GB"/>
          </w:rPr>
          <m:t>w</m:t>
        </m:r>
      </m:oMath>
      <w:r w:rsidRPr="00E53719">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and the variance </w:t>
      </w:r>
      <m:oMath>
        <m:r>
          <w:rPr>
            <w:rFonts w:ascii="Cambria Math" w:hAnsi="Cambria Math"/>
            <w:lang w:val="en-GB"/>
          </w:rPr>
          <m:t>σ</m:t>
        </m:r>
      </m:oMath>
      <w:r w:rsidRPr="00E53719">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w:t>
      </w:r>
    </w:p>
    <w:p w14:paraId="793252AD" w14:textId="77777777" w:rsidR="00B76BF1" w:rsidRPr="00E53719" w:rsidRDefault="00C418A2">
      <w:pPr>
        <w:pStyle w:val="BodyText"/>
        <w:rPr>
          <w:lang w:val="en-GB"/>
        </w:rPr>
      </w:pPr>
      <w:r w:rsidRPr="00E53719">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(see Mohr, Heekeren, &amp; Rieskamp, 2017). Stimulus attributes were also rescaled to a range between 0 and 1 as in previous studies (Berkowitsch, Scheibehenne, &amp; Rieskamp, 2014).</w:t>
      </w:r>
      <w:bookmarkStart w:id="104" w:name="multialternative-decision-field-theory"/>
      <w:bookmarkEnd w:id="104"/>
    </w:p>
    <w:p w14:paraId="1A9AB268" w14:textId="00D9BE31" w:rsidR="00B76BF1" w:rsidRPr="00E53719" w:rsidRDefault="00C418A2">
      <w:pPr>
        <w:pStyle w:val="BodyText"/>
        <w:rPr>
          <w:lang w:val="en-GB"/>
        </w:rPr>
      </w:pPr>
      <w:r w:rsidRPr="00E53719">
        <w:rPr>
          <w:b/>
          <w:bCs/>
          <w:lang w:val="en-GB"/>
        </w:rPr>
        <w:t xml:space="preserve">Gaze-based models.  </w:t>
      </w:r>
      <w:r w:rsidRPr="00E53719">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E53719" w:rsidRDefault="00C418A2">
      <w:pPr>
        <w:pStyle w:val="BodyText"/>
        <w:rPr>
          <w:lang w:val="en-GB"/>
        </w:rPr>
      </w:pPr>
      <w:r w:rsidRPr="00E53719">
        <w:rPr>
          <w:i/>
          <w:iCs/>
          <w:lang w:val="en-GB"/>
        </w:rPr>
        <w:t xml:space="preserve">Static gaze baseline model.  </w:t>
      </w:r>
      <w:r w:rsidRPr="00E53719">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for an alternative increases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w:t>
      </w:r>
    </w:p>
    <w:p w14:paraId="111B19BC" w14:textId="77777777" w:rsidR="00B76BF1" w:rsidRPr="00E53719" w:rsidRDefault="00DC793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E53719">
        <w:rPr>
          <w:lang w:val="en-GB"/>
        </w:rPr>
        <w:t xml:space="preserve"> is the total dwell time (in s) towards alternative </w:t>
      </w:r>
      <m:oMath>
        <m:r>
          <w:rPr>
            <w:rFonts w:ascii="Cambria Math" w:hAnsi="Cambria Math"/>
            <w:lang w:val="en-GB"/>
          </w:rPr>
          <m:t>i</m:t>
        </m:r>
      </m:oMath>
      <w:r w:rsidRPr="00E53719">
        <w:rPr>
          <w:lang w:val="en-GB"/>
        </w:rPr>
        <w:t xml:space="preserve"> in a trial.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are transformed into choice probabilities using the soft-max function (Equation </w:t>
      </w:r>
      <w:hyperlink w:anchor="eq:softmax">
        <w:r w:rsidRPr="00E53719">
          <w:rPr>
            <w:rStyle w:val="Hyperlink"/>
            <w:lang w:val="en-GB"/>
          </w:rPr>
          <w:t>[eq:softmax]</w:t>
        </w:r>
      </w:hyperlink>
      <w:r w:rsidRPr="00E53719">
        <w:rPr>
          <w:lang w:val="en-GB"/>
        </w:rPr>
        <w:t>).</w:t>
      </w:r>
    </w:p>
    <w:p w14:paraId="20C222A3" w14:textId="5121322F" w:rsidR="00B76BF1" w:rsidRPr="00E53719" w:rsidRDefault="00C418A2">
      <w:pPr>
        <w:pStyle w:val="BodyText"/>
        <w:rPr>
          <w:lang w:val="en-GB"/>
        </w:rPr>
      </w:pPr>
      <w:r w:rsidRPr="00E53719">
        <w:rPr>
          <w:i/>
          <w:iCs/>
          <w:lang w:val="en-GB"/>
        </w:rPr>
        <w:t xml:space="preserve">Dynamic gaze baseline model. </w:t>
      </w:r>
      <w:r w:rsidRPr="00E53719">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E53719" w:rsidRDefault="00DC793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E53719" w:rsidRDefault="00C418A2">
      <w:pPr>
        <w:pStyle w:val="FirstParagraph"/>
        <w:rPr>
          <w:lang w:val="en-GB"/>
        </w:rPr>
      </w:pPr>
      <w:r w:rsidRPr="00E53719">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Choice probabilities are computed from the final accumulator values using the soft-max function (Equation </w:t>
      </w:r>
      <w:hyperlink w:anchor="eq:softmax">
        <w:r w:rsidRPr="00E53719">
          <w:rPr>
            <w:rStyle w:val="Hyperlink"/>
            <w:lang w:val="en-GB"/>
          </w:rPr>
          <w:t>[eq:softmax]</w:t>
        </w:r>
      </w:hyperlink>
      <w:r w:rsidRPr="00E53719">
        <w:rPr>
          <w:lang w:val="en-GB"/>
        </w:rPr>
        <w:t>).</w:t>
      </w:r>
    </w:p>
    <w:p w14:paraId="2FE71365" w14:textId="77777777" w:rsidR="00B76BF1" w:rsidRPr="00E53719" w:rsidRDefault="00C418A2">
      <w:pPr>
        <w:pStyle w:val="BodyText"/>
        <w:rPr>
          <w:lang w:val="en-GB"/>
        </w:rPr>
      </w:pPr>
      <w:r w:rsidRPr="00E53719">
        <w:rPr>
          <w:i/>
          <w:iCs/>
          <w:lang w:val="en-GB"/>
        </w:rPr>
        <w:t xml:space="preserve">Gaze-biased leaky accumulator model (GLA). </w:t>
      </w:r>
      <w:r w:rsidRPr="00E53719">
        <w:rPr>
          <w:lang w:val="en-GB"/>
        </w:rPr>
        <w:t>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(Molter, Thomas, Heekeren, &amp; Mohr, 2019; Thomas, Molter, Krajbich, Heekeren, &amp; Mohr, 2019).</w:t>
      </w:r>
    </w:p>
    <w:p w14:paraId="4EDFE10F" w14:textId="77777777" w:rsidR="00B76BF1" w:rsidRPr="00E53719" w:rsidRDefault="00C418A2">
      <w:pPr>
        <w:pStyle w:val="BodyText"/>
        <w:rPr>
          <w:lang w:val="en-GB"/>
        </w:rPr>
      </w:pPr>
      <w:r w:rsidRPr="00E53719">
        <w:rPr>
          <w:lang w:val="en-GB"/>
        </w:rPr>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E53719"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E53719">
        <w:rPr>
          <w:lang w:val="en-GB"/>
        </w:rPr>
        <w:t xml:space="preserve"> is a free parameter controlling the shape of the weighting function. If </w:t>
      </w:r>
      <m:oMath>
        <m:r>
          <w:rPr>
            <w:rFonts w:ascii="Cambria Math" w:hAnsi="Cambria Math"/>
            <w:lang w:val="en-GB"/>
          </w:rPr>
          <m:t>γ=1</m:t>
        </m:r>
      </m:oMath>
      <w:r w:rsidRPr="00E53719">
        <w:rPr>
          <w:lang w:val="en-GB"/>
        </w:rPr>
        <w:t xml:space="preserve">, the subjective weights equal the objective probabilities (Cavagnaro, Pitt, Gonzalez, &amp; Myung, 2013). Outcome utilities are assumed to obtained from a power function as </w:t>
      </w:r>
      <w:r w:rsidRPr="00E53719">
        <w:rPr>
          <w:lang w:val="en-GB"/>
        </w:rPr>
        <w:lastRenderedPageBreak/>
        <w:t xml:space="preserve">in the EU model (Equation </w:t>
      </w:r>
      <w:hyperlink w:anchor="eq:utility">
        <w:r w:rsidRPr="00E53719">
          <w:rPr>
            <w:rStyle w:val="Hyperlink"/>
            <w:lang w:val="en-GB"/>
          </w:rPr>
          <w:t>[eq:utility]</w:t>
        </w:r>
      </w:hyperlink>
      <w:r w:rsidRPr="00E53719">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6909691" w14:textId="77777777" w:rsidR="00B76BF1" w:rsidRPr="00E53719" w:rsidRDefault="00C418A2">
      <w:pPr>
        <w:pStyle w:val="BodyText"/>
        <w:rPr>
          <w:lang w:val="en-GB"/>
        </w:rPr>
      </w:pPr>
      <w:r w:rsidRPr="00E53719">
        <w:rPr>
          <w:lang w:val="en-GB"/>
        </w:rPr>
        <w:t xml:space="preserve">Next, this model assumes that for each alternative subjective expected utilities are accumulated with leak and gaze bias over the time course of each trial. At each fixation </w:t>
      </w:r>
      <m:oMath>
        <m:r>
          <w:rPr>
            <w:rFonts w:ascii="Cambria Math" w:hAnsi="Cambria Math"/>
            <w:lang w:val="en-GB"/>
          </w:rPr>
          <m:t>n</m:t>
        </m:r>
      </m:oMath>
      <w:r w:rsidRPr="00E53719">
        <w:rPr>
          <w:lang w:val="en-GB"/>
        </w:rPr>
        <w:t>, accumulators evolve according to</w:t>
      </w:r>
    </w:p>
    <w:p w14:paraId="33ED058E" w14:textId="77777777" w:rsidR="00B76BF1" w:rsidRPr="00E53719" w:rsidRDefault="00DC793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θ</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E53719">
        <w:rPr>
          <w:lang w:val="en-GB"/>
        </w:rPr>
        <w:t xml:space="preserve"> controls discounting of unattended alternative values. The </w:t>
      </w:r>
      <m:oMath>
        <m:r>
          <w:rPr>
            <w:rFonts w:ascii="Cambria Math" w:hAnsi="Cambria Math"/>
            <w:lang w:val="en-GB"/>
          </w:rPr>
          <m:t>λ</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E53719">
        <w:rPr>
          <w:lang w:val="en-GB"/>
        </w:rPr>
        <w:t xml:space="preserve"> controls the strength of the accumulation leak.</w:t>
      </w:r>
    </w:p>
    <w:p w14:paraId="0089FB6F" w14:textId="77777777" w:rsidR="00B76BF1" w:rsidRPr="00E53719" w:rsidRDefault="00C418A2">
      <w:pPr>
        <w:pStyle w:val="BodyText"/>
        <w:rPr>
          <w:lang w:val="en-GB"/>
        </w:rPr>
      </w:pPr>
      <w:r w:rsidRPr="00E53719">
        <w:rPr>
          <w:lang w:val="en-GB"/>
        </w:rPr>
        <w:t xml:space="preserve">Predicted choice probabilities are again computed from the soft-max function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487F8519" w14:textId="77777777" w:rsidR="00B76BF1" w:rsidRPr="00E53719" w:rsidRDefault="00C418A2">
      <w:pPr>
        <w:pStyle w:val="BodyText"/>
        <w:rPr>
          <w:lang w:val="en-GB"/>
        </w:rPr>
      </w:pPr>
      <w:r w:rsidRPr="00E53719">
        <w:rPr>
          <w:b/>
          <w:bCs/>
          <w:lang w:val="en-GB"/>
        </w:rPr>
        <w:tab/>
        <w:t xml:space="preserve">Parameter estimation.  </w:t>
      </w:r>
      <w:r w:rsidRPr="00E53719">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E53719">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E53719">
        <w:rPr>
          <w:i/>
          <w:lang w:val="en-GB"/>
        </w:rPr>
        <w:t>a priori</w:t>
      </w:r>
      <w:r w:rsidRPr="00E53719">
        <w:rPr>
          <w:lang w:val="en-GB"/>
        </w:rPr>
        <w:t xml:space="preserve"> defined bounds for each parameter and initialized randomly.</w:t>
      </w:r>
      <w:bookmarkStart w:id="105" w:name="parameter-estimation"/>
      <w:bookmarkEnd w:id="105"/>
    </w:p>
    <w:p w14:paraId="5F21FDA0" w14:textId="77777777" w:rsidR="00B76BF1" w:rsidRPr="00E53719" w:rsidRDefault="00C418A2">
      <w:pPr>
        <w:pStyle w:val="BodyText"/>
        <w:rPr>
          <w:lang w:val="en-GB"/>
        </w:rPr>
      </w:pPr>
      <w:r w:rsidRPr="00E53719">
        <w:rPr>
          <w:b/>
          <w:bCs/>
          <w:lang w:val="en-GB"/>
        </w:rPr>
        <w:t xml:space="preserve">Model comparison.  </w:t>
      </w:r>
      <w:r w:rsidRPr="00E53719">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E53719">
        <w:rPr>
          <w:lang w:val="en-GB"/>
        </w:rPr>
        <w:t xml:space="preserve"> as</w:t>
      </w:r>
    </w:p>
    <w:p w14:paraId="360BDDD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E53719">
        <w:rPr>
          <w:lang w:val="en-GB"/>
        </w:rPr>
        <w:t xml:space="preserve"> is the number of free parameters of model </w:t>
      </w:r>
      <m:oMath>
        <m:r>
          <w:rPr>
            <w:rFonts w:ascii="Cambria Math" w:hAnsi="Cambria Math"/>
            <w:lang w:val="en-GB"/>
          </w:rPr>
          <m:t>m</m:t>
        </m:r>
      </m:oMath>
      <w:r w:rsidRPr="00E53719">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E53719">
        <w:rPr>
          <w:lang w:val="en-GB"/>
        </w:rPr>
        <w:t xml:space="preserve"> is the summed log-likelihood of observed choices under model </w:t>
      </w:r>
      <m:oMath>
        <m:r>
          <w:rPr>
            <w:rFonts w:ascii="Cambria Math" w:hAnsi="Cambria Math"/>
            <w:lang w:val="en-GB"/>
          </w:rPr>
          <m:t>m</m:t>
        </m:r>
      </m:oMath>
      <w:r w:rsidRPr="00E53719">
        <w:rPr>
          <w:lang w:val="en-GB"/>
        </w:rPr>
        <w:t>.</w:t>
      </w:r>
      <w:bookmarkStart w:id="106" w:name="sec%252525253Amethods%252525253Abehaviou"/>
      <w:bookmarkStart w:id="107" w:name="model-comparison"/>
      <w:bookmarkEnd w:id="106"/>
      <w:bookmarkEnd w:id="107"/>
    </w:p>
    <w:p w14:paraId="5996DBCF" w14:textId="77777777" w:rsidR="00B76BF1" w:rsidRPr="00E53719" w:rsidRDefault="00C418A2">
      <w:pPr>
        <w:pStyle w:val="Heading2"/>
        <w:rPr>
          <w:lang w:val="en-GB"/>
        </w:rPr>
      </w:pPr>
      <w:r w:rsidRPr="00E53719">
        <w:rPr>
          <w:lang w:val="en-GB"/>
        </w:rPr>
        <w:t>Switchboard analysis</w:t>
      </w:r>
    </w:p>
    <w:p w14:paraId="0B7B6D72" w14:textId="77777777" w:rsidR="00B76BF1" w:rsidRPr="00E53719" w:rsidRDefault="00C418A2">
      <w:pPr>
        <w:pStyle w:val="BodyText"/>
        <w:rPr>
          <w:lang w:val="en-GB"/>
        </w:rPr>
      </w:pPr>
      <w:r w:rsidRPr="00E53719">
        <w:rPr>
          <w:lang w:val="en-GB"/>
        </w:rPr>
        <w:t xml:space="preserve">We performed a switchboard analysis, similar to the one performed in (Turner, Schley, Muller, &amp; Tsetsos, 2018) to further investigate which components of the cognitive model are particularly important in predicting the data. In a switchboard analysis, a cognitive model of the </w:t>
      </w:r>
      <w:r w:rsidRPr="00E53719">
        <w:rPr>
          <w:lang w:val="en-GB"/>
        </w:rPr>
        <w:lastRenderedPageBreak/>
        <w:t>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77777777" w:rsidR="00B76BF1" w:rsidRPr="00E53719" w:rsidRDefault="00C418A2">
      <w:pPr>
        <w:pStyle w:val="BodyText"/>
        <w:rPr>
          <w:lang w:val="en-GB"/>
        </w:rPr>
      </w:pPr>
      <w:r w:rsidRPr="00E53719">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see above and Figure </w:t>
      </w:r>
      <w:hyperlink w:anchor="fig:fig4-switchboard-overview">
        <w:r w:rsidRPr="00E53719">
          <w:rPr>
            <w:rStyle w:val="Hyperlink"/>
            <w:lang w:val="en-GB"/>
          </w:rPr>
          <w:t>4</w:t>
        </w:r>
      </w:hyperlink>
      <w:r w:rsidRPr="00E53719">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E53719">
          <w:rPr>
            <w:rStyle w:val="Hyperlink"/>
            <w:lang w:val="en-GB"/>
          </w:rPr>
          <w:t>[eq:softmax]</w:t>
        </w:r>
      </w:hyperlink>
      <w:r w:rsidRPr="00E53719">
        <w:rPr>
          <w:lang w:val="en-GB"/>
        </w:rPr>
        <w:t>) over the final accumulator values. The general accumulation framework (in vector form, parallel for each item) is then given by</w:t>
      </w:r>
    </w:p>
    <w:p w14:paraId="5565ECC5"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77777777" w:rsidR="00B76BF1" w:rsidRPr="00E53719" w:rsidRDefault="00C418A2">
      <w:pPr>
        <w:pStyle w:val="BodyText"/>
        <w:rPr>
          <w:lang w:val="en-GB"/>
        </w:rPr>
      </w:pPr>
      <w:r w:rsidRPr="00E53719">
        <w:rPr>
          <w:lang w:val="en-GB"/>
        </w:rPr>
        <w:t xml:space="preserve">where </w:t>
      </w:r>
      <m:oMath>
        <m:r>
          <w:rPr>
            <w:rFonts w:ascii="Cambria Math" w:hAnsi="Cambria Math"/>
            <w:lang w:val="en-GB"/>
          </w:rPr>
          <m:t>S</m:t>
        </m:r>
      </m:oMath>
      <w:r w:rsidRPr="00E53719">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E53719">
        <w:rPr>
          <w:lang w:val="en-GB"/>
        </w:rPr>
        <w:t xml:space="preserve"> is the alternative-wise gaze discount vector (where the </w:t>
      </w:r>
      <m:oMath>
        <m:r>
          <w:rPr>
            <w:rFonts w:ascii="Cambria Math" w:hAnsi="Cambria Math"/>
            <w:lang w:val="en-GB"/>
          </w:rPr>
          <m:t>i</m:t>
        </m:r>
      </m:oMath>
      <w:r w:rsidRPr="00E53719">
        <w:rPr>
          <w:lang w:val="en-GB"/>
        </w:rPr>
        <w:t xml:space="preserve">th entry is set to 1 when item </w:t>
      </w:r>
      <m:oMath>
        <m:r>
          <w:rPr>
            <w:rFonts w:ascii="Cambria Math" w:hAnsi="Cambria Math"/>
            <w:lang w:val="en-GB"/>
          </w:rPr>
          <m:t>i</m:t>
        </m:r>
      </m:oMath>
      <w:r w:rsidRPr="00E53719">
        <w:rPr>
          <w:lang w:val="en-GB"/>
        </w:rPr>
        <w:t xml:space="preserve"> is fixated, and other entries are set to the discount value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w:t>
      </w:r>
      <m:oMath>
        <m:r>
          <w:rPr>
            <w:rFonts w:ascii="Cambria Math" w:hAnsi="Cambria Math"/>
            <w:lang w:val="en-GB"/>
          </w:rPr>
          <m:t>C</m:t>
        </m:r>
      </m:oMath>
      <w:r w:rsidRPr="00E53719">
        <w:rPr>
          <w:lang w:val="en-GB"/>
        </w:rPr>
        <w:t xml:space="preserve"> is a contrast matrix which, as in MDFT, can perform comparisons between the entries of the item value vector </w:t>
      </w:r>
      <m:oMath>
        <m:r>
          <w:rPr>
            <w:rFonts w:ascii="Cambria Math" w:hAnsi="Cambria Math"/>
            <w:lang w:val="en-GB"/>
          </w:rPr>
          <m:t>x</m:t>
        </m:r>
      </m:oMath>
      <w:r w:rsidRPr="00E53719">
        <w:rPr>
          <w:lang w:val="en-GB"/>
        </w:rPr>
        <w:t>. We now describe the different nodes and levels of the analysis, that are combined to generate the different model variants:</w:t>
      </w:r>
    </w:p>
    <w:p w14:paraId="23D496D8" w14:textId="77777777" w:rsidR="00B76BF1" w:rsidRPr="00E53719" w:rsidRDefault="00C418A2">
      <w:pPr>
        <w:pStyle w:val="BodyText"/>
        <w:rPr>
          <w:lang w:val="en-GB"/>
        </w:rPr>
      </w:pPr>
      <w:r w:rsidRPr="00E53719">
        <w:rPr>
          <w:b/>
          <w:bCs/>
          <w:lang w:val="en-GB"/>
        </w:rPr>
        <w:lastRenderedPageBreak/>
        <w:t xml:space="preserve">Attribute integration.  </w:t>
      </w:r>
      <w:r w:rsidRPr="00E53719">
        <w:rPr>
          <w:lang w:val="en-GB"/>
        </w:rPr>
        <w:t xml:space="preserve">The attribute integration switch had two levels: First, outcome probability and outcome value could be integrated </w:t>
      </w:r>
      <w:r w:rsidRPr="00E53719">
        <w:rPr>
          <w:i/>
          <w:lang w:val="en-GB"/>
        </w:rPr>
        <w:t>multiplicatively</w:t>
      </w:r>
      <w:r w:rsidRPr="00E53719">
        <w:rPr>
          <w:lang w:val="en-GB"/>
        </w:rPr>
        <w:t xml:space="preserve">, so that expected outcome values per item are constructed. This level included the probability weighting function </w:t>
      </w:r>
      <m:oMath>
        <m:r>
          <w:rPr>
            <w:rFonts w:ascii="Cambria Math" w:hAnsi="Cambria Math"/>
            <w:lang w:val="en-GB"/>
          </w:rPr>
          <m:t>w</m:t>
        </m:r>
      </m:oMath>
      <w:r w:rsidRPr="00E53719">
        <w:rPr>
          <w:lang w:val="en-GB"/>
        </w:rPr>
        <w:t xml:space="preserve"> (Equation </w:t>
      </w:r>
      <w:hyperlink w:anchor="eq:pweighting">
        <w:r w:rsidRPr="00E53719">
          <w:rPr>
            <w:rStyle w:val="Hyperlink"/>
            <w:lang w:val="en-GB"/>
          </w:rPr>
          <w:t>[eq:pweighting]</w:t>
        </w:r>
      </w:hyperlink>
      <w:r w:rsidRPr="00E53719">
        <w:rPr>
          <w:lang w:val="en-GB"/>
        </w:rPr>
        <w:t xml:space="preserve">) using a free parameter </w:t>
      </w:r>
      <m:oMath>
        <m:r>
          <w:rPr>
            <w:rFonts w:ascii="Cambria Math" w:hAnsi="Cambria Math"/>
            <w:lang w:val="en-GB"/>
          </w:rPr>
          <m:t>γ</m:t>
        </m:r>
      </m:oMath>
      <w:r w:rsidRPr="00E53719">
        <w:rPr>
          <w:lang w:val="en-GB"/>
        </w:rPr>
        <w:t xml:space="preserve"> (</w:t>
      </w:r>
      <m:oMath>
        <m:r>
          <w:rPr>
            <w:rFonts w:ascii="Cambria Math" w:hAnsi="Cambria Math"/>
            <w:lang w:val="en-GB"/>
          </w:rPr>
          <m:t>0.28≤γ≤1</m:t>
        </m:r>
      </m:oMath>
      <w:r w:rsidRPr="00E53719">
        <w:rPr>
          <w:lang w:val="en-GB"/>
        </w:rPr>
        <w:t xml:space="preserve">), and a utility function </w:t>
      </w:r>
      <m:oMath>
        <m:r>
          <w:rPr>
            <w:rFonts w:ascii="Cambria Math" w:hAnsi="Cambria Math"/>
            <w:lang w:val="en-GB"/>
          </w:rPr>
          <m:t>U</m:t>
        </m:r>
      </m:oMath>
      <w:r w:rsidRPr="00E53719">
        <w:rPr>
          <w:lang w:val="en-GB"/>
        </w:rPr>
        <w:t xml:space="preserve"> (Equation </w:t>
      </w:r>
      <w:hyperlink w:anchor="eq:utility">
        <w:r w:rsidRPr="00E53719">
          <w:rPr>
            <w:rStyle w:val="Hyperlink"/>
            <w:lang w:val="en-GB"/>
          </w:rPr>
          <w:t>[eq:utility]</w:t>
        </w:r>
      </w:hyperlink>
      <w:r w:rsidRPr="00E53719">
        <w:rPr>
          <w:lang w:val="en-GB"/>
        </w:rPr>
        <w:t xml:space="preserve"> free parameter </w:t>
      </w:r>
      <m:oMath>
        <m:r>
          <w:rPr>
            <w:rFonts w:ascii="Cambria Math" w:hAnsi="Cambria Math"/>
            <w:lang w:val="en-GB"/>
          </w:rPr>
          <m:t>α</m:t>
        </m:r>
      </m:oMath>
      <w:r w:rsidRPr="00E53719">
        <w:rPr>
          <w:lang w:val="en-GB"/>
        </w:rPr>
        <w:t xml:space="preserve"> (</w:t>
      </w:r>
      <m:oMath>
        <m:r>
          <w:rPr>
            <w:rFonts w:ascii="Cambria Math" w:hAnsi="Cambria Math"/>
            <w:lang w:val="en-GB"/>
          </w:rPr>
          <m:t>0≤α</m:t>
        </m:r>
      </m:oMath>
      <w:r w:rsidRPr="00E53719">
        <w:rPr>
          <w:lang w:val="en-GB"/>
        </w:rPr>
        <w:t>). The item values are given as</w:t>
      </w:r>
    </w:p>
    <w:p w14:paraId="2DAB9BDC" w14:textId="77777777" w:rsidR="00B76BF1" w:rsidRPr="00E53719" w:rsidRDefault="00DC7937">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E53719" w:rsidRDefault="00C418A2">
      <w:pPr>
        <w:pStyle w:val="BodyText"/>
        <w:rPr>
          <w:lang w:val="en-GB"/>
        </w:rPr>
      </w:pPr>
      <w:r w:rsidRPr="00E53719">
        <w:rPr>
          <w:lang w:val="en-GB"/>
        </w:rPr>
        <w:t xml:space="preserve">Alternatively, attribute integration could be implemented in a </w:t>
      </w:r>
      <w:r w:rsidRPr="00E53719">
        <w:rPr>
          <w:i/>
          <w:lang w:val="en-GB"/>
        </w:rPr>
        <w:t>weighted additive</w:t>
      </w:r>
      <w:r w:rsidRPr="00E53719">
        <w:rPr>
          <w:lang w:val="en-GB"/>
        </w:rPr>
        <w:t xml:space="preserve"> fashion (Rouault, Drugowitsch, &amp; Koechlin, 2019). In this case, attributes were first normalized using divisive normalization (Louie, Khaw, &amp; Glimcher, 2013) to make them commensurable on a single scale:</w:t>
      </w:r>
    </w:p>
    <w:p w14:paraId="7818007E" w14:textId="77777777" w:rsidR="00B76BF1" w:rsidRPr="00E53719" w:rsidRDefault="00DC793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E53719" w:rsidRDefault="00C418A2">
      <w:pPr>
        <w:pStyle w:val="BodyText"/>
        <w:rPr>
          <w:lang w:val="en-GB"/>
        </w:rPr>
      </w:pPr>
      <w:r w:rsidRPr="00E53719">
        <w:rPr>
          <w:lang w:val="en-GB"/>
        </w:rPr>
        <w:t>and</w:t>
      </w:r>
    </w:p>
    <w:p w14:paraId="3574F504" w14:textId="77777777" w:rsidR="00B76BF1" w:rsidRPr="00E53719" w:rsidRDefault="00DC793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E53719" w:rsidRDefault="00C418A2">
      <w:pPr>
        <w:pStyle w:val="BodyText"/>
        <w:rPr>
          <w:lang w:val="en-GB"/>
        </w:rPr>
      </w:pPr>
      <w:r w:rsidRPr="00E53719">
        <w:rPr>
          <w:lang w:val="en-GB"/>
        </w:rPr>
        <w:t xml:space="preserve">Next, the normalized attributes would be combined </w:t>
      </w:r>
      <w:r w:rsidRPr="00E53719">
        <w:rPr>
          <w:i/>
          <w:lang w:val="en-GB"/>
        </w:rPr>
        <w:t>additively</w:t>
      </w:r>
      <w:r w:rsidRPr="00E53719">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E53719">
        <w:rPr>
          <w:lang w:val="en-GB"/>
        </w:rPr>
        <w:t>), controlling the relative contribution of the probability attribute:</w:t>
      </w:r>
    </w:p>
    <w:p w14:paraId="076C7955" w14:textId="77777777" w:rsidR="00B76BF1" w:rsidRPr="00E53719" w:rsidRDefault="00DC7937">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108" w:name="attribute-integration"/>
      <w:bookmarkEnd w:id="108"/>
    </w:p>
    <w:p w14:paraId="6777613B" w14:textId="77777777" w:rsidR="00B76BF1" w:rsidRPr="00E53719" w:rsidRDefault="00C418A2">
      <w:pPr>
        <w:pStyle w:val="BodyText"/>
        <w:rPr>
          <w:lang w:val="en-GB"/>
        </w:rPr>
      </w:pPr>
      <w:r w:rsidRPr="00E53719">
        <w:rPr>
          <w:b/>
          <w:bCs/>
          <w:lang w:val="en-GB"/>
        </w:rPr>
        <w:t xml:space="preserve">Evidence comparison.  </w:t>
      </w:r>
      <w:r w:rsidRPr="00E53719">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w:t>
      </w:r>
      <w:r w:rsidRPr="00E53719">
        <w:rPr>
          <w:i/>
          <w:lang w:val="en-GB"/>
        </w:rPr>
        <w:t>independently</w:t>
      </w:r>
      <w:r w:rsidRPr="00E53719">
        <w:rPr>
          <w:lang w:val="en-GB"/>
        </w:rPr>
        <w:t xml:space="preserve"> for each alternative, without comparison to other alternatives. In this case the contrast matrix </w:t>
      </w:r>
      <m:oMath>
        <m:r>
          <w:rPr>
            <w:rFonts w:ascii="Cambria Math" w:hAnsi="Cambria Math"/>
            <w:lang w:val="en-GB"/>
          </w:rPr>
          <m:t>C</m:t>
        </m:r>
      </m:oMath>
      <w:r w:rsidRPr="00E53719">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in a </w:t>
      </w:r>
      <w:r w:rsidRPr="00E53719">
        <w:rPr>
          <w:i/>
          <w:lang w:val="en-GB"/>
        </w:rPr>
        <w:t>comparative</w:t>
      </w:r>
      <w:r w:rsidRPr="00E53719">
        <w:rPr>
          <w:lang w:val="en-GB"/>
        </w:rPr>
        <w:t xml:space="preserve"> fashion. Then, the contrast matrix </w:t>
      </w:r>
      <m:oMath>
        <m:r>
          <w:rPr>
            <w:rFonts w:ascii="Cambria Math" w:hAnsi="Cambria Math"/>
            <w:lang w:val="en-GB"/>
          </w:rPr>
          <m:t>C</m:t>
        </m:r>
      </m:oMath>
      <w:r w:rsidRPr="00E53719">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E53719">
        <w:rPr>
          <w:lang w:val="en-GB"/>
        </w:rPr>
        <w:t xml:space="preserve">, as in MDFT. To this end, diagonal entries of </w:t>
      </w:r>
      <m:oMath>
        <m:r>
          <w:rPr>
            <w:rFonts w:ascii="Cambria Math" w:hAnsi="Cambria Math"/>
            <w:lang w:val="en-GB"/>
          </w:rPr>
          <m:t>C</m:t>
        </m:r>
      </m:oMath>
      <w:r w:rsidRPr="00E53719">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E53719">
        <w:rPr>
          <w:lang w:val="en-GB"/>
        </w:rPr>
        <w:t xml:space="preserve">, where </w:t>
      </w:r>
      <m:oMath>
        <m:r>
          <w:rPr>
            <w:rFonts w:ascii="Cambria Math" w:hAnsi="Cambria Math"/>
            <w:lang w:val="en-GB"/>
          </w:rPr>
          <m:t>N</m:t>
        </m:r>
      </m:oMath>
      <w:r w:rsidRPr="00E53719">
        <w:rPr>
          <w:lang w:val="en-GB"/>
        </w:rPr>
        <w:t xml:space="preserve"> is the number of alternatives (here </w:t>
      </w:r>
      <m:oMath>
        <m:r>
          <w:rPr>
            <w:rFonts w:ascii="Cambria Math" w:hAnsi="Cambria Math"/>
            <w:lang w:val="en-GB"/>
          </w:rPr>
          <m:t>N</m:t>
        </m:r>
      </m:oMath>
      <w:r w:rsidRPr="00E53719">
        <w:rPr>
          <w:lang w:val="en-GB"/>
        </w:rPr>
        <w:t xml:space="preserve"> = 3).</w:t>
      </w:r>
      <w:bookmarkStart w:id="109" w:name="evidence-comparison"/>
      <w:bookmarkEnd w:id="109"/>
    </w:p>
    <w:p w14:paraId="69DA0CD7" w14:textId="77777777" w:rsidR="00B76BF1" w:rsidRPr="00E53719" w:rsidRDefault="00C418A2">
      <w:pPr>
        <w:pStyle w:val="BodyText"/>
        <w:rPr>
          <w:lang w:val="en-GB"/>
        </w:rPr>
      </w:pPr>
      <w:r w:rsidRPr="00E53719">
        <w:rPr>
          <w:b/>
          <w:bCs/>
          <w:lang w:val="en-GB"/>
        </w:rPr>
        <w:lastRenderedPageBreak/>
        <w:t xml:space="preserve">Alternative-wise gaze discount.  </w:t>
      </w:r>
      <w:r w:rsidRPr="00E53719">
        <w:rPr>
          <w:lang w:val="en-GB"/>
        </w:rPr>
        <w:t xml:space="preserve">This switch could take the values </w:t>
      </w:r>
      <w:r w:rsidRPr="00E53719">
        <w:rPr>
          <w:i/>
          <w:lang w:val="en-GB"/>
        </w:rPr>
        <w:t>"on"</w:t>
      </w:r>
      <w:r w:rsidRPr="00E53719">
        <w:rPr>
          <w:lang w:val="en-GB"/>
        </w:rPr>
        <w:t xml:space="preserve"> or </w:t>
      </w:r>
      <w:r w:rsidRPr="00E53719">
        <w:rPr>
          <w:i/>
          <w:lang w:val="en-GB"/>
        </w:rPr>
        <w:t>"off"</w:t>
      </w:r>
      <w:r w:rsidRPr="00E53719">
        <w:rPr>
          <w:lang w:val="en-GB"/>
        </w:rPr>
        <w:t xml:space="preserve">. If switched on, the model included a free parameter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controlling the discount rate of unattended alternatives during accumulation. If switched off, the gaze discount vector </w:t>
      </w:r>
      <m:oMath>
        <m:r>
          <w:rPr>
            <w:rFonts w:ascii="Cambria Math" w:hAnsi="Cambria Math"/>
            <w:lang w:val="en-GB"/>
          </w:rPr>
          <m:t>Θ</m:t>
        </m:r>
      </m:oMath>
      <w:r w:rsidRPr="00E53719">
        <w:rPr>
          <w:lang w:val="en-GB"/>
        </w:rPr>
        <w:t xml:space="preserve"> was set to one.</w:t>
      </w:r>
      <w:bookmarkStart w:id="110" w:name="alternative-wise-gaze-discount"/>
      <w:bookmarkEnd w:id="110"/>
    </w:p>
    <w:p w14:paraId="6D2B9056" w14:textId="32334199" w:rsidR="00B76BF1" w:rsidRPr="00E53719" w:rsidRDefault="00C418A2">
      <w:pPr>
        <w:pStyle w:val="BodyText"/>
        <w:rPr>
          <w:lang w:val="en-GB"/>
        </w:rPr>
      </w:pPr>
      <w:r w:rsidRPr="00E53719">
        <w:rPr>
          <w:b/>
          <w:bCs/>
          <w:lang w:val="en-GB"/>
        </w:rPr>
        <w:t xml:space="preserve">Attribute-wise gaze discount.  </w:t>
      </w:r>
      <w:r w:rsidRPr="00E53719">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E53719">
        <w:rPr>
          <w:lang w:val="en-GB"/>
        </w:rPr>
        <w:t xml:space="preserve"> (</w:t>
      </w:r>
      <m:oMath>
        <m:r>
          <w:rPr>
            <w:rFonts w:ascii="Cambria Math" w:hAnsi="Cambria Math"/>
            <w:lang w:val="en-GB"/>
          </w:rPr>
          <m:t>0≤η≤1</m:t>
        </m:r>
      </m:oMath>
      <w:r w:rsidRPr="00E53719">
        <w:rPr>
          <w:lang w:val="en-GB"/>
        </w:rPr>
        <w:t xml:space="preserve">). In combination with </w:t>
      </w:r>
      <w:r w:rsidRPr="00E53719">
        <w:rPr>
          <w:i/>
          <w:lang w:val="en-GB"/>
        </w:rPr>
        <w:t>additive</w:t>
      </w:r>
      <w:r w:rsidRPr="00E53719">
        <w:rPr>
          <w:lang w:val="en-GB"/>
        </w:rPr>
        <w:t xml:space="preserve"> attribute integration, the attribute-wise gaze discount was applied after attribute normalization, but prior to the weighted addition. For </w:t>
      </w:r>
      <w:r w:rsidRPr="00E53719">
        <w:rPr>
          <w:i/>
          <w:lang w:val="en-GB"/>
        </w:rPr>
        <w:t>multiplicative</w:t>
      </w:r>
      <w:r w:rsidRPr="00E53719">
        <w:rPr>
          <w:lang w:val="en-GB"/>
        </w:rPr>
        <w:t xml:space="preserve"> attribute integration, attributes were discounted before entering probability-weighting and utility functions </w:t>
      </w:r>
      <m:oMath>
        <m:r>
          <w:rPr>
            <w:rFonts w:ascii="Cambria Math" w:hAnsi="Cambria Math"/>
            <w:lang w:val="en-GB"/>
          </w:rPr>
          <m:t>w</m:t>
        </m:r>
      </m:oMath>
      <w:r w:rsidRPr="00E53719">
        <w:rPr>
          <w:lang w:val="en-GB"/>
        </w:rPr>
        <w:t xml:space="preserve"> and </w:t>
      </w:r>
      <m:oMath>
        <m:r>
          <w:rPr>
            <w:rFonts w:ascii="Cambria Math" w:hAnsi="Cambria Math"/>
            <w:lang w:val="en-GB"/>
          </w:rPr>
          <m:t>U</m:t>
        </m:r>
      </m:oMath>
      <w:r w:rsidRPr="00E53719">
        <w:rPr>
          <w:lang w:val="en-GB"/>
        </w:rPr>
        <w:t>.</w:t>
      </w:r>
      <w:bookmarkStart w:id="111" w:name="attribute-wise-gaze-discount"/>
      <w:bookmarkEnd w:id="111"/>
    </w:p>
    <w:p w14:paraId="3B4D133A" w14:textId="118DF58A" w:rsidR="00B76BF1" w:rsidRPr="00E53719" w:rsidRDefault="00C418A2">
      <w:pPr>
        <w:pStyle w:val="BodyText"/>
        <w:rPr>
          <w:lang w:val="en-GB"/>
        </w:rPr>
      </w:pPr>
      <w:r w:rsidRPr="00E53719">
        <w:rPr>
          <w:b/>
          <w:bCs/>
          <w:lang w:val="en-GB"/>
        </w:rPr>
        <w:t xml:space="preserve">Accumulation leak.  </w:t>
      </w:r>
      <w:r w:rsidRPr="00E53719">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E53719">
        <w:rPr>
          <w:lang w:val="en-GB"/>
        </w:rPr>
        <w:t xml:space="preserve"> were set to 1, resulting in no leak. The second possibility was uniform </w:t>
      </w:r>
      <w:r w:rsidRPr="00E53719">
        <w:rPr>
          <w:i/>
          <w:lang w:val="en-GB"/>
        </w:rPr>
        <w:t>constant</w:t>
      </w:r>
      <w:r w:rsidRPr="00E53719">
        <w:rPr>
          <w:lang w:val="en-GB"/>
        </w:rPr>
        <w:t xml:space="preserve"> leakage, where we estimated a parameter </w:t>
      </w:r>
      <m:oMath>
        <m:r>
          <w:rPr>
            <w:rFonts w:ascii="Cambria Math" w:hAnsi="Cambria Math"/>
            <w:lang w:val="en-GB"/>
          </w:rPr>
          <m:t>λ</m:t>
        </m:r>
      </m:oMath>
      <w:r w:rsidRPr="00E53719">
        <w:rPr>
          <w:lang w:val="en-GB"/>
        </w:rPr>
        <w:t xml:space="preserve"> (</w:t>
      </w:r>
      <m:oMath>
        <m:r>
          <w:rPr>
            <w:rFonts w:ascii="Cambria Math" w:hAnsi="Cambria Math"/>
            <w:lang w:val="en-GB"/>
          </w:rPr>
          <m:t>0≤λ≤1</m:t>
        </m:r>
      </m:oMath>
      <w:r w:rsidRPr="00E53719">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E53719">
        <w:rPr>
          <w:lang w:val="en-GB"/>
        </w:rPr>
        <w:t xml:space="preserve">. The third type of leak we investigated was </w:t>
      </w:r>
      <w:r w:rsidRPr="00E53719">
        <w:rPr>
          <w:i/>
          <w:lang w:val="en-GB"/>
        </w:rPr>
        <w:t>gaze-dependent</w:t>
      </w:r>
      <w:r w:rsidRPr="00E53719">
        <w:rPr>
          <w:lang w:val="en-GB"/>
        </w:rPr>
        <w:t xml:space="preserve">. Here, only accumulators of unattended alternatives leak according to the </w:t>
      </w:r>
      <m:oMath>
        <m:r>
          <w:rPr>
            <w:rFonts w:ascii="Cambria Math" w:hAnsi="Cambria Math"/>
            <w:lang w:val="en-GB"/>
          </w:rPr>
          <m:t>λ</m:t>
        </m:r>
      </m:oMath>
      <w:r w:rsidRPr="00E53719">
        <w:rPr>
          <w:lang w:val="en-GB"/>
        </w:rPr>
        <w:t xml:space="preserve"> parameter.</w:t>
      </w:r>
      <w:bookmarkStart w:id="112" w:name="accumulation-leak"/>
      <w:bookmarkEnd w:id="112"/>
    </w:p>
    <w:p w14:paraId="16E765C6" w14:textId="77777777" w:rsidR="00B76BF1" w:rsidRPr="00E53719" w:rsidRDefault="00C418A2">
      <w:pPr>
        <w:pStyle w:val="BodyText"/>
        <w:rPr>
          <w:lang w:val="en-GB"/>
        </w:rPr>
      </w:pPr>
      <w:r w:rsidRPr="00E53719">
        <w:rPr>
          <w:b/>
          <w:bCs/>
          <w:lang w:val="en-GB"/>
        </w:rPr>
        <w:t xml:space="preserve">Inhibition.  </w:t>
      </w:r>
      <w:r w:rsidRPr="00E53719">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E53719">
        <w:rPr>
          <w:lang w:val="en-GB"/>
        </w:rPr>
        <w:t xml:space="preserve"> were set to 0. Second, we considered uniform </w:t>
      </w:r>
      <w:r w:rsidRPr="00E53719">
        <w:rPr>
          <w:i/>
          <w:lang w:val="en-GB"/>
        </w:rPr>
        <w:t>constant</w:t>
      </w:r>
      <w:r w:rsidRPr="00E53719">
        <w:rPr>
          <w:lang w:val="en-GB"/>
        </w:rPr>
        <w:t xml:space="preserve"> inhibition, where we estimated a parameter </w:t>
      </w:r>
      <m:oMath>
        <m:r>
          <w:rPr>
            <w:rFonts w:ascii="Cambria Math" w:hAnsi="Cambria Math"/>
            <w:lang w:val="en-GB"/>
          </w:rPr>
          <m:t>ϕ</m:t>
        </m:r>
      </m:oMath>
      <w:r w:rsidRPr="00E53719">
        <w:rPr>
          <w:lang w:val="en-GB"/>
        </w:rPr>
        <w:t xml:space="preserve"> (</w:t>
      </w:r>
      <m:oMath>
        <m:r>
          <w:rPr>
            <w:rFonts w:ascii="Cambria Math" w:hAnsi="Cambria Math"/>
            <w:lang w:val="en-GB"/>
          </w:rPr>
          <m:t>0≤ϕ≤1</m:t>
        </m:r>
      </m:oMath>
      <w:r w:rsidRPr="00E53719">
        <w:rPr>
          <w:lang w:val="en-GB"/>
        </w:rPr>
        <w:t xml:space="preserve">) and set each off-diagonal element in </w:t>
      </w:r>
      <m:oMath>
        <m:r>
          <w:rPr>
            <w:rFonts w:ascii="Cambria Math" w:hAnsi="Cambria Math"/>
            <w:lang w:val="en-GB"/>
          </w:rPr>
          <m:t>S</m:t>
        </m:r>
      </m:oMath>
      <w:r w:rsidRPr="00E53719">
        <w:rPr>
          <w:lang w:val="en-GB"/>
        </w:rPr>
        <w:t xml:space="preserve"> to </w:t>
      </w:r>
      <m:oMath>
        <m:r>
          <w:rPr>
            <w:rFonts w:ascii="Cambria Math" w:hAnsi="Cambria Math"/>
            <w:lang w:val="en-GB"/>
          </w:rPr>
          <m:t>-ϕ</m:t>
        </m:r>
      </m:oMath>
      <w:r w:rsidRPr="00E53719">
        <w:rPr>
          <w:lang w:val="en-GB"/>
        </w:rPr>
        <w:t xml:space="preserve">, resulting in uniform inhibition (proportional to the accumulators’ activation level), across items. Thirdly, we considered </w:t>
      </w:r>
      <w:r w:rsidRPr="00E53719">
        <w:rPr>
          <w:i/>
          <w:lang w:val="en-GB"/>
        </w:rPr>
        <w:t>distance dependent</w:t>
      </w:r>
      <w:r w:rsidRPr="00E53719">
        <w:rPr>
          <w:lang w:val="en-GB"/>
        </w:rPr>
        <w:t xml:space="preserve"> inhibition, as implemented in MDFT (see Equation </w:t>
      </w:r>
      <w:hyperlink w:anchor="eq:mdft:s">
        <w:r w:rsidRPr="00E53719">
          <w:rPr>
            <w:rStyle w:val="Hyperlink"/>
            <w:lang w:val="en-GB"/>
          </w:rPr>
          <w:t>[eq:mdft:s]</w:t>
        </w:r>
      </w:hyperlink>
      <w:r w:rsidRPr="00E53719">
        <w:rPr>
          <w:lang w:val="en-GB"/>
        </w:rP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As we did for MDFT, we log-transformed </w:t>
      </w:r>
      <w:r w:rsidRPr="00E53719">
        <w:rPr>
          <w:lang w:val="en-GB"/>
        </w:rPr>
        <w:lastRenderedPageBreak/>
        <w:t xml:space="preserve">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E53719">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(this parameter is already used if attribute integration is </w:t>
      </w:r>
      <w:r w:rsidRPr="00E53719">
        <w:rPr>
          <w:i/>
          <w:lang w:val="en-GB"/>
        </w:rPr>
        <w:t>additive</w:t>
      </w:r>
      <w:r w:rsidRPr="00E53719">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Note, we only computed off-diagonal elements of </w:t>
      </w:r>
      <m:oMath>
        <m:r>
          <w:rPr>
            <w:rFonts w:ascii="Cambria Math" w:hAnsi="Cambria Math"/>
            <w:lang w:val="en-GB"/>
          </w:rPr>
          <m:t>S</m:t>
        </m:r>
      </m:oMath>
      <w:r w:rsidRPr="00E53719">
        <w:rPr>
          <w:lang w:val="en-GB"/>
        </w:rPr>
        <w:t xml:space="preserve"> according to Equation </w:t>
      </w:r>
      <w:hyperlink w:anchor="eq:mdft:s">
        <w:r w:rsidRPr="00E53719">
          <w:rPr>
            <w:rStyle w:val="Hyperlink"/>
            <w:lang w:val="en-GB"/>
          </w:rPr>
          <w:t>[eq:mdft:s]</w:t>
        </w:r>
      </w:hyperlink>
      <w:r w:rsidRPr="00E53719">
        <w:rPr>
          <w:lang w:val="en-GB"/>
        </w:rPr>
        <w:t xml:space="preserve">, as the diagonal entries were controlled by the accumulation leak switch. Finally, we considered </w:t>
      </w:r>
      <w:r w:rsidRPr="00E53719">
        <w:rPr>
          <w:i/>
          <w:lang w:val="en-GB"/>
        </w:rPr>
        <w:t>gaze-dependent</w:t>
      </w:r>
      <w:r w:rsidRPr="00E53719">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E53719">
        <w:rPr>
          <w:lang w:val="en-GB"/>
        </w:rPr>
        <w:t xml:space="preserve"> in the column corresponding to the currently attended item are set to </w:t>
      </w:r>
      <m:oMath>
        <m:r>
          <w:rPr>
            <w:rFonts w:ascii="Cambria Math" w:hAnsi="Cambria Math"/>
            <w:lang w:val="en-GB"/>
          </w:rPr>
          <m:t>-ϕ</m:t>
        </m:r>
      </m:oMath>
      <w:r w:rsidRPr="00E53719">
        <w:rPr>
          <w:lang w:val="en-GB"/>
        </w:rPr>
        <w:t>, and others are set to 0.</w:t>
      </w:r>
    </w:p>
    <w:p w14:paraId="46381E44" w14:textId="77777777" w:rsidR="00B76BF1" w:rsidRPr="00E53719" w:rsidRDefault="00C418A2">
      <w:pPr>
        <w:pStyle w:val="BodyText"/>
        <w:rPr>
          <w:lang w:val="en-GB"/>
        </w:rPr>
      </w:pPr>
      <w:r w:rsidRPr="00E53719">
        <w:rPr>
          <w:b/>
          <w:bCs/>
          <w:lang w:val="en-GB"/>
        </w:rPr>
        <w:t xml:space="preserve">Total number of variants and parameter estimation.  </w:t>
      </w:r>
      <w:r w:rsidRPr="00E53719">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bookmarkStart w:id="113" w:name="sec%252525253Amethods%252525253Aswitchbo"/>
      <w:bookmarkStart w:id="114" w:name="X405033ee9926463d967c91b1a821169004c7e29"/>
      <w:bookmarkEnd w:id="113"/>
      <w:bookmarkEnd w:id="114"/>
    </w:p>
    <w:p w14:paraId="71EDFF86" w14:textId="77777777" w:rsidR="00B76BF1" w:rsidRPr="00E53719" w:rsidRDefault="00C418A2">
      <w:pPr>
        <w:pStyle w:val="Heading2"/>
        <w:rPr>
          <w:lang w:val="en-GB"/>
        </w:rPr>
      </w:pPr>
      <w:r w:rsidRPr="00E53719">
        <w:rPr>
          <w:lang w:val="en-GB"/>
        </w:rPr>
        <w:t>Statistical modeling</w:t>
      </w:r>
    </w:p>
    <w:p w14:paraId="5270BC4D" w14:textId="77777777" w:rsidR="00B76BF1" w:rsidRPr="00E53719" w:rsidRDefault="00C418A2">
      <w:pPr>
        <w:pStyle w:val="FirstParagraph"/>
        <w:rPr>
          <w:lang w:val="en-GB"/>
        </w:rPr>
      </w:pPr>
      <w:r w:rsidRPr="00E53719">
        <w:rPr>
          <w:lang w:val="en-GB"/>
        </w:rPr>
        <w:t xml:space="preserve">We used Bayesian estimation (BEST; Kruschke, 2013; Kruschke, 2014) of differences, effect size </w:t>
      </w:r>
      <m:oMath>
        <m:r>
          <w:rPr>
            <w:rFonts w:ascii="Cambria Math" w:hAnsi="Cambria Math"/>
            <w:lang w:val="en-GB"/>
          </w:rPr>
          <m:t>d</m:t>
        </m:r>
      </m:oMath>
      <w:r w:rsidRPr="00E53719">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correlation analyses (Lee &amp; Wagenmakers,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regression analyses implemented in PyMC3 (Salvatier, Wiecki, &amp; Fonnesbeck, 2016).</w:t>
      </w:r>
      <w:bookmarkStart w:id="115" w:name="statistical-modeling"/>
      <w:bookmarkEnd w:id="115"/>
    </w:p>
    <w:p w14:paraId="49F4C34B" w14:textId="77777777" w:rsidR="00B76BF1" w:rsidRPr="00E53719" w:rsidRDefault="00C418A2">
      <w:pPr>
        <w:pStyle w:val="Heading2"/>
        <w:rPr>
          <w:lang w:val="en-GB"/>
        </w:rPr>
      </w:pPr>
      <w:r w:rsidRPr="00E53719">
        <w:rPr>
          <w:lang w:val="en-GB"/>
        </w:rPr>
        <w:t>Software</w:t>
      </w:r>
    </w:p>
    <w:p w14:paraId="4DF4EE9C" w14:textId="77777777" w:rsidR="00B76BF1" w:rsidRPr="00E53719" w:rsidRDefault="00C418A2">
      <w:pPr>
        <w:pStyle w:val="FirstParagraph"/>
        <w:rPr>
          <w:lang w:val="en-GB"/>
        </w:rPr>
      </w:pPr>
      <w:r w:rsidRPr="00E53719">
        <w:rPr>
          <w:lang w:val="en-GB"/>
        </w:rPr>
        <w:t xml:space="preserve">The task was programmed in MATLAB (The Mathworks Inc., USA) using the PsychToolBox (Brainard, 1997). Data processing and analyses were done in Python with numpy </w:t>
      </w:r>
      <w:r w:rsidRPr="00E53719">
        <w:rPr>
          <w:lang w:val="en-GB"/>
        </w:rPr>
        <w:lastRenderedPageBreak/>
        <w:t>(Harris et al., 2020), scipy (Virtanen et al., 2020) and pandas (McKinney, 2010) libraries. Bayesian analyses were implemented in PyMC3 (Salvatier, Wiecki, &amp; Fonnesbeck, 2016), mixed models used bambi (Yarkoni &amp; Westfall, 2016). Exceedance probabilities were computed in MATLAB using SPM12 (Penny, Friston, Ashburner, Kiebel, &amp; Nichols, 2011). Figures were created using matplotlib (Hunter, 2007).</w:t>
      </w:r>
      <w:bookmarkStart w:id="116" w:name="software"/>
      <w:bookmarkEnd w:id="116"/>
    </w:p>
    <w:p w14:paraId="4872B2C2" w14:textId="77777777" w:rsidR="00B76BF1" w:rsidRPr="00E53719" w:rsidRDefault="00C418A2">
      <w:pPr>
        <w:pStyle w:val="Heading2"/>
        <w:rPr>
          <w:lang w:val="en-GB"/>
        </w:rPr>
      </w:pPr>
      <w:r w:rsidRPr="00E53719">
        <w:rPr>
          <w:lang w:val="en-GB"/>
        </w:rPr>
        <w:t>Data and code availability</w:t>
      </w:r>
    </w:p>
    <w:p w14:paraId="03D6A7AB" w14:textId="1F24E743" w:rsidR="00367EA8" w:rsidRPr="00E53719" w:rsidRDefault="00C418A2" w:rsidP="00367EA8">
      <w:pPr>
        <w:pStyle w:val="FirstParagraph"/>
        <w:rPr>
          <w:lang w:val="en-GB"/>
        </w:rPr>
      </w:pPr>
      <w:r w:rsidRPr="00E53719">
        <w:rPr>
          <w:lang w:val="en-GB"/>
        </w:rPr>
        <w:t xml:space="preserve">All raw and preprocessed data, and scripts to reproduce all reported processing, analyses and figures are available at </w:t>
      </w:r>
      <w:hyperlink w:anchor="https://github.com/moltaire/gda-context">
        <w:r w:rsidRPr="00E53719">
          <w:rPr>
            <w:rStyle w:val="Hyperlink"/>
            <w:lang w:val="en-GB"/>
          </w:rPr>
          <w:t>https://github.com/moltaire/gda-context</w:t>
        </w:r>
      </w:hyperlink>
      <w:r w:rsidRPr="00E53719">
        <w:rPr>
          <w:lang w:val="en-GB"/>
        </w:rPr>
        <w:t>.</w:t>
      </w:r>
      <w:r w:rsidR="00367EA8" w:rsidRPr="00E53719">
        <w:rPr>
          <w:lang w:val="en-GB"/>
        </w:rPr>
        <w:br w:type="page"/>
      </w:r>
    </w:p>
    <w:p w14:paraId="5D3B6C51" w14:textId="77777777" w:rsidR="00B76BF1" w:rsidRPr="00E53719" w:rsidRDefault="00C418A2">
      <w:pPr>
        <w:pStyle w:val="Heading1"/>
        <w:rPr>
          <w:lang w:val="en-GB"/>
        </w:rPr>
      </w:pPr>
      <w:r w:rsidRPr="00E53719">
        <w:rPr>
          <w:lang w:val="en-GB"/>
        </w:rPr>
        <w:lastRenderedPageBreak/>
        <w:t>References</w:t>
      </w:r>
    </w:p>
    <w:p w14:paraId="4BB73B96" w14:textId="77777777" w:rsidR="00B76BF1" w:rsidRPr="00E53719" w:rsidRDefault="00C418A2">
      <w:pPr>
        <w:pStyle w:val="HangingIndent"/>
        <w:rPr>
          <w:lang w:val="en-GB"/>
        </w:rPr>
      </w:pPr>
      <w:r w:rsidRPr="00E53719">
        <w:rPr>
          <w:lang w:val="en-GB"/>
        </w:rPr>
        <w:t xml:space="preserve">Armel, K. C., Beaumel, A., &amp; Rangel, A. (2008). Biasing simple choices by manipulating relative visual attention. </w:t>
      </w:r>
      <w:r w:rsidRPr="00E53719">
        <w:rPr>
          <w:i/>
          <w:lang w:val="en-GB"/>
        </w:rPr>
        <w:t>Judgment and Decision Making</w:t>
      </w:r>
      <w:r w:rsidRPr="00E53719">
        <w:rPr>
          <w:lang w:val="en-GB"/>
        </w:rPr>
        <w:t xml:space="preserve">, </w:t>
      </w:r>
      <w:r w:rsidRPr="00E53719">
        <w:rPr>
          <w:i/>
          <w:lang w:val="en-GB"/>
        </w:rPr>
        <w:t>3</w:t>
      </w:r>
      <w:r w:rsidRPr="00E53719">
        <w:rPr>
          <w:lang w:val="en-GB"/>
        </w:rPr>
        <w:t>(5), 396–403.</w:t>
      </w:r>
      <w:bookmarkStart w:id="117" w:name="ref-armel2008biasing"/>
      <w:bookmarkEnd w:id="117"/>
    </w:p>
    <w:p w14:paraId="4F75D35E" w14:textId="77777777" w:rsidR="00B76BF1" w:rsidRPr="00E53719" w:rsidRDefault="00C418A2">
      <w:pPr>
        <w:pStyle w:val="HangingIndent"/>
        <w:rPr>
          <w:lang w:val="en-GB"/>
        </w:rPr>
      </w:pPr>
      <w:r w:rsidRPr="00E53719">
        <w:rPr>
          <w:lang w:val="en-GB"/>
        </w:rPr>
        <w:t xml:space="preserve">Ashby, N. J., Jekel, M., Dickert, S., &amp; Glöckner, A. (2016). Finding the right fit: A comparison of process assumptions underlying popular drift-diffusion models. </w:t>
      </w:r>
      <w:r w:rsidRPr="00E53719">
        <w:rPr>
          <w:i/>
          <w:lang w:val="en-GB"/>
        </w:rPr>
        <w:t>Journal of Experimental Psychology: Learning, Memory, and Cognition</w:t>
      </w:r>
      <w:r w:rsidRPr="00E53719">
        <w:rPr>
          <w:lang w:val="en-GB"/>
        </w:rPr>
        <w:t xml:space="preserve">, </w:t>
      </w:r>
      <w:r w:rsidRPr="00E53719">
        <w:rPr>
          <w:i/>
          <w:lang w:val="en-GB"/>
        </w:rPr>
        <w:t>42</w:t>
      </w:r>
      <w:r w:rsidRPr="00E53719">
        <w:rPr>
          <w:lang w:val="en-GB"/>
        </w:rPr>
        <w:t>(12), 1982.</w:t>
      </w:r>
      <w:bookmarkStart w:id="118" w:name="ref-ashby2016finding"/>
      <w:bookmarkEnd w:id="118"/>
    </w:p>
    <w:p w14:paraId="763A89DF" w14:textId="77777777" w:rsidR="00B76BF1" w:rsidRPr="00E53719" w:rsidRDefault="00C418A2">
      <w:pPr>
        <w:pStyle w:val="HangingIndent"/>
        <w:rPr>
          <w:lang w:val="en-GB"/>
        </w:rPr>
      </w:pPr>
      <w:r w:rsidRPr="00E53719">
        <w:rPr>
          <w:lang w:val="en-GB"/>
        </w:rPr>
        <w:t xml:space="preserve">Berkowitsch, N. A., Scheibehenne, B., &amp; Rieskamp, J. (2014). Rigorously testing multialternative decision field theory against random utility models.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(3), 1331.</w:t>
      </w:r>
      <w:bookmarkStart w:id="119" w:name="ref-berkowitsch2014rigorously"/>
      <w:bookmarkEnd w:id="119"/>
    </w:p>
    <w:p w14:paraId="3EC83037" w14:textId="77777777" w:rsidR="00B76BF1" w:rsidRPr="00E53719" w:rsidRDefault="00C418A2">
      <w:pPr>
        <w:pStyle w:val="HangingIndent"/>
        <w:rPr>
          <w:lang w:val="en-GB"/>
        </w:rPr>
      </w:pPr>
      <w:r w:rsidRPr="00E53719">
        <w:rPr>
          <w:lang w:val="en-GB"/>
        </w:rPr>
        <w:t xml:space="preserve">Bhatia, S. (2013). Associations and the accumulation of preference. </w:t>
      </w:r>
      <w:r w:rsidRPr="00E53719">
        <w:rPr>
          <w:i/>
          <w:lang w:val="en-GB"/>
        </w:rPr>
        <w:t>Psychological Review</w:t>
      </w:r>
      <w:r w:rsidRPr="00E53719">
        <w:rPr>
          <w:lang w:val="en-GB"/>
        </w:rPr>
        <w:t xml:space="preserve">, </w:t>
      </w:r>
      <w:r w:rsidRPr="00E53719">
        <w:rPr>
          <w:i/>
          <w:lang w:val="en-GB"/>
        </w:rPr>
        <w:t>120</w:t>
      </w:r>
      <w:r w:rsidRPr="00E53719">
        <w:rPr>
          <w:lang w:val="en-GB"/>
        </w:rPr>
        <w:t>(3), 522.</w:t>
      </w:r>
      <w:bookmarkStart w:id="120" w:name="ref-bhatia2013associations"/>
      <w:bookmarkEnd w:id="120"/>
    </w:p>
    <w:p w14:paraId="20EE7FBB" w14:textId="77777777" w:rsidR="00B76BF1" w:rsidRPr="00E53719" w:rsidRDefault="00C418A2">
      <w:pPr>
        <w:pStyle w:val="HangingIndent"/>
        <w:rPr>
          <w:lang w:val="en-GB"/>
        </w:rPr>
      </w:pPr>
      <w:r w:rsidRPr="00E53719">
        <w:rPr>
          <w:lang w:val="en-GB"/>
        </w:rPr>
        <w:t xml:space="preserve">Böckenholt, U. (1992). </w:t>
      </w:r>
      <w:r w:rsidRPr="00E53719">
        <w:rPr>
          <w:i/>
          <w:lang w:val="en-GB"/>
        </w:rPr>
        <w:t>Multivariate models of preference and choice.</w:t>
      </w:r>
      <w:bookmarkStart w:id="121" w:name="ref-bockenholt1992multivariate"/>
      <w:bookmarkEnd w:id="121"/>
    </w:p>
    <w:p w14:paraId="78A6E2ED" w14:textId="77777777" w:rsidR="00B76BF1" w:rsidRPr="00E53719" w:rsidRDefault="00C418A2">
      <w:pPr>
        <w:pStyle w:val="HangingIndent"/>
        <w:rPr>
          <w:lang w:val="en-GB"/>
        </w:rPr>
      </w:pPr>
      <w:r w:rsidRPr="00E53719">
        <w:rPr>
          <w:lang w:val="en-GB"/>
        </w:rPr>
        <w:t xml:space="preserve">Brainard, D. H. (1997). The psychophysics toolbox. </w:t>
      </w:r>
      <w:r w:rsidRPr="00E53719">
        <w:rPr>
          <w:i/>
          <w:lang w:val="en-GB"/>
        </w:rPr>
        <w:t>Spatial Vision</w:t>
      </w:r>
      <w:r w:rsidRPr="00E53719">
        <w:rPr>
          <w:lang w:val="en-GB"/>
        </w:rPr>
        <w:t xml:space="preserve">, </w:t>
      </w:r>
      <w:r w:rsidRPr="00E53719">
        <w:rPr>
          <w:i/>
          <w:lang w:val="en-GB"/>
        </w:rPr>
        <w:t>10</w:t>
      </w:r>
      <w:r w:rsidRPr="00E53719">
        <w:rPr>
          <w:lang w:val="en-GB"/>
        </w:rPr>
        <w:t>(4), 433–436.</w:t>
      </w:r>
      <w:bookmarkStart w:id="122" w:name="ref-brainard1997psychophysics"/>
      <w:bookmarkEnd w:id="122"/>
    </w:p>
    <w:p w14:paraId="355C8E91" w14:textId="77777777" w:rsidR="00B76BF1" w:rsidRPr="00E53719" w:rsidRDefault="00C418A2">
      <w:pPr>
        <w:pStyle w:val="HangingIndent"/>
        <w:rPr>
          <w:lang w:val="en-GB"/>
        </w:rPr>
      </w:pPr>
      <w:r w:rsidRPr="00E53719">
        <w:rPr>
          <w:lang w:val="en-GB"/>
        </w:rPr>
        <w:t xml:space="preserve">Busemeyer, J. R., &amp; Diederich, A. (2002). Survey of decision field theory. </w:t>
      </w:r>
      <w:r w:rsidRPr="00E53719">
        <w:rPr>
          <w:i/>
          <w:lang w:val="en-GB"/>
        </w:rPr>
        <w:t>Mathematical Social Sciences</w:t>
      </w:r>
      <w:r w:rsidRPr="00E53719">
        <w:rPr>
          <w:lang w:val="en-GB"/>
        </w:rPr>
        <w:t xml:space="preserve">, </w:t>
      </w:r>
      <w:r w:rsidRPr="00E53719">
        <w:rPr>
          <w:i/>
          <w:lang w:val="en-GB"/>
        </w:rPr>
        <w:t>43</w:t>
      </w:r>
      <w:r w:rsidRPr="00E53719">
        <w:rPr>
          <w:lang w:val="en-GB"/>
        </w:rPr>
        <w:t>(3), 345–370.</w:t>
      </w:r>
      <w:bookmarkStart w:id="123" w:name="ref-busemeyer2002survey"/>
      <w:bookmarkEnd w:id="123"/>
    </w:p>
    <w:p w14:paraId="3AD61CE1" w14:textId="77777777" w:rsidR="00B76BF1" w:rsidRPr="00E53719" w:rsidRDefault="00C418A2">
      <w:pPr>
        <w:pStyle w:val="HangingIndent"/>
        <w:rPr>
          <w:lang w:val="en-GB"/>
        </w:rPr>
      </w:pPr>
      <w:r w:rsidRPr="00E53719">
        <w:rPr>
          <w:lang w:val="en-GB"/>
        </w:rPr>
        <w:t xml:space="preserve">Busemeyer, J. R., Gluth, S., Rieskamp, J., &amp; Turner, B. M. (2019). Cognitive and neural bases of multi-attribute, multi-alternative, value-based decisions. </w:t>
      </w:r>
      <w:r w:rsidRPr="00E53719">
        <w:rPr>
          <w:i/>
          <w:lang w:val="en-GB"/>
        </w:rPr>
        <w:t>Trends in Cognitive Sciences</w:t>
      </w:r>
      <w:r w:rsidRPr="00E53719">
        <w:rPr>
          <w:lang w:val="en-GB"/>
        </w:rPr>
        <w:t xml:space="preserve">, </w:t>
      </w:r>
      <w:r w:rsidRPr="00E53719">
        <w:rPr>
          <w:i/>
          <w:lang w:val="en-GB"/>
        </w:rPr>
        <w:t>23</w:t>
      </w:r>
      <w:r w:rsidRPr="00E53719">
        <w:rPr>
          <w:lang w:val="en-GB"/>
        </w:rPr>
        <w:t>(3), 251–263.</w:t>
      </w:r>
      <w:bookmarkStart w:id="124" w:name="ref-busemeyer2019cognitive"/>
      <w:bookmarkEnd w:id="124"/>
    </w:p>
    <w:p w14:paraId="431EB32A" w14:textId="77777777" w:rsidR="00B76BF1" w:rsidRPr="00E53719" w:rsidRDefault="00C418A2">
      <w:pPr>
        <w:pStyle w:val="HangingIndent"/>
        <w:rPr>
          <w:lang w:val="en-GB"/>
        </w:rPr>
      </w:pPr>
      <w:r w:rsidRPr="00E53719">
        <w:rPr>
          <w:lang w:val="en-GB"/>
        </w:rPr>
        <w:t xml:space="preserve">Cataldo, A. M., &amp; Cohen, A. L. (2019). The comparison process as an account of variation in the attraction, compromise, and similarity effects. </w:t>
      </w:r>
      <w:r w:rsidRPr="00E53719">
        <w:rPr>
          <w:i/>
          <w:lang w:val="en-GB"/>
        </w:rPr>
        <w:t>Psychonomic Bulletin &amp; Review</w:t>
      </w:r>
      <w:r w:rsidRPr="00E53719">
        <w:rPr>
          <w:lang w:val="en-GB"/>
        </w:rPr>
        <w:t xml:space="preserve">, </w:t>
      </w:r>
      <w:r w:rsidRPr="00E53719">
        <w:rPr>
          <w:i/>
          <w:lang w:val="en-GB"/>
        </w:rPr>
        <w:t>26</w:t>
      </w:r>
      <w:r w:rsidRPr="00E53719">
        <w:rPr>
          <w:lang w:val="en-GB"/>
        </w:rPr>
        <w:t>(3), 934–942.</w:t>
      </w:r>
      <w:bookmarkStart w:id="125" w:name="ref-cataldo2019comparison"/>
      <w:bookmarkEnd w:id="125"/>
    </w:p>
    <w:p w14:paraId="0BCC1A6B" w14:textId="77777777" w:rsidR="00B76BF1" w:rsidRPr="00E53719" w:rsidRDefault="00C418A2">
      <w:pPr>
        <w:pStyle w:val="HangingIndent"/>
        <w:rPr>
          <w:lang w:val="en-GB"/>
        </w:rPr>
      </w:pPr>
      <w:r w:rsidRPr="00E53719">
        <w:rPr>
          <w:lang w:val="en-GB"/>
        </w:rPr>
        <w:t xml:space="preserve">Cavagnaro, D. R., Pitt, M. A., Gonzalez, R., &amp; Myung, J. I. (2013). Discriminating among probability weighting functions using adaptive design optimization. </w:t>
      </w:r>
      <w:r w:rsidRPr="00E53719">
        <w:rPr>
          <w:i/>
          <w:lang w:val="en-GB"/>
        </w:rPr>
        <w:t>Journal of Risk and Uncertainty</w:t>
      </w:r>
      <w:r w:rsidRPr="00E53719">
        <w:rPr>
          <w:lang w:val="en-GB"/>
        </w:rPr>
        <w:t xml:space="preserve">, </w:t>
      </w:r>
      <w:r w:rsidRPr="00E53719">
        <w:rPr>
          <w:i/>
          <w:lang w:val="en-GB"/>
        </w:rPr>
        <w:t>47</w:t>
      </w:r>
      <w:r w:rsidRPr="00E53719">
        <w:rPr>
          <w:lang w:val="en-GB"/>
        </w:rPr>
        <w:t>(3), 255–289.</w:t>
      </w:r>
      <w:bookmarkStart w:id="126" w:name="ref-cavagnaro2013discriminating"/>
      <w:bookmarkEnd w:id="126"/>
    </w:p>
    <w:p w14:paraId="301E2B47" w14:textId="77777777" w:rsidR="00B76BF1" w:rsidRPr="00E53719" w:rsidRDefault="00C418A2">
      <w:pPr>
        <w:pStyle w:val="HangingIndent"/>
        <w:rPr>
          <w:lang w:val="en-GB"/>
        </w:rPr>
      </w:pPr>
      <w:r w:rsidRPr="00E53719">
        <w:rPr>
          <w:lang w:val="en-GB"/>
        </w:rPr>
        <w:lastRenderedPageBreak/>
        <w:t xml:space="preserve">Cavanagh, J. F., Wiecki, T. V., Kochar, A., &amp; Frank, M. J. (2014). Eye tracking and pupillometry are indicators of dissociable latent decision processes.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(4), 1476.</w:t>
      </w:r>
      <w:bookmarkStart w:id="127" w:name="ref-cavanagh2014eye"/>
      <w:bookmarkEnd w:id="127"/>
    </w:p>
    <w:p w14:paraId="106F034F" w14:textId="77777777" w:rsidR="00B76BF1" w:rsidRPr="00E53719" w:rsidRDefault="00C418A2">
      <w:pPr>
        <w:pStyle w:val="HangingIndent"/>
        <w:rPr>
          <w:lang w:val="en-GB"/>
        </w:rPr>
      </w:pPr>
      <w:r w:rsidRPr="00E53719">
        <w:rPr>
          <w:lang w:val="en-GB"/>
        </w:rPr>
        <w:t xml:space="preserve">Cohen, A. L., Kang, N., &amp; Leise, T. L. (2017). Multi-attribute, multi-alternative models of choice: Choice, reaction time, and process tracing. </w:t>
      </w:r>
      <w:r w:rsidRPr="00E53719">
        <w:rPr>
          <w:i/>
          <w:lang w:val="en-GB"/>
        </w:rPr>
        <w:t>Cognitive Psychology</w:t>
      </w:r>
      <w:r w:rsidRPr="00E53719">
        <w:rPr>
          <w:lang w:val="en-GB"/>
        </w:rPr>
        <w:t xml:space="preserve">, </w:t>
      </w:r>
      <w:r w:rsidRPr="00E53719">
        <w:rPr>
          <w:i/>
          <w:lang w:val="en-GB"/>
        </w:rPr>
        <w:t>98</w:t>
      </w:r>
      <w:r w:rsidRPr="00E53719">
        <w:rPr>
          <w:lang w:val="en-GB"/>
        </w:rPr>
        <w:t>, 45–72.</w:t>
      </w:r>
      <w:bookmarkStart w:id="128" w:name="ref-cohen2017multi"/>
      <w:bookmarkEnd w:id="128"/>
    </w:p>
    <w:p w14:paraId="0DDEB03D" w14:textId="77777777" w:rsidR="00B76BF1" w:rsidRPr="00E53719" w:rsidRDefault="00C418A2">
      <w:pPr>
        <w:pStyle w:val="HangingIndent"/>
        <w:rPr>
          <w:lang w:val="en-GB"/>
        </w:rPr>
      </w:pPr>
      <w:r w:rsidRPr="00E53719">
        <w:rPr>
          <w:lang w:val="en-GB"/>
        </w:rPr>
        <w:t xml:space="preserve">Fiedler, S., &amp; Glöckner, A. (2012). The Dynamics of Decision Making in Risky Choice: An Eye-Tracking Analysis. </w:t>
      </w:r>
      <w:r w:rsidRPr="00E53719">
        <w:rPr>
          <w:i/>
          <w:lang w:val="en-GB"/>
        </w:rPr>
        <w:t>Frontiers in Psychology</w:t>
      </w:r>
      <w:r w:rsidRPr="00E53719">
        <w:rPr>
          <w:lang w:val="en-GB"/>
        </w:rPr>
        <w:t xml:space="preserve">, </w:t>
      </w:r>
      <w:r w:rsidRPr="00E53719">
        <w:rPr>
          <w:i/>
          <w:lang w:val="en-GB"/>
        </w:rPr>
        <w:t>3</w:t>
      </w:r>
      <w:r w:rsidRPr="00E53719">
        <w:rPr>
          <w:lang w:val="en-GB"/>
        </w:rPr>
        <w:t xml:space="preserve">. </w:t>
      </w:r>
      <w:hyperlink r:id="rId18">
        <w:r w:rsidRPr="00E53719">
          <w:rPr>
            <w:rStyle w:val="Hyperlink"/>
            <w:lang w:val="en-GB"/>
          </w:rPr>
          <w:t>https://doi.org/10.3389/fpsyg.2012.00335</w:t>
        </w:r>
      </w:hyperlink>
    </w:p>
    <w:p w14:paraId="331BD307" w14:textId="77777777" w:rsidR="00B76BF1" w:rsidRPr="00E53719" w:rsidRDefault="00C418A2">
      <w:pPr>
        <w:pStyle w:val="HangingIndent"/>
        <w:rPr>
          <w:lang w:val="en-GB"/>
        </w:rPr>
      </w:pPr>
      <w:r w:rsidRPr="00E53719">
        <w:rPr>
          <w:lang w:val="en-GB"/>
        </w:rPr>
        <w:t xml:space="preserve">Fisher, G. (2017). An attentional drift diffusion model over binary-attribute choice. </w:t>
      </w:r>
      <w:r w:rsidRPr="00E53719">
        <w:rPr>
          <w:i/>
          <w:lang w:val="en-GB"/>
        </w:rPr>
        <w:t>Cognition</w:t>
      </w:r>
      <w:r w:rsidRPr="00E53719">
        <w:rPr>
          <w:lang w:val="en-GB"/>
        </w:rPr>
        <w:t xml:space="preserve">, </w:t>
      </w:r>
      <w:r w:rsidRPr="00E53719">
        <w:rPr>
          <w:i/>
          <w:lang w:val="en-GB"/>
        </w:rPr>
        <w:t>168</w:t>
      </w:r>
      <w:r w:rsidRPr="00E53719">
        <w:rPr>
          <w:lang w:val="en-GB"/>
        </w:rPr>
        <w:t>, 34–45.</w:t>
      </w:r>
      <w:bookmarkStart w:id="129" w:name="ref-fisher2017attentional"/>
      <w:bookmarkEnd w:id="129"/>
    </w:p>
    <w:p w14:paraId="4D7B763B" w14:textId="77777777" w:rsidR="00B76BF1" w:rsidRPr="00E53719" w:rsidRDefault="00C418A2">
      <w:pPr>
        <w:pStyle w:val="HangingIndent"/>
        <w:rPr>
          <w:lang w:val="en-GB"/>
        </w:rPr>
      </w:pPr>
      <w:r w:rsidRPr="00E53719">
        <w:rPr>
          <w:lang w:val="en-GB"/>
        </w:rPr>
        <w:t xml:space="preserve">Folke, T., Jacobsen, C., Fleming, S. M., &amp; De Martino, B. (2016). Explicit representation of confidence informs future value-based decisions. </w:t>
      </w:r>
      <w:r w:rsidRPr="00E53719">
        <w:rPr>
          <w:i/>
          <w:lang w:val="en-GB"/>
        </w:rPr>
        <w:t>Nature Human Behaviour</w:t>
      </w:r>
      <w:r w:rsidRPr="00E53719">
        <w:rPr>
          <w:lang w:val="en-GB"/>
        </w:rPr>
        <w:t xml:space="preserve">, </w:t>
      </w:r>
      <w:r w:rsidRPr="00E53719">
        <w:rPr>
          <w:i/>
          <w:lang w:val="en-GB"/>
        </w:rPr>
        <w:t>1</w:t>
      </w:r>
      <w:r w:rsidRPr="00E53719">
        <w:rPr>
          <w:lang w:val="en-GB"/>
        </w:rPr>
        <w:t>(1), 1–8.</w:t>
      </w:r>
      <w:bookmarkStart w:id="130" w:name="ref-folke2016explicit"/>
      <w:bookmarkEnd w:id="130"/>
    </w:p>
    <w:p w14:paraId="1473823D" w14:textId="77777777" w:rsidR="00B76BF1" w:rsidRPr="00E53719" w:rsidRDefault="00C418A2">
      <w:pPr>
        <w:pStyle w:val="HangingIndent"/>
        <w:rPr>
          <w:lang w:val="en-GB"/>
        </w:rPr>
      </w:pPr>
      <w:r w:rsidRPr="00E53719">
        <w:rPr>
          <w:lang w:val="en-GB"/>
        </w:rPr>
        <w:t xml:space="preserve">Glickman, M., Sharoni, O., Levy, D. J., Niebur, E., Stuphorn, V., &amp; Usher, M. (2019). The formation of preference in risky choice. </w:t>
      </w:r>
      <w:r w:rsidRPr="00E53719">
        <w:rPr>
          <w:i/>
          <w:lang w:val="en-GB"/>
        </w:rPr>
        <w:t>PLoS Computational Biology</w:t>
      </w:r>
      <w:r w:rsidRPr="00E53719">
        <w:rPr>
          <w:lang w:val="en-GB"/>
        </w:rPr>
        <w:t xml:space="preserve">, </w:t>
      </w:r>
      <w:r w:rsidRPr="00E53719">
        <w:rPr>
          <w:i/>
          <w:lang w:val="en-GB"/>
        </w:rPr>
        <w:t>15</w:t>
      </w:r>
      <w:r w:rsidRPr="00E53719">
        <w:rPr>
          <w:lang w:val="en-GB"/>
        </w:rPr>
        <w:t>(8), e1007201.</w:t>
      </w:r>
      <w:bookmarkStart w:id="131" w:name="ref-glickman2019formation"/>
      <w:bookmarkEnd w:id="131"/>
    </w:p>
    <w:p w14:paraId="2E58189B" w14:textId="77777777" w:rsidR="00B76BF1" w:rsidRPr="00E53719" w:rsidRDefault="00C418A2">
      <w:pPr>
        <w:pStyle w:val="HangingIndent"/>
        <w:rPr>
          <w:lang w:val="en-GB"/>
        </w:rPr>
      </w:pPr>
      <w:r w:rsidRPr="00E53719">
        <w:rPr>
          <w:lang w:val="en-GB"/>
        </w:rPr>
        <w:t xml:space="preserve">Glöckner, A., &amp; Herbold, A.-K. (2011). </w:t>
      </w:r>
      <w:r w:rsidRPr="00E53719">
        <w:rPr>
          <w:i/>
          <w:lang w:val="en-GB"/>
        </w:rPr>
        <w:t>An eye-tracking study on information processing in risky decisions: Evidence for compensatory strategies based on automatic processes</w:t>
      </w:r>
      <w:r w:rsidRPr="00E53719">
        <w:rPr>
          <w:lang w:val="en-GB"/>
        </w:rPr>
        <w:t xml:space="preserve">. 24(1), 71–98. </w:t>
      </w:r>
      <w:hyperlink r:id="rId19">
        <w:r w:rsidRPr="00E53719">
          <w:rPr>
            <w:rStyle w:val="Hyperlink"/>
            <w:lang w:val="en-GB"/>
          </w:rPr>
          <w:t>https://doi.org/10.1002/bdm.684</w:t>
        </w:r>
      </w:hyperlink>
    </w:p>
    <w:p w14:paraId="04B4BFDD" w14:textId="77777777" w:rsidR="00B76BF1" w:rsidRPr="00E53719" w:rsidRDefault="00C418A2">
      <w:pPr>
        <w:pStyle w:val="HangingIndent"/>
        <w:rPr>
          <w:lang w:val="en-GB"/>
        </w:rPr>
      </w:pPr>
      <w:r w:rsidRPr="00E53719">
        <w:rPr>
          <w:lang w:val="en-GB"/>
        </w:rPr>
        <w:t xml:space="preserve">Gluth, S., Kern, N., Kortmann, M., &amp; Vitali, C. L. (2020). Value-based attention but not divisive normalization influences decisions with multiple alternatives. </w:t>
      </w:r>
      <w:r w:rsidRPr="00E53719">
        <w:rPr>
          <w:i/>
          <w:lang w:val="en-GB"/>
        </w:rPr>
        <w:t>Nature Human Behaviour</w:t>
      </w:r>
      <w:r w:rsidRPr="00E53719">
        <w:rPr>
          <w:lang w:val="en-GB"/>
        </w:rPr>
        <w:t>, 1–12.</w:t>
      </w:r>
      <w:bookmarkStart w:id="132" w:name="ref-gluth2020value"/>
      <w:bookmarkEnd w:id="132"/>
    </w:p>
    <w:p w14:paraId="253134B0" w14:textId="77777777" w:rsidR="00B76BF1" w:rsidRPr="00E53719" w:rsidRDefault="00C418A2">
      <w:pPr>
        <w:pStyle w:val="HangingIndent"/>
        <w:rPr>
          <w:lang w:val="en-GB"/>
        </w:rPr>
      </w:pPr>
      <w:r w:rsidRPr="00E53719">
        <w:rPr>
          <w:lang w:val="en-GB"/>
        </w:rPr>
        <w:t xml:space="preserve">Gluth, S., Spektor, M. S., &amp; Rieskamp, J. (2018). Value-based attentional capture affects multi-alternative decision making. </w:t>
      </w:r>
      <w:r w:rsidRPr="00E53719">
        <w:rPr>
          <w:i/>
          <w:lang w:val="en-GB"/>
        </w:rPr>
        <w:t>Elife</w:t>
      </w:r>
      <w:r w:rsidRPr="00E53719">
        <w:rPr>
          <w:lang w:val="en-GB"/>
        </w:rPr>
        <w:t xml:space="preserve">, </w:t>
      </w:r>
      <w:r w:rsidRPr="00E53719">
        <w:rPr>
          <w:i/>
          <w:lang w:val="en-GB"/>
        </w:rPr>
        <w:t>7</w:t>
      </w:r>
      <w:r w:rsidRPr="00E53719">
        <w:rPr>
          <w:lang w:val="en-GB"/>
        </w:rPr>
        <w:t>, e39659.</w:t>
      </w:r>
      <w:bookmarkStart w:id="133" w:name="ref-gluth2018value"/>
      <w:bookmarkEnd w:id="133"/>
    </w:p>
    <w:p w14:paraId="6BBF0EA3" w14:textId="77777777" w:rsidR="00B76BF1" w:rsidRPr="00E53719" w:rsidRDefault="00C418A2">
      <w:pPr>
        <w:pStyle w:val="HangingIndent"/>
        <w:rPr>
          <w:lang w:val="en-GB"/>
        </w:rPr>
      </w:pPr>
      <w:r w:rsidRPr="00E53719">
        <w:rPr>
          <w:lang w:val="en-GB"/>
        </w:rPr>
        <w:t xml:space="preserve">Gwinn, R., Leber, A. B., &amp; Krajbich, I. (2019). The spillover effects of attentional learning on value-based choice. </w:t>
      </w:r>
      <w:r w:rsidRPr="00E53719">
        <w:rPr>
          <w:i/>
          <w:lang w:val="en-GB"/>
        </w:rPr>
        <w:t>Cognition</w:t>
      </w:r>
      <w:r w:rsidRPr="00E53719">
        <w:rPr>
          <w:lang w:val="en-GB"/>
        </w:rPr>
        <w:t xml:space="preserve">, </w:t>
      </w:r>
      <w:r w:rsidRPr="00E53719">
        <w:rPr>
          <w:i/>
          <w:lang w:val="en-GB"/>
        </w:rPr>
        <w:t>182</w:t>
      </w:r>
      <w:r w:rsidRPr="00E53719">
        <w:rPr>
          <w:lang w:val="en-GB"/>
        </w:rPr>
        <w:t xml:space="preserve">, 294–306. </w:t>
      </w:r>
      <w:hyperlink r:id="rId20">
        <w:r w:rsidRPr="00E53719">
          <w:rPr>
            <w:rStyle w:val="Hyperlink"/>
            <w:lang w:val="en-GB"/>
          </w:rPr>
          <w:t>https://doi.org/10.1016/j.cognition.2018.10.012</w:t>
        </w:r>
      </w:hyperlink>
    </w:p>
    <w:p w14:paraId="1BA18717" w14:textId="77777777" w:rsidR="00B76BF1" w:rsidRPr="00E53719" w:rsidRDefault="00C418A2">
      <w:pPr>
        <w:pStyle w:val="HangingIndent"/>
        <w:rPr>
          <w:lang w:val="en-GB"/>
        </w:rPr>
      </w:pPr>
      <w:r w:rsidRPr="00E53719">
        <w:rPr>
          <w:lang w:val="en-GB"/>
        </w:rPr>
        <w:lastRenderedPageBreak/>
        <w:t xml:space="preserve">Harris, C. R., Millman, K. J., Walt, S. J. van der, Gommers, R., Virtanen, P., Cournapeau, D., … Oliphant, T. E. (2020). Array programming with NumPy. </w:t>
      </w:r>
      <w:r w:rsidRPr="00E53719">
        <w:rPr>
          <w:i/>
          <w:lang w:val="en-GB"/>
        </w:rPr>
        <w:t>Nature</w:t>
      </w:r>
      <w:r w:rsidRPr="00E53719">
        <w:rPr>
          <w:lang w:val="en-GB"/>
        </w:rPr>
        <w:t xml:space="preserve">, </w:t>
      </w:r>
      <w:r w:rsidRPr="00E53719">
        <w:rPr>
          <w:i/>
          <w:lang w:val="en-GB"/>
        </w:rPr>
        <w:t>585</w:t>
      </w:r>
      <w:r w:rsidRPr="00E53719">
        <w:rPr>
          <w:lang w:val="en-GB"/>
        </w:rPr>
        <w:t xml:space="preserve">(7825), 357–362. </w:t>
      </w:r>
      <w:hyperlink r:id="rId21">
        <w:r w:rsidRPr="00E53719">
          <w:rPr>
            <w:rStyle w:val="Hyperlink"/>
            <w:lang w:val="en-GB"/>
          </w:rPr>
          <w:t>https://doi.org/10.1038/s41586-020-2649-2</w:t>
        </w:r>
      </w:hyperlink>
    </w:p>
    <w:p w14:paraId="1EC84B35" w14:textId="77777777" w:rsidR="00B76BF1" w:rsidRPr="00E53719" w:rsidRDefault="00C418A2">
      <w:pPr>
        <w:pStyle w:val="HangingIndent"/>
        <w:rPr>
          <w:lang w:val="en-GB"/>
        </w:rPr>
      </w:pPr>
      <w:r w:rsidRPr="00E53719">
        <w:rPr>
          <w:lang w:val="en-GB"/>
        </w:rPr>
        <w:t xml:space="preserve">Hotaling, J. M., Busemeyer, J. R., &amp; Li, J. (2010). </w:t>
      </w:r>
      <w:r w:rsidRPr="00E53719">
        <w:rPr>
          <w:i/>
          <w:lang w:val="en-GB"/>
        </w:rPr>
        <w:t>Theoretical developments in decision field theory: Comment on tsetsos, usher, and chater (2010).</w:t>
      </w:r>
      <w:bookmarkStart w:id="134" w:name="ref-hotaling2010theoretical"/>
      <w:bookmarkEnd w:id="134"/>
    </w:p>
    <w:p w14:paraId="04F9FF88" w14:textId="77777777" w:rsidR="00B76BF1" w:rsidRPr="00E53719" w:rsidRDefault="00C418A2">
      <w:pPr>
        <w:pStyle w:val="HangingIndent"/>
        <w:rPr>
          <w:lang w:val="en-GB"/>
        </w:rPr>
      </w:pPr>
      <w:r w:rsidRPr="00E53719">
        <w:rPr>
          <w:lang w:val="en-GB"/>
        </w:rPr>
        <w:t xml:space="preserve">Hotaling, J. M., &amp; Rieskamp, J. (2019). A quantitative test of computational models of multialternative context effects. </w:t>
      </w:r>
      <w:r w:rsidRPr="00E53719">
        <w:rPr>
          <w:i/>
          <w:lang w:val="en-GB"/>
        </w:rPr>
        <w:t>Decision</w:t>
      </w:r>
      <w:r w:rsidRPr="00E53719">
        <w:rPr>
          <w:lang w:val="en-GB"/>
        </w:rPr>
        <w:t xml:space="preserve">, </w:t>
      </w:r>
      <w:r w:rsidRPr="00E53719">
        <w:rPr>
          <w:i/>
          <w:lang w:val="en-GB"/>
        </w:rPr>
        <w:t>6</w:t>
      </w:r>
      <w:r w:rsidRPr="00E53719">
        <w:rPr>
          <w:lang w:val="en-GB"/>
        </w:rPr>
        <w:t>(3), 201.</w:t>
      </w:r>
      <w:bookmarkStart w:id="135" w:name="ref-hotaling2019quantitative"/>
      <w:bookmarkEnd w:id="135"/>
    </w:p>
    <w:p w14:paraId="05CCBEA1" w14:textId="77777777" w:rsidR="00B76BF1" w:rsidRPr="00E53719" w:rsidRDefault="00C418A2">
      <w:pPr>
        <w:pStyle w:val="HangingIndent"/>
        <w:rPr>
          <w:lang w:val="en-GB"/>
        </w:rPr>
      </w:pPr>
      <w:r w:rsidRPr="00E53719">
        <w:rPr>
          <w:lang w:val="en-GB"/>
        </w:rPr>
        <w:t xml:space="preserve">Huber, J., Payne, J. W., &amp; Puto, C. (1982). Adding asymmetrically dominated alternatives: Violations of regularity and the similarity hypothesis. </w:t>
      </w:r>
      <w:r w:rsidRPr="00E53719">
        <w:rPr>
          <w:i/>
          <w:lang w:val="en-GB"/>
        </w:rPr>
        <w:t>Journal of Consumer Research</w:t>
      </w:r>
      <w:r w:rsidRPr="00E53719">
        <w:rPr>
          <w:lang w:val="en-GB"/>
        </w:rPr>
        <w:t xml:space="preserve">, </w:t>
      </w:r>
      <w:r w:rsidRPr="00E53719">
        <w:rPr>
          <w:i/>
          <w:lang w:val="en-GB"/>
        </w:rPr>
        <w:t>9</w:t>
      </w:r>
      <w:r w:rsidRPr="00E53719">
        <w:rPr>
          <w:lang w:val="en-GB"/>
        </w:rPr>
        <w:t>(1), 90–98.</w:t>
      </w:r>
      <w:bookmarkStart w:id="136" w:name="ref-huber1982adding"/>
      <w:bookmarkEnd w:id="136"/>
    </w:p>
    <w:p w14:paraId="1AB9DF23" w14:textId="77777777" w:rsidR="00B76BF1" w:rsidRPr="00E53719" w:rsidRDefault="00C418A2">
      <w:pPr>
        <w:pStyle w:val="HangingIndent"/>
        <w:rPr>
          <w:lang w:val="en-GB"/>
        </w:rPr>
      </w:pPr>
      <w:r w:rsidRPr="00E53719">
        <w:rPr>
          <w:lang w:val="en-GB"/>
        </w:rPr>
        <w:t xml:space="preserve">Hunter, J. D. (2007). Matplotlib: A 2D graphics environment. </w:t>
      </w:r>
      <w:r w:rsidRPr="00E53719">
        <w:rPr>
          <w:i/>
          <w:lang w:val="en-GB"/>
        </w:rPr>
        <w:t>Computing in Science &amp; Engineering</w:t>
      </w:r>
      <w:r w:rsidRPr="00E53719">
        <w:rPr>
          <w:lang w:val="en-GB"/>
        </w:rPr>
        <w:t xml:space="preserve">, </w:t>
      </w:r>
      <w:r w:rsidRPr="00E53719">
        <w:rPr>
          <w:i/>
          <w:lang w:val="en-GB"/>
        </w:rPr>
        <w:t>9</w:t>
      </w:r>
      <w:r w:rsidRPr="00E53719">
        <w:rPr>
          <w:lang w:val="en-GB"/>
        </w:rPr>
        <w:t xml:space="preserve">(3), 90–95. </w:t>
      </w:r>
      <w:hyperlink r:id="rId22">
        <w:r w:rsidRPr="00E53719">
          <w:rPr>
            <w:rStyle w:val="Hyperlink"/>
            <w:lang w:val="en-GB"/>
          </w:rPr>
          <w:t>https://doi.org/10.1109/MCSE.2007.55</w:t>
        </w:r>
      </w:hyperlink>
    </w:p>
    <w:p w14:paraId="67B2017A" w14:textId="77777777" w:rsidR="00B76BF1" w:rsidRPr="00E53719" w:rsidRDefault="00C418A2">
      <w:pPr>
        <w:pStyle w:val="HangingIndent"/>
        <w:rPr>
          <w:lang w:val="en-GB"/>
        </w:rPr>
      </w:pPr>
      <w:r w:rsidRPr="00E53719">
        <w:rPr>
          <w:lang w:val="en-GB"/>
        </w:rPr>
        <w:t xml:space="preserve">Isham, E. A., &amp; Geng, J. J. (2013). Looking Time Predicts Choice but Not Aesthetic Value. </w:t>
      </w:r>
      <w:r w:rsidRPr="00E53719">
        <w:rPr>
          <w:i/>
          <w:lang w:val="en-GB"/>
        </w:rPr>
        <w:t>PLOS ONE</w:t>
      </w:r>
      <w:r w:rsidRPr="00E53719">
        <w:rPr>
          <w:lang w:val="en-GB"/>
        </w:rPr>
        <w:t xml:space="preserve">, </w:t>
      </w:r>
      <w:r w:rsidRPr="00E53719">
        <w:rPr>
          <w:i/>
          <w:lang w:val="en-GB"/>
        </w:rPr>
        <w:t>8</w:t>
      </w:r>
      <w:r w:rsidRPr="00E53719">
        <w:rPr>
          <w:lang w:val="en-GB"/>
        </w:rPr>
        <w:t xml:space="preserve">(8), e71698. </w:t>
      </w:r>
      <w:hyperlink r:id="rId23">
        <w:r w:rsidRPr="00E53719">
          <w:rPr>
            <w:rStyle w:val="Hyperlink"/>
            <w:lang w:val="en-GB"/>
          </w:rPr>
          <w:t>https://doi.org/10.1371/journal.pone.0071698</w:t>
        </w:r>
      </w:hyperlink>
    </w:p>
    <w:p w14:paraId="32EF9544" w14:textId="77777777" w:rsidR="00B76BF1" w:rsidRPr="00E53719" w:rsidRDefault="00C418A2">
      <w:pPr>
        <w:pStyle w:val="HangingIndent"/>
        <w:rPr>
          <w:lang w:val="en-GB"/>
        </w:rPr>
      </w:pPr>
      <w:r w:rsidRPr="00E53719">
        <w:rPr>
          <w:lang w:val="en-GB"/>
        </w:rPr>
        <w:t xml:space="preserve">Johnson, E. J., Schulte-Mecklenbeck, M., &amp; Willemsen, M. C. (2008). Process models deserve process data: Comment on Brandstätter, Gigerenzer, and Hertwig (2006). </w:t>
      </w:r>
      <w:r w:rsidRPr="00E53719">
        <w:rPr>
          <w:i/>
          <w:lang w:val="en-GB"/>
        </w:rPr>
        <w:t>Psychological Review</w:t>
      </w:r>
      <w:r w:rsidRPr="00E53719">
        <w:rPr>
          <w:lang w:val="en-GB"/>
        </w:rPr>
        <w:t xml:space="preserve">, </w:t>
      </w:r>
      <w:r w:rsidRPr="00E53719">
        <w:rPr>
          <w:i/>
          <w:lang w:val="en-GB"/>
        </w:rPr>
        <w:t>115</w:t>
      </w:r>
      <w:r w:rsidRPr="00E53719">
        <w:rPr>
          <w:lang w:val="en-GB"/>
        </w:rPr>
        <w:t xml:space="preserve">(1), 263–272. </w:t>
      </w:r>
      <w:hyperlink r:id="rId24">
        <w:r w:rsidRPr="00E53719">
          <w:rPr>
            <w:rStyle w:val="Hyperlink"/>
            <w:lang w:val="en-GB"/>
          </w:rPr>
          <w:t>https://doi.org/10.1037/0033-295X.115.1.263</w:t>
        </w:r>
      </w:hyperlink>
    </w:p>
    <w:p w14:paraId="2C3E136B" w14:textId="77777777" w:rsidR="00B76BF1" w:rsidRPr="00E53719" w:rsidRDefault="00C418A2">
      <w:pPr>
        <w:pStyle w:val="HangingIndent"/>
        <w:rPr>
          <w:lang w:val="en-GB"/>
        </w:rPr>
      </w:pPr>
      <w:r w:rsidRPr="00E53719">
        <w:rPr>
          <w:lang w:val="en-GB"/>
        </w:rPr>
        <w:t xml:space="preserve">Kahneman, D., &amp; Tversky, A. (1979). Prospect Theory: An Analysis of Decision under Risk. </w:t>
      </w:r>
      <w:r w:rsidRPr="00E53719">
        <w:rPr>
          <w:i/>
          <w:lang w:val="en-GB"/>
        </w:rPr>
        <w:t>Econometrica</w:t>
      </w:r>
      <w:r w:rsidRPr="00E53719">
        <w:rPr>
          <w:lang w:val="en-GB"/>
        </w:rPr>
        <w:t xml:space="preserve">, </w:t>
      </w:r>
      <w:r w:rsidRPr="00E53719">
        <w:rPr>
          <w:i/>
          <w:lang w:val="en-GB"/>
        </w:rPr>
        <w:t>47</w:t>
      </w:r>
      <w:r w:rsidRPr="00E53719">
        <w:rPr>
          <w:lang w:val="en-GB"/>
        </w:rPr>
        <w:t xml:space="preserve">(2), 263–291. </w:t>
      </w:r>
      <w:hyperlink r:id="rId25">
        <w:r w:rsidRPr="00E53719">
          <w:rPr>
            <w:rStyle w:val="Hyperlink"/>
            <w:lang w:val="en-GB"/>
          </w:rPr>
          <w:t>https://doi.org/10.2307/1914185</w:t>
        </w:r>
      </w:hyperlink>
    </w:p>
    <w:p w14:paraId="647BAECF" w14:textId="77777777" w:rsidR="00B76BF1" w:rsidRPr="00E53719" w:rsidRDefault="00C418A2">
      <w:pPr>
        <w:pStyle w:val="HangingIndent"/>
        <w:rPr>
          <w:lang w:val="en-GB"/>
        </w:rPr>
      </w:pPr>
      <w:r w:rsidRPr="00E53719">
        <w:rPr>
          <w:lang w:val="en-GB"/>
        </w:rPr>
        <w:t xml:space="preserve">Krajbich, I., Armel, C., &amp; Rangel, A. (2010). Visual fixations and the computation and comparison of value in simple choice. </w:t>
      </w:r>
      <w:r w:rsidRPr="00E53719">
        <w:rPr>
          <w:i/>
          <w:lang w:val="en-GB"/>
        </w:rPr>
        <w:t>Nature Neuroscience</w:t>
      </w:r>
      <w:r w:rsidRPr="00E53719">
        <w:rPr>
          <w:lang w:val="en-GB"/>
        </w:rPr>
        <w:t xml:space="preserve">, </w:t>
      </w:r>
      <w:r w:rsidRPr="00E53719">
        <w:rPr>
          <w:i/>
          <w:lang w:val="en-GB"/>
        </w:rPr>
        <w:t>13</w:t>
      </w:r>
      <w:r w:rsidRPr="00E53719">
        <w:rPr>
          <w:lang w:val="en-GB"/>
        </w:rPr>
        <w:t>(10), 1292–1298.</w:t>
      </w:r>
      <w:bookmarkStart w:id="137" w:name="ref-krajbich2010visual"/>
      <w:bookmarkEnd w:id="137"/>
    </w:p>
    <w:p w14:paraId="77EE2B37" w14:textId="77777777" w:rsidR="00B76BF1" w:rsidRPr="00E53719" w:rsidRDefault="00C418A2">
      <w:pPr>
        <w:pStyle w:val="HangingIndent"/>
        <w:rPr>
          <w:lang w:val="en-GB"/>
        </w:rPr>
      </w:pPr>
      <w:r w:rsidRPr="00E53719">
        <w:rPr>
          <w:lang w:val="en-GB"/>
        </w:rPr>
        <w:t xml:space="preserve">Krajbich, I., Lu, D., Camerer, C., &amp; Rangel, A. (2012). The attentional drift-diffusion model extends to simple purchasing decisions. </w:t>
      </w:r>
      <w:r w:rsidRPr="00E53719">
        <w:rPr>
          <w:i/>
          <w:lang w:val="en-GB"/>
        </w:rPr>
        <w:t>Frontiers in Psychology</w:t>
      </w:r>
      <w:r w:rsidRPr="00E53719">
        <w:rPr>
          <w:lang w:val="en-GB"/>
        </w:rPr>
        <w:t xml:space="preserve">, </w:t>
      </w:r>
      <w:r w:rsidRPr="00E53719">
        <w:rPr>
          <w:i/>
          <w:lang w:val="en-GB"/>
        </w:rPr>
        <w:t>3</w:t>
      </w:r>
      <w:r w:rsidRPr="00E53719">
        <w:rPr>
          <w:lang w:val="en-GB"/>
        </w:rPr>
        <w:t>, 193.</w:t>
      </w:r>
      <w:bookmarkStart w:id="138" w:name="ref-krajbich2012attentional"/>
      <w:bookmarkEnd w:id="138"/>
    </w:p>
    <w:p w14:paraId="06FCCC07" w14:textId="77777777" w:rsidR="00B76BF1" w:rsidRPr="00E53719" w:rsidRDefault="00C418A2">
      <w:pPr>
        <w:pStyle w:val="HangingIndent"/>
        <w:rPr>
          <w:lang w:val="en-GB"/>
        </w:rPr>
      </w:pPr>
      <w:r w:rsidRPr="00E53719">
        <w:rPr>
          <w:lang w:val="en-GB"/>
        </w:rPr>
        <w:t xml:space="preserve">Krajbich, I., &amp; Rangel, A. (2011). Multialternative drift-diffusion model predicts the relationship between visual fixations and choice in value-based decisions. </w:t>
      </w:r>
      <w:r w:rsidRPr="00E53719">
        <w:rPr>
          <w:i/>
          <w:lang w:val="en-GB"/>
        </w:rPr>
        <w:t>Proceedings of the National Academy of Sciences</w:t>
      </w:r>
      <w:r w:rsidRPr="00E53719">
        <w:rPr>
          <w:lang w:val="en-GB"/>
        </w:rPr>
        <w:t xml:space="preserve">, </w:t>
      </w:r>
      <w:r w:rsidRPr="00E53719">
        <w:rPr>
          <w:i/>
          <w:lang w:val="en-GB"/>
        </w:rPr>
        <w:t>108</w:t>
      </w:r>
      <w:r w:rsidRPr="00E53719">
        <w:rPr>
          <w:lang w:val="en-GB"/>
        </w:rPr>
        <w:t>(33), 13852–13857.</w:t>
      </w:r>
      <w:bookmarkStart w:id="139" w:name="ref-krajbich2011multialternative"/>
      <w:bookmarkEnd w:id="139"/>
    </w:p>
    <w:p w14:paraId="2B2BE383" w14:textId="77777777" w:rsidR="00B76BF1" w:rsidRPr="00E53719" w:rsidRDefault="00C418A2">
      <w:pPr>
        <w:pStyle w:val="HangingIndent"/>
        <w:rPr>
          <w:lang w:val="en-GB"/>
        </w:rPr>
      </w:pPr>
      <w:r w:rsidRPr="00E53719">
        <w:rPr>
          <w:lang w:val="en-GB"/>
        </w:rPr>
        <w:lastRenderedPageBreak/>
        <w:t xml:space="preserve">Kruschke, J. K. (2013). Bayesian estimation supersedes the t test. </w:t>
      </w:r>
      <w:r w:rsidRPr="00E53719">
        <w:rPr>
          <w:i/>
          <w:lang w:val="en-GB"/>
        </w:rPr>
        <w:t>Journal of Experimental Psychology: General</w:t>
      </w:r>
      <w:r w:rsidRPr="00E53719">
        <w:rPr>
          <w:lang w:val="en-GB"/>
        </w:rPr>
        <w:t xml:space="preserve">, </w:t>
      </w:r>
      <w:r w:rsidRPr="00E53719">
        <w:rPr>
          <w:i/>
          <w:lang w:val="en-GB"/>
        </w:rPr>
        <w:t>142</w:t>
      </w:r>
      <w:r w:rsidRPr="00E53719">
        <w:rPr>
          <w:lang w:val="en-GB"/>
        </w:rPr>
        <w:t>(2), 573.</w:t>
      </w:r>
      <w:bookmarkStart w:id="140" w:name="ref-kruschke2013bayesian"/>
      <w:bookmarkEnd w:id="140"/>
    </w:p>
    <w:p w14:paraId="4DC3F08E" w14:textId="77777777" w:rsidR="00B76BF1" w:rsidRPr="00E53719" w:rsidRDefault="00C418A2">
      <w:pPr>
        <w:pStyle w:val="HangingIndent"/>
        <w:rPr>
          <w:lang w:val="en-GB"/>
        </w:rPr>
      </w:pPr>
      <w:r w:rsidRPr="00E53719">
        <w:rPr>
          <w:lang w:val="en-GB"/>
        </w:rPr>
        <w:t xml:space="preserve">Kruschke, J. K. (2014). </w:t>
      </w:r>
      <w:r w:rsidRPr="00E53719">
        <w:rPr>
          <w:i/>
          <w:lang w:val="en-GB"/>
        </w:rPr>
        <w:t>Doing bayesian data analysis: A tutorial with r, JAGS, and stan</w:t>
      </w:r>
      <w:r w:rsidRPr="00E53719">
        <w:rPr>
          <w:lang w:val="en-GB"/>
        </w:rPr>
        <w:t>. Academic Press.</w:t>
      </w:r>
      <w:bookmarkStart w:id="141" w:name="ref-kruschke2014doing"/>
      <w:bookmarkEnd w:id="141"/>
    </w:p>
    <w:p w14:paraId="70F05ADD" w14:textId="77777777" w:rsidR="00B76BF1" w:rsidRPr="00E53719" w:rsidRDefault="00C418A2">
      <w:pPr>
        <w:pStyle w:val="HangingIndent"/>
        <w:rPr>
          <w:lang w:val="en-GB"/>
        </w:rPr>
      </w:pPr>
      <w:r w:rsidRPr="00E53719">
        <w:rPr>
          <w:lang w:val="en-GB"/>
        </w:rPr>
        <w:t xml:space="preserve">Lee, M. D., &amp; Wagenmakers, E.-J. (2013). </w:t>
      </w:r>
      <w:r w:rsidRPr="00E53719">
        <w:rPr>
          <w:i/>
          <w:lang w:val="en-GB"/>
        </w:rPr>
        <w:t>Bayesian cognitive modeling: A practical course</w:t>
      </w:r>
      <w:r w:rsidRPr="00E53719">
        <w:rPr>
          <w:lang w:val="en-GB"/>
        </w:rPr>
        <w:t>. Cambridge ; New York: Cambridge University Press.</w:t>
      </w:r>
      <w:bookmarkStart w:id="142" w:name="ref-leeBayesianCognitiveModeling2013"/>
      <w:bookmarkEnd w:id="142"/>
    </w:p>
    <w:p w14:paraId="4FDAC3F9" w14:textId="77777777" w:rsidR="00B76BF1" w:rsidRPr="00E53719" w:rsidRDefault="00C418A2">
      <w:pPr>
        <w:pStyle w:val="HangingIndent"/>
        <w:rPr>
          <w:lang w:val="en-GB"/>
        </w:rPr>
      </w:pPr>
      <w:r w:rsidRPr="00E53719">
        <w:rPr>
          <w:lang w:val="en-GB"/>
        </w:rPr>
        <w:t xml:space="preserve">Liew, S. X., Howe, P. D. L., &amp; Little, D. R. (2016). The appropriacy of averaging in the study of context effects. </w:t>
      </w:r>
      <w:r w:rsidRPr="00E53719">
        <w:rPr>
          <w:i/>
          <w:lang w:val="en-GB"/>
        </w:rPr>
        <w:t>Psychonomic Bulletin &amp; Review</w:t>
      </w:r>
      <w:r w:rsidRPr="00E53719">
        <w:rPr>
          <w:lang w:val="en-GB"/>
        </w:rPr>
        <w:t xml:space="preserve">, </w:t>
      </w:r>
      <w:r w:rsidRPr="00E53719">
        <w:rPr>
          <w:i/>
          <w:lang w:val="en-GB"/>
        </w:rPr>
        <w:t>23</w:t>
      </w:r>
      <w:r w:rsidRPr="00E53719">
        <w:rPr>
          <w:lang w:val="en-GB"/>
        </w:rPr>
        <w:t xml:space="preserve">(5), 1639–1646. </w:t>
      </w:r>
      <w:hyperlink r:id="rId26">
        <w:r w:rsidRPr="00E53719">
          <w:rPr>
            <w:rStyle w:val="Hyperlink"/>
            <w:lang w:val="en-GB"/>
          </w:rPr>
          <w:t>https://doi.org/10.3758/s13423-016-1032-7</w:t>
        </w:r>
      </w:hyperlink>
    </w:p>
    <w:p w14:paraId="169D12AF" w14:textId="77777777" w:rsidR="00B76BF1" w:rsidRPr="00E53719" w:rsidRDefault="00C418A2">
      <w:pPr>
        <w:pStyle w:val="HangingIndent"/>
        <w:rPr>
          <w:lang w:val="en-GB"/>
        </w:rPr>
      </w:pPr>
      <w:r w:rsidRPr="00E53719">
        <w:rPr>
          <w:lang w:val="en-GB"/>
        </w:rPr>
        <w:t xml:space="preserve">Liu, H.-Z., Lyu, X.-K., Wei, Z.-H., Mo, W.-L., Luo, J.-R., &amp; Su, X.-Y. (2020). Exploiting the dynamics of eye gaze to bias intertemporal choice. </w:t>
      </w:r>
      <w:r w:rsidRPr="00E53719">
        <w:rPr>
          <w:i/>
          <w:lang w:val="en-GB"/>
        </w:rPr>
        <w:t>Journal of Behavioral Decision Making</w:t>
      </w:r>
      <w:r w:rsidRPr="00E53719">
        <w:rPr>
          <w:lang w:val="en-GB"/>
        </w:rPr>
        <w:t xml:space="preserve">, </w:t>
      </w:r>
      <w:r w:rsidRPr="00E53719">
        <w:rPr>
          <w:i/>
          <w:lang w:val="en-GB"/>
        </w:rPr>
        <w:t>n/a</w:t>
      </w:r>
      <w:r w:rsidRPr="00E53719">
        <w:rPr>
          <w:lang w:val="en-GB"/>
        </w:rPr>
        <w:t xml:space="preserve">(n/a). </w:t>
      </w:r>
      <w:hyperlink r:id="rId27">
        <w:r w:rsidRPr="00E53719">
          <w:rPr>
            <w:rStyle w:val="Hyperlink"/>
            <w:lang w:val="en-GB"/>
          </w:rPr>
          <w:t>https://doi.org/10.1002/bdm.2219</w:t>
        </w:r>
      </w:hyperlink>
    </w:p>
    <w:p w14:paraId="22E27448" w14:textId="77777777" w:rsidR="00B76BF1" w:rsidRPr="00E53719" w:rsidRDefault="00C418A2">
      <w:pPr>
        <w:pStyle w:val="HangingIndent"/>
        <w:rPr>
          <w:lang w:val="en-GB"/>
        </w:rPr>
      </w:pPr>
      <w:r w:rsidRPr="00E53719">
        <w:rPr>
          <w:lang w:val="en-GB"/>
        </w:rPr>
        <w:t xml:space="preserve">Louie, K., Khaw, M. W., &amp; Glimcher, P. W. (2013). Normalization is a general neural mechanism for context-dependent decision making.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(15), 6139–6144.</w:t>
      </w:r>
      <w:bookmarkStart w:id="143" w:name="ref-louie2013normalization"/>
      <w:bookmarkEnd w:id="143"/>
    </w:p>
    <w:p w14:paraId="6493A42D" w14:textId="77777777" w:rsidR="00B76BF1" w:rsidRPr="00E53719" w:rsidRDefault="00C418A2">
      <w:pPr>
        <w:pStyle w:val="HangingIndent"/>
        <w:rPr>
          <w:lang w:val="en-GB"/>
        </w:rPr>
      </w:pPr>
      <w:r w:rsidRPr="00E53719">
        <w:rPr>
          <w:lang w:val="en-GB"/>
        </w:rPr>
        <w:t xml:space="preserve">Luce, R. D. (1959). </w:t>
      </w:r>
      <w:r w:rsidRPr="00E53719">
        <w:rPr>
          <w:i/>
          <w:lang w:val="en-GB"/>
        </w:rPr>
        <w:t>Individual choice behavior</w:t>
      </w:r>
      <w:r w:rsidRPr="00E53719">
        <w:rPr>
          <w:lang w:val="en-GB"/>
        </w:rPr>
        <w:t>. New York: John Wiley &amp; Sons.</w:t>
      </w:r>
      <w:bookmarkStart w:id="144" w:name="ref-luce1959individual"/>
      <w:bookmarkEnd w:id="144"/>
    </w:p>
    <w:p w14:paraId="0F0E5121" w14:textId="77777777" w:rsidR="00B76BF1" w:rsidRPr="00E53719" w:rsidRDefault="00C418A2">
      <w:pPr>
        <w:pStyle w:val="HangingIndent"/>
        <w:rPr>
          <w:lang w:val="en-GB"/>
        </w:rPr>
      </w:pPr>
      <w:r w:rsidRPr="00E53719">
        <w:rPr>
          <w:lang w:val="en-GB"/>
        </w:rPr>
        <w:t xml:space="preserve">Marini, M., Ansani, A., &amp; Paglieri, F. (2020). Attraction comes from many sources: Attentional and comparative processes in decoy effects. </w:t>
      </w:r>
      <w:r w:rsidRPr="00E53719">
        <w:rPr>
          <w:i/>
          <w:lang w:val="en-GB"/>
        </w:rPr>
        <w:t>Judgment &amp; Decision Making</w:t>
      </w:r>
      <w:r w:rsidRPr="00E53719">
        <w:rPr>
          <w:lang w:val="en-GB"/>
        </w:rPr>
        <w:t xml:space="preserve">, </w:t>
      </w:r>
      <w:r w:rsidRPr="00E53719">
        <w:rPr>
          <w:i/>
          <w:lang w:val="en-GB"/>
        </w:rPr>
        <w:t>15</w:t>
      </w:r>
      <w:r w:rsidRPr="00E53719">
        <w:rPr>
          <w:lang w:val="en-GB"/>
        </w:rPr>
        <w:t>(5).</w:t>
      </w:r>
      <w:bookmarkStart w:id="145" w:name="ref-marini2020attraction"/>
      <w:bookmarkEnd w:id="145"/>
    </w:p>
    <w:p w14:paraId="334B1F5A" w14:textId="77777777" w:rsidR="00B76BF1" w:rsidRPr="00E53719" w:rsidRDefault="00C418A2">
      <w:pPr>
        <w:pStyle w:val="HangingIndent"/>
        <w:rPr>
          <w:lang w:val="en-GB"/>
        </w:rPr>
      </w:pPr>
      <w:r w:rsidRPr="00E53719">
        <w:rPr>
          <w:lang w:val="en-GB"/>
        </w:rPr>
        <w:t xml:space="preserve">McKinney, Wes. (2010). Data Structures for Statistical Computing in Python. In Stéfan van der Walt &amp; Jarrod Millman (Eds.), </w:t>
      </w:r>
      <w:r w:rsidRPr="00E53719">
        <w:rPr>
          <w:i/>
          <w:lang w:val="en-GB"/>
        </w:rPr>
        <w:t>Proceedings of the 9th Python in Science Conference</w:t>
      </w:r>
      <w:r w:rsidRPr="00E53719">
        <w:rPr>
          <w:lang w:val="en-GB"/>
        </w:rPr>
        <w:t xml:space="preserve"> (pp. 56–61). </w:t>
      </w:r>
      <w:hyperlink r:id="rId28">
        <w:r w:rsidRPr="00E53719">
          <w:rPr>
            <w:rStyle w:val="Hyperlink"/>
            <w:lang w:val="en-GB"/>
          </w:rPr>
          <w:t>https://doi.org/10.25080/Majora-92bf1922-00a</w:t>
        </w:r>
      </w:hyperlink>
    </w:p>
    <w:p w14:paraId="63FE9AA8" w14:textId="77777777" w:rsidR="00B76BF1" w:rsidRPr="00E53719" w:rsidRDefault="00C418A2">
      <w:pPr>
        <w:pStyle w:val="HangingIndent"/>
        <w:rPr>
          <w:lang w:val="en-GB"/>
        </w:rPr>
      </w:pPr>
      <w:r w:rsidRPr="00E53719">
        <w:rPr>
          <w:lang w:val="en-GB"/>
        </w:rPr>
        <w:t xml:space="preserve">Milosavljevic, M., Navalpakkam, V., Koch, C., &amp; Rangel, A. (2012). Relative visual saliency differences induce sizable bias in consumer choice. </w:t>
      </w:r>
      <w:r w:rsidRPr="00E53719">
        <w:rPr>
          <w:i/>
          <w:lang w:val="en-GB"/>
        </w:rPr>
        <w:t>Journal of Consumer Psychology</w:t>
      </w:r>
      <w:r w:rsidRPr="00E53719">
        <w:rPr>
          <w:lang w:val="en-GB"/>
        </w:rPr>
        <w:t xml:space="preserve">, </w:t>
      </w:r>
      <w:r w:rsidRPr="00E53719">
        <w:rPr>
          <w:i/>
          <w:lang w:val="en-GB"/>
        </w:rPr>
        <w:t>22</w:t>
      </w:r>
      <w:r w:rsidRPr="00E53719">
        <w:rPr>
          <w:lang w:val="en-GB"/>
        </w:rPr>
        <w:t xml:space="preserve">(1), 67–74. </w:t>
      </w:r>
      <w:hyperlink r:id="rId29">
        <w:r w:rsidRPr="00E53719">
          <w:rPr>
            <w:rStyle w:val="Hyperlink"/>
            <w:lang w:val="en-GB"/>
          </w:rPr>
          <w:t>https://doi.org/10.1016/j.jcps.2011.10.002</w:t>
        </w:r>
      </w:hyperlink>
    </w:p>
    <w:p w14:paraId="39800C81" w14:textId="77777777" w:rsidR="00B76BF1" w:rsidRPr="00E53719" w:rsidRDefault="00C418A2">
      <w:pPr>
        <w:pStyle w:val="HangingIndent"/>
        <w:rPr>
          <w:lang w:val="en-GB"/>
        </w:rPr>
      </w:pPr>
      <w:r w:rsidRPr="00E53719">
        <w:rPr>
          <w:lang w:val="en-GB"/>
        </w:rPr>
        <w:lastRenderedPageBreak/>
        <w:t xml:space="preserve">Mohr, P. N., Heekeren, H. R., &amp; Rieskamp, J. (2017). Attraction effect in risky choice can be explained by subjective distance between choice alternatives. </w:t>
      </w:r>
      <w:r w:rsidRPr="00E53719">
        <w:rPr>
          <w:i/>
          <w:lang w:val="en-GB"/>
        </w:rPr>
        <w:t>Scientific Reports</w:t>
      </w:r>
      <w:r w:rsidRPr="00E53719">
        <w:rPr>
          <w:lang w:val="en-GB"/>
        </w:rPr>
        <w:t xml:space="preserve">, </w:t>
      </w:r>
      <w:r w:rsidRPr="00E53719">
        <w:rPr>
          <w:i/>
          <w:lang w:val="en-GB"/>
        </w:rPr>
        <w:t>7</w:t>
      </w:r>
      <w:r w:rsidRPr="00E53719">
        <w:rPr>
          <w:lang w:val="en-GB"/>
        </w:rPr>
        <w:t>(1), 1–10.</w:t>
      </w:r>
      <w:bookmarkStart w:id="146" w:name="ref-mohr2017attraction"/>
      <w:bookmarkEnd w:id="146"/>
    </w:p>
    <w:p w14:paraId="006C72CE" w14:textId="77777777" w:rsidR="00B76BF1" w:rsidRPr="00E53719" w:rsidRDefault="00C418A2">
      <w:pPr>
        <w:pStyle w:val="HangingIndent"/>
        <w:rPr>
          <w:lang w:val="en-GB"/>
        </w:rPr>
      </w:pPr>
      <w:r w:rsidRPr="00E53719">
        <w:rPr>
          <w:lang w:val="en-GB"/>
        </w:rPr>
        <w:t xml:space="preserve">Molter, F., Thomas, A. W., Heekeren, H. R., &amp; Mohr, P. N. (2019). GLAMbox: A python toolbox for investigating the association between gaze allocation and decision behaviour. </w:t>
      </w:r>
      <w:r w:rsidRPr="00E53719">
        <w:rPr>
          <w:i/>
          <w:lang w:val="en-GB"/>
        </w:rPr>
        <w:t>PloS One</w:t>
      </w:r>
      <w:r w:rsidRPr="00E53719">
        <w:rPr>
          <w:lang w:val="en-GB"/>
        </w:rPr>
        <w:t xml:space="preserve">, </w:t>
      </w:r>
      <w:r w:rsidRPr="00E53719">
        <w:rPr>
          <w:i/>
          <w:lang w:val="en-GB"/>
        </w:rPr>
        <w:t>14</w:t>
      </w:r>
      <w:r w:rsidRPr="00E53719">
        <w:rPr>
          <w:lang w:val="en-GB"/>
        </w:rPr>
        <w:t>(12), e0226428.</w:t>
      </w:r>
      <w:bookmarkStart w:id="147" w:name="ref-molter2019glambox"/>
      <w:bookmarkEnd w:id="147"/>
    </w:p>
    <w:p w14:paraId="5B7CF651" w14:textId="77777777" w:rsidR="00B76BF1" w:rsidRPr="00E53719" w:rsidRDefault="00C418A2">
      <w:pPr>
        <w:pStyle w:val="HangingIndent"/>
        <w:rPr>
          <w:lang w:val="en-GB"/>
        </w:rPr>
      </w:pPr>
      <w:r w:rsidRPr="00E53719">
        <w:rPr>
          <w:lang w:val="en-GB"/>
        </w:rPr>
        <w:t xml:space="preserve">Mullett, T. L., &amp; Stewart, N. (2016). Implications of visual attention phenomena for models of preferential choice. </w:t>
      </w:r>
      <w:r w:rsidRPr="00E53719">
        <w:rPr>
          <w:i/>
          <w:lang w:val="en-GB"/>
        </w:rPr>
        <w:t>Decision</w:t>
      </w:r>
      <w:r w:rsidRPr="00E53719">
        <w:rPr>
          <w:lang w:val="en-GB"/>
        </w:rPr>
        <w:t xml:space="preserve">, </w:t>
      </w:r>
      <w:r w:rsidRPr="00E53719">
        <w:rPr>
          <w:i/>
          <w:lang w:val="en-GB"/>
        </w:rPr>
        <w:t>3</w:t>
      </w:r>
      <w:r w:rsidRPr="00E53719">
        <w:rPr>
          <w:lang w:val="en-GB"/>
        </w:rPr>
        <w:t xml:space="preserve">(4), 231. </w:t>
      </w:r>
      <w:hyperlink r:id="rId30">
        <w:r w:rsidRPr="00E53719">
          <w:rPr>
            <w:rStyle w:val="Hyperlink"/>
            <w:lang w:val="en-GB"/>
          </w:rPr>
          <w:t>https://doi.org/10.1037/dec0000049</w:t>
        </w:r>
      </w:hyperlink>
    </w:p>
    <w:p w14:paraId="64026514" w14:textId="77777777" w:rsidR="00B76BF1" w:rsidRPr="00E53719" w:rsidRDefault="00C418A2">
      <w:pPr>
        <w:pStyle w:val="HangingIndent"/>
        <w:rPr>
          <w:lang w:val="en-GB"/>
        </w:rPr>
      </w:pPr>
      <w:r w:rsidRPr="00E53719">
        <w:rPr>
          <w:lang w:val="en-GB"/>
        </w:rPr>
        <w:t xml:space="preserve">Noguchi, T., &amp; Stewart, N. (2014). In the attraction, compromise, and similarity effects, alternatives are repeatedly compared in pairs on single dimensions. </w:t>
      </w:r>
      <w:r w:rsidRPr="00E53719">
        <w:rPr>
          <w:i/>
          <w:lang w:val="en-GB"/>
        </w:rPr>
        <w:t>Cognition</w:t>
      </w:r>
      <w:r w:rsidRPr="00E53719">
        <w:rPr>
          <w:lang w:val="en-GB"/>
        </w:rPr>
        <w:t xml:space="preserve">, </w:t>
      </w:r>
      <w:r w:rsidRPr="00E53719">
        <w:rPr>
          <w:i/>
          <w:lang w:val="en-GB"/>
        </w:rPr>
        <w:t>132</w:t>
      </w:r>
      <w:r w:rsidRPr="00E53719">
        <w:rPr>
          <w:lang w:val="en-GB"/>
        </w:rPr>
        <w:t xml:space="preserve">(1), 44–56. </w:t>
      </w:r>
      <w:hyperlink r:id="rId31">
        <w:r w:rsidRPr="00E53719">
          <w:rPr>
            <w:rStyle w:val="Hyperlink"/>
            <w:lang w:val="en-GB"/>
          </w:rPr>
          <w:t>https://doi.org/10.1016/j.cognition.2014.03.006</w:t>
        </w:r>
      </w:hyperlink>
    </w:p>
    <w:p w14:paraId="4AECABE6" w14:textId="77777777" w:rsidR="00B76BF1" w:rsidRPr="00E53719" w:rsidRDefault="00C418A2">
      <w:pPr>
        <w:pStyle w:val="HangingIndent"/>
        <w:rPr>
          <w:lang w:val="en-GB"/>
        </w:rPr>
      </w:pPr>
      <w:r w:rsidRPr="00E53719">
        <w:rPr>
          <w:lang w:val="en-GB"/>
        </w:rPr>
        <w:t xml:space="preserve">Noguchi, T., &amp; Stewart, N. (2018). Multialternative decision by sampling: A model of decision making constrained by process data. </w:t>
      </w:r>
      <w:r w:rsidRPr="00E53719">
        <w:rPr>
          <w:i/>
          <w:lang w:val="en-GB"/>
        </w:rPr>
        <w:t>Psychological Review</w:t>
      </w:r>
      <w:r w:rsidRPr="00E53719">
        <w:rPr>
          <w:lang w:val="en-GB"/>
        </w:rPr>
        <w:t xml:space="preserve">, </w:t>
      </w:r>
      <w:r w:rsidRPr="00E53719">
        <w:rPr>
          <w:i/>
          <w:lang w:val="en-GB"/>
        </w:rPr>
        <w:t>125</w:t>
      </w:r>
      <w:r w:rsidRPr="00E53719">
        <w:rPr>
          <w:lang w:val="en-GB"/>
        </w:rPr>
        <w:t>(4), 512.</w:t>
      </w:r>
      <w:bookmarkStart w:id="148" w:name="ref-noguchi2018multialternative"/>
      <w:bookmarkEnd w:id="148"/>
    </w:p>
    <w:p w14:paraId="748B6527" w14:textId="77777777" w:rsidR="00B76BF1" w:rsidRPr="00E53719" w:rsidRDefault="00C418A2">
      <w:pPr>
        <w:pStyle w:val="HangingIndent"/>
        <w:rPr>
          <w:lang w:val="en-GB"/>
        </w:rPr>
      </w:pPr>
      <w:r w:rsidRPr="00E53719">
        <w:rPr>
          <w:lang w:val="en-GB"/>
        </w:rPr>
        <w:t xml:space="preserve">Payne, J. W. (1976). Task complexity and contingent processing in decision making: An information search and protocol analysis. </w:t>
      </w:r>
      <w:r w:rsidRPr="00E53719">
        <w:rPr>
          <w:i/>
          <w:lang w:val="en-GB"/>
        </w:rPr>
        <w:t>Organizational Behavior and Human Performance</w:t>
      </w:r>
      <w:r w:rsidRPr="00E53719">
        <w:rPr>
          <w:lang w:val="en-GB"/>
        </w:rPr>
        <w:t xml:space="preserve">, </w:t>
      </w:r>
      <w:r w:rsidRPr="00E53719">
        <w:rPr>
          <w:i/>
          <w:lang w:val="en-GB"/>
        </w:rPr>
        <w:t>16</w:t>
      </w:r>
      <w:r w:rsidRPr="00E53719">
        <w:rPr>
          <w:lang w:val="en-GB"/>
        </w:rPr>
        <w:t xml:space="preserve">(2), 366–387. </w:t>
      </w:r>
      <w:hyperlink r:id="rId32">
        <w:r w:rsidRPr="00E53719">
          <w:rPr>
            <w:rStyle w:val="Hyperlink"/>
            <w:lang w:val="en-GB"/>
          </w:rPr>
          <w:t>https://doi.org/10.1016/0030-5073(76)90022-2</w:t>
        </w:r>
      </w:hyperlink>
    </w:p>
    <w:p w14:paraId="22B477C4" w14:textId="77777777" w:rsidR="00B76BF1" w:rsidRPr="00E53719" w:rsidRDefault="00C418A2">
      <w:pPr>
        <w:pStyle w:val="HangingIndent"/>
        <w:rPr>
          <w:lang w:val="en-GB"/>
        </w:rPr>
      </w:pPr>
      <w:r w:rsidRPr="00E53719">
        <w:rPr>
          <w:lang w:val="en-GB"/>
        </w:rPr>
        <w:t xml:space="preserve">Payne, J. W., &amp; Braunstein, M. L. (1978). Risky choice: An examination of information acquisition behavior. </w:t>
      </w:r>
      <w:r w:rsidRPr="00E53719">
        <w:rPr>
          <w:i/>
          <w:lang w:val="en-GB"/>
        </w:rPr>
        <w:t>Memory &amp; Cognition</w:t>
      </w:r>
      <w:r w:rsidRPr="00E53719">
        <w:rPr>
          <w:lang w:val="en-GB"/>
        </w:rPr>
        <w:t xml:space="preserve">, </w:t>
      </w:r>
      <w:r w:rsidRPr="00E53719">
        <w:rPr>
          <w:i/>
          <w:lang w:val="en-GB"/>
        </w:rPr>
        <w:t>6</w:t>
      </w:r>
      <w:r w:rsidRPr="00E53719">
        <w:rPr>
          <w:lang w:val="en-GB"/>
        </w:rPr>
        <w:t xml:space="preserve">(5), 554–561. </w:t>
      </w:r>
      <w:hyperlink r:id="rId33">
        <w:r w:rsidRPr="00E53719">
          <w:rPr>
            <w:rStyle w:val="Hyperlink"/>
            <w:lang w:val="en-GB"/>
          </w:rPr>
          <w:t>https://doi.org/10.3758/BF03198244</w:t>
        </w:r>
      </w:hyperlink>
    </w:p>
    <w:p w14:paraId="00635194" w14:textId="77777777" w:rsidR="00B76BF1" w:rsidRPr="00E53719" w:rsidRDefault="00C418A2">
      <w:pPr>
        <w:pStyle w:val="HangingIndent"/>
        <w:rPr>
          <w:lang w:val="en-GB"/>
        </w:rPr>
      </w:pPr>
      <w:r w:rsidRPr="00E53719">
        <w:rPr>
          <w:lang w:val="en-GB"/>
        </w:rPr>
        <w:t xml:space="preserve">Pärnamets, P., Johansson, P., Hall, L., Balkenius, C., Spivey, M. J., &amp; Richardson, D. C. (2015). Biasing moral decisions by exploiting the dynamics of eye gaze. </w:t>
      </w:r>
      <w:r w:rsidRPr="00E53719">
        <w:rPr>
          <w:i/>
          <w:lang w:val="en-GB"/>
        </w:rPr>
        <w:t>Proceedings of the National Academy of Sciences</w:t>
      </w:r>
      <w:r w:rsidRPr="00E53719">
        <w:rPr>
          <w:lang w:val="en-GB"/>
        </w:rPr>
        <w:t xml:space="preserve">, </w:t>
      </w:r>
      <w:r w:rsidRPr="00E53719">
        <w:rPr>
          <w:i/>
          <w:lang w:val="en-GB"/>
        </w:rPr>
        <w:t>112</w:t>
      </w:r>
      <w:r w:rsidRPr="00E53719">
        <w:rPr>
          <w:lang w:val="en-GB"/>
        </w:rPr>
        <w:t>(13), 4170–4175.</w:t>
      </w:r>
      <w:bookmarkStart w:id="149" w:name="ref-parnamets2015biasing"/>
      <w:bookmarkEnd w:id="149"/>
    </w:p>
    <w:p w14:paraId="7D3D5728" w14:textId="77777777" w:rsidR="00B76BF1" w:rsidRPr="00E53719" w:rsidRDefault="00C418A2">
      <w:pPr>
        <w:pStyle w:val="HangingIndent"/>
        <w:rPr>
          <w:lang w:val="en-GB"/>
        </w:rPr>
      </w:pPr>
      <w:r w:rsidRPr="00E53719">
        <w:rPr>
          <w:lang w:val="en-GB"/>
        </w:rPr>
        <w:t xml:space="preserve">Penny, W. D., Friston, K. J., Ashburner, J. T., Kiebel, S. J., &amp; Nichols, T. E. (2011). </w:t>
      </w:r>
      <w:r w:rsidRPr="00E53719">
        <w:rPr>
          <w:i/>
          <w:lang w:val="en-GB"/>
        </w:rPr>
        <w:t>Statistical parametric mapping: The analysis of functional brain images</w:t>
      </w:r>
      <w:r w:rsidRPr="00E53719">
        <w:rPr>
          <w:lang w:val="en-GB"/>
        </w:rPr>
        <w:t>. Elsevier.</w:t>
      </w:r>
      <w:bookmarkStart w:id="150" w:name="ref-penny2011statistical"/>
      <w:bookmarkEnd w:id="150"/>
    </w:p>
    <w:p w14:paraId="354582CF" w14:textId="77777777" w:rsidR="00B76BF1" w:rsidRPr="00E53719" w:rsidRDefault="00C418A2">
      <w:pPr>
        <w:pStyle w:val="HangingIndent"/>
        <w:rPr>
          <w:lang w:val="en-GB"/>
        </w:rPr>
      </w:pPr>
      <w:r w:rsidRPr="00E53719">
        <w:rPr>
          <w:lang w:val="en-GB"/>
        </w:rPr>
        <w:lastRenderedPageBreak/>
        <w:t xml:space="preserve">Rieskamp, J., Busemeyer, J. R., &amp; Mellers, B. A. (2006). Extending the bounds of rationality: Evidence and theories of preferential choice. </w:t>
      </w:r>
      <w:r w:rsidRPr="00E53719">
        <w:rPr>
          <w:i/>
          <w:lang w:val="en-GB"/>
        </w:rPr>
        <w:t>Journal of Economic Literature</w:t>
      </w:r>
      <w:r w:rsidRPr="00E53719">
        <w:rPr>
          <w:lang w:val="en-GB"/>
        </w:rPr>
        <w:t xml:space="preserve">, </w:t>
      </w:r>
      <w:r w:rsidRPr="00E53719">
        <w:rPr>
          <w:i/>
          <w:lang w:val="en-GB"/>
        </w:rPr>
        <w:t>44</w:t>
      </w:r>
      <w:r w:rsidRPr="00E53719">
        <w:rPr>
          <w:lang w:val="en-GB"/>
        </w:rPr>
        <w:t>(3), 631–661.</w:t>
      </w:r>
      <w:bookmarkStart w:id="151" w:name="ref-rieskamp2006extending"/>
      <w:bookmarkEnd w:id="151"/>
    </w:p>
    <w:p w14:paraId="46B80901" w14:textId="77777777" w:rsidR="00B76BF1" w:rsidRPr="00E53719" w:rsidRDefault="00C418A2">
      <w:pPr>
        <w:pStyle w:val="HangingIndent"/>
        <w:rPr>
          <w:lang w:val="en-GB"/>
        </w:rPr>
      </w:pPr>
      <w:r w:rsidRPr="00E53719">
        <w:rPr>
          <w:lang w:val="en-GB"/>
        </w:rPr>
        <w:t xml:space="preserve">Rigoux, L., Stephan, K. E., Friston, K. J., &amp; Daunizeau, J. (2014). Bayesian model selection for group studies  Revisited. </w:t>
      </w:r>
      <w:r w:rsidRPr="00E53719">
        <w:rPr>
          <w:i/>
          <w:lang w:val="en-GB"/>
        </w:rPr>
        <w:t>NeuroImage</w:t>
      </w:r>
      <w:r w:rsidRPr="00E53719">
        <w:rPr>
          <w:lang w:val="en-GB"/>
        </w:rPr>
        <w:t xml:space="preserve">, </w:t>
      </w:r>
      <w:r w:rsidRPr="00E53719">
        <w:rPr>
          <w:i/>
          <w:lang w:val="en-GB"/>
        </w:rPr>
        <w:t>84</w:t>
      </w:r>
      <w:r w:rsidRPr="00E53719">
        <w:rPr>
          <w:lang w:val="en-GB"/>
        </w:rPr>
        <w:t>, 971–985.</w:t>
      </w:r>
      <w:bookmarkStart w:id="152" w:name="ref-rigouxBayesianModelSelection2014"/>
      <w:bookmarkEnd w:id="152"/>
    </w:p>
    <w:p w14:paraId="1D3E41FC" w14:textId="77777777" w:rsidR="00B76BF1" w:rsidRPr="00E53719" w:rsidRDefault="00C418A2">
      <w:pPr>
        <w:pStyle w:val="HangingIndent"/>
        <w:rPr>
          <w:lang w:val="en-GB"/>
        </w:rPr>
      </w:pPr>
      <w:r w:rsidRPr="00E53719">
        <w:rPr>
          <w:lang w:val="en-GB"/>
        </w:rPr>
        <w:t xml:space="preserve">Roe, R. M., Busemeyer, J. R., &amp; Townsend, J. T. (2001). Multialternative decision field theory: A dynamic connectionist model of decision making. </w:t>
      </w:r>
      <w:r w:rsidRPr="00E53719">
        <w:rPr>
          <w:i/>
          <w:lang w:val="en-GB"/>
        </w:rPr>
        <w:t>Psychological Review</w:t>
      </w:r>
      <w:r w:rsidRPr="00E53719">
        <w:rPr>
          <w:lang w:val="en-GB"/>
        </w:rPr>
        <w:t xml:space="preserve">, </w:t>
      </w:r>
      <w:r w:rsidRPr="00E53719">
        <w:rPr>
          <w:i/>
          <w:lang w:val="en-GB"/>
        </w:rPr>
        <w:t>108</w:t>
      </w:r>
      <w:r w:rsidRPr="00E53719">
        <w:rPr>
          <w:lang w:val="en-GB"/>
        </w:rPr>
        <w:t>(2), 370.</w:t>
      </w:r>
      <w:bookmarkStart w:id="153" w:name="ref-roe2001multialternative"/>
      <w:bookmarkEnd w:id="153"/>
    </w:p>
    <w:p w14:paraId="7876131F" w14:textId="77777777" w:rsidR="00B76BF1" w:rsidRPr="00E53719" w:rsidRDefault="00C418A2">
      <w:pPr>
        <w:pStyle w:val="HangingIndent"/>
        <w:rPr>
          <w:lang w:val="en-GB"/>
        </w:rPr>
      </w:pPr>
      <w:r w:rsidRPr="00E53719">
        <w:rPr>
          <w:lang w:val="en-GB"/>
        </w:rPr>
        <w:t xml:space="preserve">Rosen, L. D., &amp; Rosenkoetter, P. (1976). An eye fixation analysis of choice and judgment with multiattribute stimuli. </w:t>
      </w:r>
      <w:r w:rsidRPr="00E53719">
        <w:rPr>
          <w:i/>
          <w:lang w:val="en-GB"/>
        </w:rPr>
        <w:t>Memory &amp; Cognition</w:t>
      </w:r>
      <w:r w:rsidRPr="00E53719">
        <w:rPr>
          <w:lang w:val="en-GB"/>
        </w:rPr>
        <w:t xml:space="preserve">, </w:t>
      </w:r>
      <w:r w:rsidRPr="00E53719">
        <w:rPr>
          <w:i/>
          <w:lang w:val="en-GB"/>
        </w:rPr>
        <w:t>4</w:t>
      </w:r>
      <w:r w:rsidRPr="00E53719">
        <w:rPr>
          <w:lang w:val="en-GB"/>
        </w:rPr>
        <w:t xml:space="preserve">(6), 747–752. </w:t>
      </w:r>
      <w:hyperlink r:id="rId34">
        <w:r w:rsidRPr="00E53719">
          <w:rPr>
            <w:rStyle w:val="Hyperlink"/>
            <w:lang w:val="en-GB"/>
          </w:rPr>
          <w:t>https://doi.org/10.3758/BF03213243</w:t>
        </w:r>
      </w:hyperlink>
    </w:p>
    <w:p w14:paraId="64C87D67" w14:textId="77777777" w:rsidR="00B76BF1" w:rsidRPr="00E53719" w:rsidRDefault="00C418A2">
      <w:pPr>
        <w:pStyle w:val="HangingIndent"/>
        <w:rPr>
          <w:lang w:val="en-GB"/>
        </w:rPr>
      </w:pPr>
      <w:r w:rsidRPr="00E53719">
        <w:rPr>
          <w:lang w:val="en-GB"/>
        </w:rPr>
        <w:t xml:space="preserve">Rouault, M., Drugowitsch, J., &amp; Koechlin, E. (2019). Prefrontal mechanisms combining rewards and beliefs in human decision-making. </w:t>
      </w:r>
      <w:r w:rsidRPr="00E53719">
        <w:rPr>
          <w:i/>
          <w:lang w:val="en-GB"/>
        </w:rPr>
        <w:t>Nature Communications</w:t>
      </w:r>
      <w:r w:rsidRPr="00E53719">
        <w:rPr>
          <w:lang w:val="en-GB"/>
        </w:rPr>
        <w:t xml:space="preserve">, </w:t>
      </w:r>
      <w:r w:rsidRPr="00E53719">
        <w:rPr>
          <w:i/>
          <w:lang w:val="en-GB"/>
        </w:rPr>
        <w:t>10</w:t>
      </w:r>
      <w:r w:rsidRPr="00E53719">
        <w:rPr>
          <w:lang w:val="en-GB"/>
        </w:rPr>
        <w:t>(1), 1–16.</w:t>
      </w:r>
      <w:bookmarkStart w:id="154" w:name="ref-rouault2019prefrontal"/>
      <w:bookmarkEnd w:id="154"/>
    </w:p>
    <w:p w14:paraId="7A7FBD0B" w14:textId="77777777" w:rsidR="00B76BF1" w:rsidRPr="00E53719" w:rsidRDefault="00C418A2">
      <w:pPr>
        <w:pStyle w:val="HangingIndent"/>
        <w:rPr>
          <w:lang w:val="en-GB"/>
        </w:rPr>
      </w:pPr>
      <w:r w:rsidRPr="00E53719">
        <w:rPr>
          <w:lang w:val="en-GB"/>
        </w:rPr>
        <w:t xml:space="preserve">Russo, J. E., &amp; Dosher, B. A. (1983). Strategies for multiattribute binary choice. </w:t>
      </w:r>
      <w:r w:rsidRPr="00E53719">
        <w:rPr>
          <w:i/>
          <w:lang w:val="en-GB"/>
        </w:rPr>
        <w:t>Journal of Experimental Psychology: Learning, Memory, and Cognition</w:t>
      </w:r>
      <w:r w:rsidRPr="00E53719">
        <w:rPr>
          <w:lang w:val="en-GB"/>
        </w:rPr>
        <w:t xml:space="preserve">, </w:t>
      </w:r>
      <w:r w:rsidRPr="00E53719">
        <w:rPr>
          <w:i/>
          <w:lang w:val="en-GB"/>
        </w:rPr>
        <w:t>9</w:t>
      </w:r>
      <w:r w:rsidRPr="00E53719">
        <w:rPr>
          <w:lang w:val="en-GB"/>
        </w:rPr>
        <w:t xml:space="preserve">(4), 676–696. </w:t>
      </w:r>
      <w:hyperlink r:id="rId35">
        <w:r w:rsidRPr="00E53719">
          <w:rPr>
            <w:rStyle w:val="Hyperlink"/>
            <w:lang w:val="en-GB"/>
          </w:rPr>
          <w:t>https://doi.org/10.1037/0278-7393.9.4.676</w:t>
        </w:r>
      </w:hyperlink>
    </w:p>
    <w:p w14:paraId="11844D07" w14:textId="77777777" w:rsidR="00B76BF1" w:rsidRPr="00E53719" w:rsidRDefault="00C418A2">
      <w:pPr>
        <w:pStyle w:val="HangingIndent"/>
        <w:rPr>
          <w:lang w:val="en-GB"/>
        </w:rPr>
      </w:pPr>
      <w:r w:rsidRPr="00E53719">
        <w:t xml:space="preserve">Salvatier, J., Wiecki, T. V., &amp; Fonnesbeck, C. (2016). </w:t>
      </w:r>
      <w:r w:rsidRPr="00E53719">
        <w:rPr>
          <w:lang w:val="en-GB"/>
        </w:rPr>
        <w:t xml:space="preserve">Probabilistic programming in Python using PyMC3. </w:t>
      </w:r>
      <w:r w:rsidRPr="00E53719">
        <w:rPr>
          <w:i/>
          <w:lang w:val="en-GB"/>
        </w:rPr>
        <w:t>PeerJ Computer Science</w:t>
      </w:r>
      <w:r w:rsidRPr="00E53719">
        <w:rPr>
          <w:lang w:val="en-GB"/>
        </w:rPr>
        <w:t xml:space="preserve">, </w:t>
      </w:r>
      <w:r w:rsidRPr="00E53719">
        <w:rPr>
          <w:i/>
          <w:lang w:val="en-GB"/>
        </w:rPr>
        <w:t>2</w:t>
      </w:r>
      <w:r w:rsidRPr="00E53719">
        <w:rPr>
          <w:lang w:val="en-GB"/>
        </w:rPr>
        <w:t xml:space="preserve">, e55. </w:t>
      </w:r>
      <w:hyperlink r:id="rId36">
        <w:r w:rsidRPr="00E53719">
          <w:rPr>
            <w:rStyle w:val="Hyperlink"/>
            <w:lang w:val="en-GB"/>
          </w:rPr>
          <w:t>https://doi.org/10.7717/peerj-cs.55</w:t>
        </w:r>
      </w:hyperlink>
    </w:p>
    <w:p w14:paraId="1B8BCD1A" w14:textId="77777777" w:rsidR="00B76BF1" w:rsidRPr="00E53719" w:rsidRDefault="00C418A2">
      <w:pPr>
        <w:pStyle w:val="HangingIndent"/>
        <w:rPr>
          <w:lang w:val="en-GB"/>
        </w:rPr>
      </w:pPr>
      <w:r w:rsidRPr="00E53719">
        <w:rPr>
          <w:lang w:val="en-GB"/>
        </w:rPr>
        <w:t xml:space="preserve">Schwarz, G., &amp; others. (1978). Estimating the dimension of a model. </w:t>
      </w:r>
      <w:r w:rsidRPr="00E53719">
        <w:rPr>
          <w:i/>
          <w:lang w:val="en-GB"/>
        </w:rPr>
        <w:t>The Annals of Statistics</w:t>
      </w:r>
      <w:r w:rsidRPr="00E53719">
        <w:rPr>
          <w:lang w:val="en-GB"/>
        </w:rPr>
        <w:t xml:space="preserve">, </w:t>
      </w:r>
      <w:r w:rsidRPr="00E53719">
        <w:rPr>
          <w:i/>
          <w:lang w:val="en-GB"/>
        </w:rPr>
        <w:t>6</w:t>
      </w:r>
      <w:r w:rsidRPr="00E53719">
        <w:rPr>
          <w:lang w:val="en-GB"/>
        </w:rPr>
        <w:t>(2), 461–464.</w:t>
      </w:r>
      <w:bookmarkStart w:id="155" w:name="ref-schwarz1978estimating"/>
      <w:bookmarkEnd w:id="155"/>
    </w:p>
    <w:p w14:paraId="5D4823D4" w14:textId="77777777" w:rsidR="00B76BF1" w:rsidRPr="00E53719" w:rsidRDefault="00C418A2">
      <w:pPr>
        <w:pStyle w:val="HangingIndent"/>
        <w:rPr>
          <w:lang w:val="en-GB"/>
        </w:rPr>
      </w:pPr>
      <w:r w:rsidRPr="00E53719">
        <w:rPr>
          <w:lang w:val="en-GB"/>
        </w:rPr>
        <w:t xml:space="preserve">Shimojo, S., Simion, C., Shimojo, E., &amp; Scheier, C. (2003). Gaze bias both reflects and influences preference. </w:t>
      </w:r>
      <w:r w:rsidRPr="00E53719">
        <w:rPr>
          <w:i/>
          <w:lang w:val="en-GB"/>
        </w:rPr>
        <w:t>Nature Neuroscience</w:t>
      </w:r>
      <w:r w:rsidRPr="00E53719">
        <w:rPr>
          <w:lang w:val="en-GB"/>
        </w:rPr>
        <w:t xml:space="preserve">, </w:t>
      </w:r>
      <w:r w:rsidRPr="00E53719">
        <w:rPr>
          <w:i/>
          <w:lang w:val="en-GB"/>
        </w:rPr>
        <w:t>6</w:t>
      </w:r>
      <w:r w:rsidRPr="00E53719">
        <w:rPr>
          <w:lang w:val="en-GB"/>
        </w:rPr>
        <w:t>(12), 1317–1322.</w:t>
      </w:r>
      <w:bookmarkStart w:id="156" w:name="ref-shimojo2003gaze"/>
      <w:bookmarkEnd w:id="156"/>
    </w:p>
    <w:p w14:paraId="33935D80" w14:textId="77777777" w:rsidR="00B76BF1" w:rsidRPr="00E53719" w:rsidRDefault="00C418A2">
      <w:pPr>
        <w:pStyle w:val="HangingIndent"/>
        <w:rPr>
          <w:lang w:val="en-GB"/>
        </w:rPr>
      </w:pPr>
      <w:r w:rsidRPr="00E53719">
        <w:rPr>
          <w:lang w:val="en-GB"/>
        </w:rPr>
        <w:t xml:space="preserve">Simonson, I. (1989). Choice based on reasons: The case of attraction and compromise effects. </w:t>
      </w:r>
      <w:r w:rsidRPr="00E53719">
        <w:rPr>
          <w:i/>
          <w:lang w:val="en-GB"/>
        </w:rPr>
        <w:t>Journal of Consumer Research</w:t>
      </w:r>
      <w:r w:rsidRPr="00E53719">
        <w:rPr>
          <w:lang w:val="en-GB"/>
        </w:rPr>
        <w:t xml:space="preserve">, </w:t>
      </w:r>
      <w:r w:rsidRPr="00E53719">
        <w:rPr>
          <w:i/>
          <w:lang w:val="en-GB"/>
        </w:rPr>
        <w:t>16</w:t>
      </w:r>
      <w:r w:rsidRPr="00E53719">
        <w:rPr>
          <w:lang w:val="en-GB"/>
        </w:rPr>
        <w:t>(2), 158–174.</w:t>
      </w:r>
      <w:bookmarkStart w:id="157" w:name="ref-simonson1989choice"/>
      <w:bookmarkEnd w:id="157"/>
    </w:p>
    <w:p w14:paraId="3776B70A" w14:textId="77777777" w:rsidR="00B76BF1" w:rsidRPr="00E53719" w:rsidRDefault="00C418A2">
      <w:pPr>
        <w:pStyle w:val="HangingIndent"/>
        <w:rPr>
          <w:lang w:val="en-GB"/>
        </w:rPr>
      </w:pPr>
      <w:r w:rsidRPr="00E53719">
        <w:rPr>
          <w:lang w:val="en-GB"/>
        </w:rPr>
        <w:t xml:space="preserve">Smith, S. M., &amp; Krajbich, I. (2018). Attention and choice across domains. </w:t>
      </w:r>
      <w:r w:rsidRPr="00E53719">
        <w:rPr>
          <w:i/>
          <w:lang w:val="en-GB"/>
        </w:rPr>
        <w:t>Journal of Experimental Psychology: General</w:t>
      </w:r>
      <w:r w:rsidRPr="00E53719">
        <w:rPr>
          <w:lang w:val="en-GB"/>
        </w:rPr>
        <w:t xml:space="preserve">, </w:t>
      </w:r>
      <w:r w:rsidRPr="00E53719">
        <w:rPr>
          <w:i/>
          <w:lang w:val="en-GB"/>
        </w:rPr>
        <w:t>147</w:t>
      </w:r>
      <w:r w:rsidRPr="00E53719">
        <w:rPr>
          <w:lang w:val="en-GB"/>
        </w:rPr>
        <w:t>(12), 1810.</w:t>
      </w:r>
      <w:bookmarkStart w:id="158" w:name="ref-smith2018attention"/>
      <w:bookmarkEnd w:id="158"/>
    </w:p>
    <w:p w14:paraId="6058D5AB" w14:textId="77777777" w:rsidR="00B76BF1" w:rsidRPr="00E53719" w:rsidRDefault="00C418A2">
      <w:pPr>
        <w:pStyle w:val="HangingIndent"/>
        <w:rPr>
          <w:lang w:val="en-GB"/>
        </w:rPr>
      </w:pPr>
      <w:r w:rsidRPr="00E53719">
        <w:rPr>
          <w:lang w:val="en-GB"/>
        </w:rPr>
        <w:lastRenderedPageBreak/>
        <w:t xml:space="preserve">Smith, S. M., &amp; Krajbich, I. (2019). Gaze amplifies value in decision making. </w:t>
      </w:r>
      <w:r w:rsidRPr="00E53719">
        <w:rPr>
          <w:i/>
          <w:lang w:val="en-GB"/>
        </w:rPr>
        <w:t>Psychological Science</w:t>
      </w:r>
      <w:r w:rsidRPr="00E53719">
        <w:rPr>
          <w:lang w:val="en-GB"/>
        </w:rPr>
        <w:t xml:space="preserve">, </w:t>
      </w:r>
      <w:r w:rsidRPr="00E53719">
        <w:rPr>
          <w:i/>
          <w:lang w:val="en-GB"/>
        </w:rPr>
        <w:t>30</w:t>
      </w:r>
      <w:r w:rsidRPr="00E53719">
        <w:rPr>
          <w:lang w:val="en-GB"/>
        </w:rPr>
        <w:t>(1), 116–128.</w:t>
      </w:r>
      <w:bookmarkStart w:id="159" w:name="ref-smith2019gaze"/>
      <w:bookmarkEnd w:id="159"/>
    </w:p>
    <w:p w14:paraId="4B09F58F" w14:textId="77777777" w:rsidR="00B76BF1" w:rsidRPr="00E53719" w:rsidRDefault="00C418A2">
      <w:pPr>
        <w:pStyle w:val="HangingIndent"/>
        <w:rPr>
          <w:lang w:val="en-GB"/>
        </w:rPr>
      </w:pPr>
      <w:r w:rsidRPr="00E53719">
        <w:rPr>
          <w:lang w:val="en-GB"/>
        </w:rPr>
        <w:t xml:space="preserve">Soltani, A., De Martino, B., &amp; Camerer, C. (2012). A range-normalization model of context-dependent choice: A new model and evidence. </w:t>
      </w:r>
      <w:r w:rsidRPr="00E53719">
        <w:rPr>
          <w:i/>
          <w:lang w:val="en-GB"/>
        </w:rPr>
        <w:t>PLoS Comput Biol</w:t>
      </w:r>
      <w:r w:rsidRPr="00E53719">
        <w:rPr>
          <w:lang w:val="en-GB"/>
        </w:rPr>
        <w:t xml:space="preserve">, </w:t>
      </w:r>
      <w:r w:rsidRPr="00E53719">
        <w:rPr>
          <w:i/>
          <w:lang w:val="en-GB"/>
        </w:rPr>
        <w:t>8</w:t>
      </w:r>
      <w:r w:rsidRPr="00E53719">
        <w:rPr>
          <w:lang w:val="en-GB"/>
        </w:rPr>
        <w:t>(7), e1002607.</w:t>
      </w:r>
      <w:bookmarkStart w:id="160" w:name="ref-soltani2012range"/>
      <w:bookmarkEnd w:id="160"/>
    </w:p>
    <w:p w14:paraId="581E5321" w14:textId="77777777" w:rsidR="00B76BF1" w:rsidRPr="00E53719" w:rsidRDefault="00C418A2">
      <w:pPr>
        <w:pStyle w:val="HangingIndent"/>
        <w:rPr>
          <w:lang w:val="en-GB"/>
        </w:rPr>
      </w:pPr>
      <w:r w:rsidRPr="00E53719">
        <w:rPr>
          <w:lang w:val="en-GB"/>
        </w:rPr>
        <w:t xml:space="preserve">Stewart, N., Hermens, F., &amp; Matthews, W. J. (2016). Eye Movements in Risky Choice: Eye Movements in Risky Choice. </w:t>
      </w:r>
      <w:r w:rsidRPr="00E53719">
        <w:rPr>
          <w:i/>
          <w:lang w:val="en-GB"/>
        </w:rPr>
        <w:t>Journal of Behavioral Decision Making</w:t>
      </w:r>
      <w:r w:rsidRPr="00E53719">
        <w:rPr>
          <w:lang w:val="en-GB"/>
        </w:rPr>
        <w:t xml:space="preserve">, </w:t>
      </w:r>
      <w:r w:rsidRPr="00E53719">
        <w:rPr>
          <w:i/>
          <w:lang w:val="en-GB"/>
        </w:rPr>
        <w:t>29</w:t>
      </w:r>
      <w:r w:rsidRPr="00E53719">
        <w:rPr>
          <w:lang w:val="en-GB"/>
        </w:rPr>
        <w:t xml:space="preserve">(2-3), 116–136. </w:t>
      </w:r>
      <w:hyperlink r:id="rId37">
        <w:r w:rsidRPr="00E53719">
          <w:rPr>
            <w:rStyle w:val="Hyperlink"/>
            <w:lang w:val="en-GB"/>
          </w:rPr>
          <w:t>https://doi.org/10.1002/bdm.1854</w:t>
        </w:r>
      </w:hyperlink>
    </w:p>
    <w:p w14:paraId="1E67ED36" w14:textId="77777777" w:rsidR="00B76BF1" w:rsidRPr="00E53719" w:rsidRDefault="00C418A2">
      <w:pPr>
        <w:pStyle w:val="HangingIndent"/>
        <w:rPr>
          <w:lang w:val="en-GB"/>
        </w:rPr>
      </w:pPr>
      <w:r w:rsidRPr="00E53719">
        <w:rPr>
          <w:lang w:val="en-GB"/>
        </w:rPr>
        <w:t xml:space="preserve">Stojić, H., Orquin, J. L., Dayan, P., Dolan, R. J., &amp; Speekenbrink, M. (2020). Uncertainty in learning, choice, and visual fixation. </w:t>
      </w:r>
      <w:r w:rsidRPr="00E53719">
        <w:rPr>
          <w:i/>
          <w:lang w:val="en-GB"/>
        </w:rPr>
        <w:t>Proceedings of the National Academy of Sciences</w:t>
      </w:r>
      <w:r w:rsidRPr="00E53719">
        <w:rPr>
          <w:lang w:val="en-GB"/>
        </w:rPr>
        <w:t xml:space="preserve">, </w:t>
      </w:r>
      <w:r w:rsidRPr="00E53719">
        <w:rPr>
          <w:i/>
          <w:lang w:val="en-GB"/>
        </w:rPr>
        <w:t>117</w:t>
      </w:r>
      <w:r w:rsidRPr="00E53719">
        <w:rPr>
          <w:lang w:val="en-GB"/>
        </w:rPr>
        <w:t>(6), 3291–3300.</w:t>
      </w:r>
      <w:bookmarkStart w:id="161" w:name="ref-stojic2020uncertainty"/>
      <w:bookmarkEnd w:id="161"/>
    </w:p>
    <w:p w14:paraId="1403EA64" w14:textId="77777777" w:rsidR="00B76BF1" w:rsidRPr="00E53719" w:rsidRDefault="00C418A2">
      <w:pPr>
        <w:pStyle w:val="HangingIndent"/>
        <w:rPr>
          <w:lang w:val="en-GB"/>
        </w:rPr>
      </w:pPr>
      <w:r w:rsidRPr="00E53719">
        <w:rPr>
          <w:lang w:val="en-GB"/>
        </w:rPr>
        <w:t xml:space="preserve">Storn, R., &amp; Price, K. (1997). Differential evolution–a simple and efficient heuristic for global optimization over continuous spaces. </w:t>
      </w:r>
      <w:r w:rsidRPr="00E53719">
        <w:rPr>
          <w:i/>
          <w:lang w:val="en-GB"/>
        </w:rPr>
        <w:t>Journal of Global Optimization</w:t>
      </w:r>
      <w:r w:rsidRPr="00E53719">
        <w:rPr>
          <w:lang w:val="en-GB"/>
        </w:rPr>
        <w:t xml:space="preserve">, </w:t>
      </w:r>
      <w:r w:rsidRPr="00E53719">
        <w:rPr>
          <w:i/>
          <w:lang w:val="en-GB"/>
        </w:rPr>
        <w:t>11</w:t>
      </w:r>
      <w:r w:rsidRPr="00E53719">
        <w:rPr>
          <w:lang w:val="en-GB"/>
        </w:rPr>
        <w:t>(4), 341–359.</w:t>
      </w:r>
      <w:bookmarkStart w:id="162" w:name="ref-storn1997differential"/>
      <w:bookmarkEnd w:id="162"/>
    </w:p>
    <w:p w14:paraId="7543B386" w14:textId="77777777" w:rsidR="00B76BF1" w:rsidRPr="00E53719" w:rsidRDefault="00C418A2">
      <w:pPr>
        <w:pStyle w:val="HangingIndent"/>
        <w:rPr>
          <w:lang w:val="en-GB"/>
        </w:rPr>
      </w:pPr>
      <w:r w:rsidRPr="00E53719">
        <w:rPr>
          <w:lang w:val="en-GB"/>
        </w:rPr>
        <w:t xml:space="preserve">Su, Y., Rao, L.-L., Sun, H.-Y., Du, X.-L., Li, X., &amp; Li, S. (2013). Is making a risky choice based on a weighting and adding process? An eye-tracking investigation. </w:t>
      </w:r>
      <w:r w:rsidRPr="00E53719">
        <w:rPr>
          <w:i/>
          <w:lang w:val="en-GB"/>
        </w:rPr>
        <w:t>Journal of Experimental Psychology: Learning, Memory, and Cognition</w:t>
      </w:r>
      <w:r w:rsidRPr="00E53719">
        <w:rPr>
          <w:lang w:val="en-GB"/>
        </w:rPr>
        <w:t xml:space="preserve">, </w:t>
      </w:r>
      <w:r w:rsidRPr="00E53719">
        <w:rPr>
          <w:i/>
          <w:lang w:val="en-GB"/>
        </w:rPr>
        <w:t>39</w:t>
      </w:r>
      <w:r w:rsidRPr="00E53719">
        <w:rPr>
          <w:lang w:val="en-GB"/>
        </w:rPr>
        <w:t xml:space="preserve">(6), 1765–1780. </w:t>
      </w:r>
      <w:hyperlink r:id="rId38">
        <w:r w:rsidRPr="00E53719">
          <w:rPr>
            <w:rStyle w:val="Hyperlink"/>
            <w:lang w:val="en-GB"/>
          </w:rPr>
          <w:t>https://doi.org/10.1037/a0032861</w:t>
        </w:r>
      </w:hyperlink>
    </w:p>
    <w:p w14:paraId="414B1A89" w14:textId="77777777" w:rsidR="00B76BF1" w:rsidRPr="00E53719" w:rsidRDefault="00C418A2">
      <w:pPr>
        <w:pStyle w:val="HangingIndent"/>
        <w:rPr>
          <w:lang w:val="en-GB"/>
        </w:rPr>
      </w:pPr>
      <w:r w:rsidRPr="00E53719">
        <w:rPr>
          <w:lang w:val="en-GB"/>
        </w:rPr>
        <w:t xml:space="preserve">Sui, X.-Y., Liu, H.-Z., &amp; Rao, L.-L. (2020). The timing of gaze-contingent decision prompts influences risky choice. </w:t>
      </w:r>
      <w:r w:rsidRPr="00E53719">
        <w:rPr>
          <w:i/>
          <w:lang w:val="en-GB"/>
        </w:rPr>
        <w:t>Cognition</w:t>
      </w:r>
      <w:r w:rsidRPr="00E53719">
        <w:rPr>
          <w:lang w:val="en-GB"/>
        </w:rPr>
        <w:t xml:space="preserve">, </w:t>
      </w:r>
      <w:r w:rsidRPr="00E53719">
        <w:rPr>
          <w:i/>
          <w:lang w:val="en-GB"/>
        </w:rPr>
        <w:t>195</w:t>
      </w:r>
      <w:r w:rsidRPr="00E53719">
        <w:rPr>
          <w:lang w:val="en-GB"/>
        </w:rPr>
        <w:t>, 104077.</w:t>
      </w:r>
      <w:bookmarkStart w:id="163" w:name="ref-sui2020timing"/>
      <w:bookmarkEnd w:id="163"/>
    </w:p>
    <w:p w14:paraId="7945C12C" w14:textId="77777777" w:rsidR="00B76BF1" w:rsidRPr="00E53719" w:rsidRDefault="00C418A2">
      <w:pPr>
        <w:pStyle w:val="HangingIndent"/>
        <w:rPr>
          <w:lang w:val="en-GB"/>
        </w:rPr>
      </w:pPr>
      <w:r w:rsidRPr="00E53719">
        <w:rPr>
          <w:lang w:val="en-GB"/>
        </w:rPr>
        <w:t xml:space="preserve">Sutton, R. S., &amp; Barto, A. G. (2018). </w:t>
      </w:r>
      <w:r w:rsidRPr="00E53719">
        <w:rPr>
          <w:i/>
          <w:lang w:val="en-GB"/>
        </w:rPr>
        <w:t>Reinforcement learning: An introduction</w:t>
      </w:r>
      <w:r w:rsidRPr="00E53719">
        <w:rPr>
          <w:lang w:val="en-GB"/>
        </w:rPr>
        <w:t>. MIT press.</w:t>
      </w:r>
      <w:bookmarkStart w:id="164" w:name="ref-sutton2018reinforcement"/>
      <w:bookmarkEnd w:id="164"/>
    </w:p>
    <w:p w14:paraId="0410B929" w14:textId="77777777" w:rsidR="00B76BF1" w:rsidRPr="00E53719" w:rsidRDefault="00C418A2">
      <w:pPr>
        <w:pStyle w:val="HangingIndent"/>
        <w:rPr>
          <w:lang w:val="en-GB"/>
        </w:rPr>
      </w:pPr>
      <w:r w:rsidRPr="00E53719">
        <w:rPr>
          <w:lang w:val="en-GB"/>
        </w:rPr>
        <w:t xml:space="preserve">Tavares, G., Perona, P., &amp; Rangel, A. (2017). The attentional drift diffusion model of simple perceptual decision-making. </w:t>
      </w:r>
      <w:r w:rsidRPr="00E53719">
        <w:rPr>
          <w:i/>
          <w:lang w:val="en-GB"/>
        </w:rPr>
        <w:t>Frontiers in Neuroscience</w:t>
      </w:r>
      <w:r w:rsidRPr="00E53719">
        <w:rPr>
          <w:lang w:val="en-GB"/>
        </w:rPr>
        <w:t xml:space="preserve">, </w:t>
      </w:r>
      <w:r w:rsidRPr="00E53719">
        <w:rPr>
          <w:i/>
          <w:lang w:val="en-GB"/>
        </w:rPr>
        <w:t>11</w:t>
      </w:r>
      <w:r w:rsidRPr="00E53719">
        <w:rPr>
          <w:lang w:val="en-GB"/>
        </w:rPr>
        <w:t>, 468.</w:t>
      </w:r>
      <w:bookmarkStart w:id="165" w:name="ref-tavares2017attentional"/>
      <w:bookmarkEnd w:id="165"/>
    </w:p>
    <w:p w14:paraId="109C1D42" w14:textId="77777777" w:rsidR="00B76BF1" w:rsidRPr="00E53719" w:rsidRDefault="00C418A2">
      <w:pPr>
        <w:pStyle w:val="HangingIndent"/>
        <w:rPr>
          <w:lang w:val="en-GB"/>
        </w:rPr>
      </w:pPr>
      <w:r w:rsidRPr="00E53719">
        <w:rPr>
          <w:lang w:val="en-GB"/>
        </w:rPr>
        <w:t xml:space="preserve">Thomas, A. W., Molter, F., Krajbich, I., Heekeren, H. R., &amp; Mohr, P. N. (2019). Gaze bias differences capture individual choice behaviour. </w:t>
      </w:r>
      <w:r w:rsidRPr="00E53719">
        <w:rPr>
          <w:i/>
          <w:lang w:val="en-GB"/>
        </w:rPr>
        <w:t>Nature Human Behaviour</w:t>
      </w:r>
      <w:r w:rsidRPr="00E53719">
        <w:rPr>
          <w:lang w:val="en-GB"/>
        </w:rPr>
        <w:t xml:space="preserve">, </w:t>
      </w:r>
      <w:r w:rsidRPr="00E53719">
        <w:rPr>
          <w:i/>
          <w:lang w:val="en-GB"/>
        </w:rPr>
        <w:t>3</w:t>
      </w:r>
      <w:r w:rsidRPr="00E53719">
        <w:rPr>
          <w:lang w:val="en-GB"/>
        </w:rPr>
        <w:t>(6), 625–635.</w:t>
      </w:r>
      <w:bookmarkStart w:id="166" w:name="ref-thomas2019gaze"/>
      <w:bookmarkEnd w:id="166"/>
    </w:p>
    <w:p w14:paraId="501B2BC4" w14:textId="77777777" w:rsidR="00B76BF1" w:rsidRPr="00E53719" w:rsidRDefault="00C418A2">
      <w:pPr>
        <w:pStyle w:val="HangingIndent"/>
        <w:rPr>
          <w:lang w:val="en-GB"/>
        </w:rPr>
      </w:pPr>
      <w:r w:rsidRPr="00E53719">
        <w:rPr>
          <w:lang w:val="en-GB"/>
        </w:rPr>
        <w:t xml:space="preserve">Towal, R. B., Mormann, M., &amp; Koch, C. (2013). Simultaneous modeling of visual saliency and value computation improves predictions of economic choice.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(40), E3858–E3867.</w:t>
      </w:r>
      <w:bookmarkStart w:id="167" w:name="ref-towal2011simultaneous"/>
      <w:bookmarkEnd w:id="167"/>
    </w:p>
    <w:p w14:paraId="3D6AE049" w14:textId="77777777" w:rsidR="00B76BF1" w:rsidRPr="00E53719" w:rsidRDefault="00C418A2">
      <w:pPr>
        <w:pStyle w:val="HangingIndent"/>
        <w:rPr>
          <w:lang w:val="en-GB"/>
        </w:rPr>
      </w:pPr>
      <w:r w:rsidRPr="00E53719">
        <w:rPr>
          <w:lang w:val="en-GB"/>
        </w:rPr>
        <w:lastRenderedPageBreak/>
        <w:t xml:space="preserve">Trueblood, J. S. (2012). Multialternative context effects obtained using an inference task. </w:t>
      </w:r>
      <w:r w:rsidRPr="00E53719">
        <w:rPr>
          <w:i/>
          <w:lang w:val="en-GB"/>
        </w:rPr>
        <w:t>Psychonomic Bulletin &amp; Review</w:t>
      </w:r>
      <w:r w:rsidRPr="00E53719">
        <w:rPr>
          <w:lang w:val="en-GB"/>
        </w:rPr>
        <w:t xml:space="preserve">, </w:t>
      </w:r>
      <w:r w:rsidRPr="00E53719">
        <w:rPr>
          <w:i/>
          <w:lang w:val="en-GB"/>
        </w:rPr>
        <w:t>19</w:t>
      </w:r>
      <w:r w:rsidRPr="00E53719">
        <w:rPr>
          <w:lang w:val="en-GB"/>
        </w:rPr>
        <w:t>(5), 962–968.</w:t>
      </w:r>
      <w:bookmarkStart w:id="168" w:name="ref-trueblood2012multialternative"/>
      <w:bookmarkEnd w:id="168"/>
    </w:p>
    <w:p w14:paraId="482B2171" w14:textId="77777777" w:rsidR="00B76BF1" w:rsidRPr="00E53719" w:rsidRDefault="00C418A2">
      <w:pPr>
        <w:pStyle w:val="HangingIndent"/>
        <w:rPr>
          <w:lang w:val="en-GB"/>
        </w:rPr>
      </w:pPr>
      <w:r w:rsidRPr="00E53719">
        <w:rPr>
          <w:lang w:val="en-GB"/>
        </w:rPr>
        <w:t xml:space="preserve">Trueblood, J. S., Brown, S. D., &amp; Heathcote, A. (2014). The multiattribute linear ballistic accumulator model of context effects in multialternative choice. </w:t>
      </w:r>
      <w:r w:rsidRPr="00E53719">
        <w:rPr>
          <w:i/>
          <w:lang w:val="en-GB"/>
        </w:rPr>
        <w:t>Psychological Review</w:t>
      </w:r>
      <w:r w:rsidRPr="00E53719">
        <w:rPr>
          <w:lang w:val="en-GB"/>
        </w:rPr>
        <w:t xml:space="preserve">, </w:t>
      </w:r>
      <w:r w:rsidRPr="00E53719">
        <w:rPr>
          <w:i/>
          <w:lang w:val="en-GB"/>
        </w:rPr>
        <w:t>121</w:t>
      </w:r>
      <w:r w:rsidRPr="00E53719">
        <w:rPr>
          <w:lang w:val="en-GB"/>
        </w:rPr>
        <w:t>(2), 179.</w:t>
      </w:r>
      <w:bookmarkStart w:id="169" w:name="ref-trueblood2014multiattribute"/>
      <w:bookmarkEnd w:id="169"/>
    </w:p>
    <w:p w14:paraId="39AECC7C" w14:textId="77777777" w:rsidR="00B76BF1" w:rsidRPr="00E53719" w:rsidRDefault="00C418A2">
      <w:pPr>
        <w:pStyle w:val="HangingIndent"/>
        <w:rPr>
          <w:lang w:val="en-GB"/>
        </w:rPr>
      </w:pPr>
      <w:r w:rsidRPr="00E53719">
        <w:rPr>
          <w:lang w:val="en-GB"/>
        </w:rPr>
        <w:t xml:space="preserve">Trueblood, J. S., Brown, S. D., &amp; Heathcote, A. (2015). </w:t>
      </w:r>
      <w:r w:rsidRPr="00E53719">
        <w:rPr>
          <w:i/>
          <w:lang w:val="en-GB"/>
        </w:rPr>
        <w:t>The fragile nature of contextual preference reversals: Reply to tsetsos, chater, and usher (2015).</w:t>
      </w:r>
      <w:bookmarkStart w:id="170" w:name="ref-trueblood2015fragile"/>
      <w:bookmarkEnd w:id="170"/>
    </w:p>
    <w:p w14:paraId="01E78220" w14:textId="77777777" w:rsidR="00B76BF1" w:rsidRPr="00E53719" w:rsidRDefault="00C418A2">
      <w:pPr>
        <w:pStyle w:val="HangingIndent"/>
        <w:rPr>
          <w:lang w:val="en-GB"/>
        </w:rPr>
      </w:pPr>
      <w:r w:rsidRPr="00E53719">
        <w:rPr>
          <w:lang w:val="en-GB"/>
        </w:rPr>
        <w:t xml:space="preserve">Trueblood, J. S., Brown, S. D., Heathcote, A., &amp; Busemeyer, J. R. (2013). Not just for consumers: Context effects are fundamental to decision making. </w:t>
      </w:r>
      <w:r w:rsidRPr="00E53719">
        <w:rPr>
          <w:i/>
          <w:lang w:val="en-GB"/>
        </w:rPr>
        <w:t>Psychological Science</w:t>
      </w:r>
      <w:r w:rsidRPr="00E53719">
        <w:rPr>
          <w:lang w:val="en-GB"/>
        </w:rPr>
        <w:t xml:space="preserve">, </w:t>
      </w:r>
      <w:r w:rsidRPr="00E53719">
        <w:rPr>
          <w:i/>
          <w:lang w:val="en-GB"/>
        </w:rPr>
        <w:t>24</w:t>
      </w:r>
      <w:r w:rsidRPr="00E53719">
        <w:rPr>
          <w:lang w:val="en-GB"/>
        </w:rPr>
        <w:t>(6), 901–908.</w:t>
      </w:r>
      <w:bookmarkStart w:id="171" w:name="ref-trueblood2013not"/>
      <w:bookmarkEnd w:id="171"/>
    </w:p>
    <w:p w14:paraId="2977A745" w14:textId="77777777" w:rsidR="00B76BF1" w:rsidRPr="00E53719" w:rsidRDefault="00C418A2">
      <w:pPr>
        <w:pStyle w:val="HangingIndent"/>
        <w:rPr>
          <w:lang w:val="en-GB"/>
        </w:rPr>
      </w:pPr>
      <w:r w:rsidRPr="00E53719">
        <w:rPr>
          <w:lang w:val="en-GB"/>
        </w:rPr>
        <w:t xml:space="preserve">Trueblood, J. S., &amp; Dasari, A. (2017). The Impact of Presentation Order on the Attraction Effect in Decision-making. In G. Gunzelman, A. Howes, T. Tenbrink, &amp; E. J. Davelaar (Eds.), </w:t>
      </w:r>
      <w:r w:rsidRPr="00E53719">
        <w:rPr>
          <w:i/>
          <w:lang w:val="en-GB"/>
        </w:rPr>
        <w:t>Proceedings of the 39th Annual Conference of the Cognitive Science Society</w:t>
      </w:r>
      <w:r w:rsidRPr="00E53719">
        <w:rPr>
          <w:lang w:val="en-GB"/>
        </w:rPr>
        <w:t xml:space="preserve"> (pp. 3374–3379). Austin, TX: Cognitive Science Society.</w:t>
      </w:r>
      <w:bookmarkStart w:id="172" w:name="ref-truebloodImpactPresentationOrder2017"/>
      <w:bookmarkEnd w:id="172"/>
    </w:p>
    <w:p w14:paraId="6E58CAE6" w14:textId="77777777" w:rsidR="00B76BF1" w:rsidRPr="00E53719" w:rsidRDefault="00C418A2">
      <w:pPr>
        <w:pStyle w:val="HangingIndent"/>
        <w:rPr>
          <w:lang w:val="en-GB"/>
        </w:rPr>
      </w:pPr>
      <w:r w:rsidRPr="00E53719">
        <w:rPr>
          <w:lang w:val="en-GB"/>
        </w:rPr>
        <w:t xml:space="preserve">Tsetsos, K., Chater, N., &amp; Usher, M. (2012). Salience driven value integration explains decision biases and preference reversal. </w:t>
      </w:r>
      <w:r w:rsidRPr="00E53719">
        <w:rPr>
          <w:i/>
          <w:lang w:val="en-GB"/>
        </w:rPr>
        <w:t>Proceedings of the National Academy of Sciences</w:t>
      </w:r>
      <w:r w:rsidRPr="00E53719">
        <w:rPr>
          <w:lang w:val="en-GB"/>
        </w:rPr>
        <w:t xml:space="preserve">, </w:t>
      </w:r>
      <w:r w:rsidRPr="00E53719">
        <w:rPr>
          <w:i/>
          <w:lang w:val="en-GB"/>
        </w:rPr>
        <w:t>109</w:t>
      </w:r>
      <w:r w:rsidRPr="00E53719">
        <w:rPr>
          <w:lang w:val="en-GB"/>
        </w:rPr>
        <w:t>(24), 9659–9664.</w:t>
      </w:r>
      <w:bookmarkStart w:id="173" w:name="ref-tsetsos2012salience"/>
      <w:bookmarkEnd w:id="173"/>
    </w:p>
    <w:p w14:paraId="5F6CB950" w14:textId="77777777" w:rsidR="00B76BF1" w:rsidRPr="00E53719" w:rsidRDefault="00C418A2">
      <w:pPr>
        <w:pStyle w:val="HangingIndent"/>
        <w:rPr>
          <w:lang w:val="en-GB"/>
        </w:rPr>
      </w:pPr>
      <w:r w:rsidRPr="00E53719">
        <w:rPr>
          <w:lang w:val="en-GB"/>
        </w:rPr>
        <w:t xml:space="preserve">Turner, B. M., Schley, D. R., Muller, C., &amp; Tsetsos, K. (2018). Competing theories of multialternative, multiattribute preferential choice. </w:t>
      </w:r>
      <w:r w:rsidRPr="00E53719">
        <w:rPr>
          <w:i/>
          <w:lang w:val="en-GB"/>
        </w:rPr>
        <w:t>Psychological Review</w:t>
      </w:r>
      <w:r w:rsidRPr="00E53719">
        <w:rPr>
          <w:lang w:val="en-GB"/>
        </w:rPr>
        <w:t xml:space="preserve">, </w:t>
      </w:r>
      <w:r w:rsidRPr="00E53719">
        <w:rPr>
          <w:i/>
          <w:lang w:val="en-GB"/>
        </w:rPr>
        <w:t>125</w:t>
      </w:r>
      <w:r w:rsidRPr="00E53719">
        <w:rPr>
          <w:lang w:val="en-GB"/>
        </w:rPr>
        <w:t>(3), 329.</w:t>
      </w:r>
      <w:bookmarkStart w:id="174" w:name="ref-turner2018competing"/>
      <w:bookmarkEnd w:id="174"/>
    </w:p>
    <w:p w14:paraId="690E114B" w14:textId="77777777" w:rsidR="00B76BF1" w:rsidRPr="00E53719" w:rsidRDefault="00C418A2">
      <w:pPr>
        <w:pStyle w:val="HangingIndent"/>
        <w:rPr>
          <w:lang w:val="en-GB"/>
        </w:rPr>
      </w:pPr>
      <w:r w:rsidRPr="00E53719">
        <w:rPr>
          <w:lang w:val="en-GB"/>
        </w:rPr>
        <w:t xml:space="preserve">Tversky, A. (1972). Elimination by aspects: A theory of choice. </w:t>
      </w:r>
      <w:r w:rsidRPr="00E53719">
        <w:rPr>
          <w:i/>
          <w:lang w:val="en-GB"/>
        </w:rPr>
        <w:t>Psychological Review</w:t>
      </w:r>
      <w:r w:rsidRPr="00E53719">
        <w:rPr>
          <w:lang w:val="en-GB"/>
        </w:rPr>
        <w:t xml:space="preserve">, </w:t>
      </w:r>
      <w:r w:rsidRPr="00E53719">
        <w:rPr>
          <w:i/>
          <w:lang w:val="en-GB"/>
        </w:rPr>
        <w:t>79</w:t>
      </w:r>
      <w:r w:rsidRPr="00E53719">
        <w:rPr>
          <w:lang w:val="en-GB"/>
        </w:rPr>
        <w:t>(4), 281.</w:t>
      </w:r>
      <w:bookmarkStart w:id="175" w:name="ref-tversky1972elimination"/>
      <w:bookmarkEnd w:id="175"/>
    </w:p>
    <w:p w14:paraId="5BBA6547" w14:textId="77777777" w:rsidR="00B76BF1" w:rsidRPr="00E53719" w:rsidRDefault="00C418A2">
      <w:pPr>
        <w:pStyle w:val="HangingIndent"/>
        <w:rPr>
          <w:lang w:val="en-GB"/>
        </w:rPr>
      </w:pPr>
      <w:r w:rsidRPr="00E53719">
        <w:rPr>
          <w:lang w:val="en-GB"/>
        </w:rPr>
        <w:t xml:space="preserve">Tversky, A., &amp; Kahneman, D. (1992). Advances in prospect theory: Cumulative representation of uncertainty. </w:t>
      </w:r>
      <w:r w:rsidRPr="00E53719">
        <w:rPr>
          <w:i/>
          <w:lang w:val="en-GB"/>
        </w:rPr>
        <w:t>Journal of Risk and Uncertainty</w:t>
      </w:r>
      <w:r w:rsidRPr="00E53719">
        <w:rPr>
          <w:lang w:val="en-GB"/>
        </w:rPr>
        <w:t xml:space="preserve">, </w:t>
      </w:r>
      <w:r w:rsidRPr="00E53719">
        <w:rPr>
          <w:i/>
          <w:lang w:val="en-GB"/>
        </w:rPr>
        <w:t>5</w:t>
      </w:r>
      <w:r w:rsidRPr="00E53719">
        <w:rPr>
          <w:lang w:val="en-GB"/>
        </w:rPr>
        <w:t>(4), 297–323.</w:t>
      </w:r>
      <w:bookmarkStart w:id="176" w:name="ref-tversky1992advances"/>
      <w:bookmarkEnd w:id="176"/>
    </w:p>
    <w:p w14:paraId="18CC3860" w14:textId="77777777" w:rsidR="00B76BF1" w:rsidRPr="00E53719" w:rsidRDefault="00C418A2">
      <w:pPr>
        <w:pStyle w:val="HangingIndent"/>
        <w:rPr>
          <w:lang w:val="en-GB"/>
        </w:rPr>
      </w:pPr>
      <w:r w:rsidRPr="00E53719">
        <w:rPr>
          <w:lang w:val="en-GB"/>
        </w:rPr>
        <w:t xml:space="preserve">Tversky, A., &amp; Simonson, I. (1993). Context-dependent preferences. </w:t>
      </w:r>
      <w:r w:rsidRPr="00E53719">
        <w:rPr>
          <w:i/>
          <w:lang w:val="en-GB"/>
        </w:rPr>
        <w:t>Management Science</w:t>
      </w:r>
      <w:r w:rsidRPr="00E53719">
        <w:rPr>
          <w:lang w:val="en-GB"/>
        </w:rPr>
        <w:t xml:space="preserve">, </w:t>
      </w:r>
      <w:r w:rsidRPr="00E53719">
        <w:rPr>
          <w:i/>
          <w:lang w:val="en-GB"/>
        </w:rPr>
        <w:t>39</w:t>
      </w:r>
      <w:r w:rsidRPr="00E53719">
        <w:rPr>
          <w:lang w:val="en-GB"/>
        </w:rPr>
        <w:t>(10), 1179–1189.</w:t>
      </w:r>
      <w:bookmarkStart w:id="177" w:name="ref-tversky1993context"/>
      <w:bookmarkEnd w:id="177"/>
    </w:p>
    <w:p w14:paraId="6D9B7DB5" w14:textId="77777777" w:rsidR="00B76BF1" w:rsidRPr="00E53719" w:rsidRDefault="00C418A2">
      <w:pPr>
        <w:pStyle w:val="HangingIndent"/>
        <w:rPr>
          <w:lang w:val="en-GB"/>
        </w:rPr>
      </w:pPr>
      <w:r w:rsidRPr="00E53719">
        <w:rPr>
          <w:lang w:val="en-GB"/>
        </w:rPr>
        <w:lastRenderedPageBreak/>
        <w:t xml:space="preserve">Usher, M., &amp; McClelland, J. L. (2001). The time course of perceptual choice: The leaky, competing accumulator model. </w:t>
      </w:r>
      <w:r w:rsidRPr="00E53719">
        <w:rPr>
          <w:i/>
          <w:lang w:val="en-GB"/>
        </w:rPr>
        <w:t>Psychological Review</w:t>
      </w:r>
      <w:r w:rsidRPr="00E53719">
        <w:rPr>
          <w:lang w:val="en-GB"/>
        </w:rPr>
        <w:t xml:space="preserve">, </w:t>
      </w:r>
      <w:r w:rsidRPr="00E53719">
        <w:rPr>
          <w:i/>
          <w:lang w:val="en-GB"/>
        </w:rPr>
        <w:t>108</w:t>
      </w:r>
      <w:r w:rsidRPr="00E53719">
        <w:rPr>
          <w:lang w:val="en-GB"/>
        </w:rPr>
        <w:t>(3), 550.</w:t>
      </w:r>
      <w:bookmarkStart w:id="178" w:name="ref-usher2001time"/>
      <w:bookmarkEnd w:id="178"/>
    </w:p>
    <w:p w14:paraId="013289DC" w14:textId="77777777" w:rsidR="00B76BF1" w:rsidRPr="00E53719" w:rsidRDefault="00C418A2">
      <w:pPr>
        <w:pStyle w:val="HangingIndent"/>
        <w:rPr>
          <w:lang w:val="en-GB"/>
        </w:rPr>
      </w:pPr>
      <w:r w:rsidRPr="00E53719">
        <w:rPr>
          <w:lang w:val="en-GB"/>
        </w:rPr>
        <w:t xml:space="preserve">Usher, M., &amp; McClelland, J. L. (2004). Loss aversion and inhibition in dynamical models of multialternative choice. </w:t>
      </w:r>
      <w:r w:rsidRPr="00E53719">
        <w:rPr>
          <w:i/>
          <w:lang w:val="en-GB"/>
        </w:rPr>
        <w:t>Psychological Review</w:t>
      </w:r>
      <w:r w:rsidRPr="00E53719">
        <w:rPr>
          <w:lang w:val="en-GB"/>
        </w:rPr>
        <w:t xml:space="preserve">, </w:t>
      </w:r>
      <w:r w:rsidRPr="00E53719">
        <w:rPr>
          <w:i/>
          <w:lang w:val="en-GB"/>
        </w:rPr>
        <w:t>111</w:t>
      </w:r>
      <w:r w:rsidRPr="00E53719">
        <w:rPr>
          <w:lang w:val="en-GB"/>
        </w:rPr>
        <w:t>(3), 757.</w:t>
      </w:r>
      <w:bookmarkStart w:id="179" w:name="ref-usher2004loss"/>
      <w:bookmarkEnd w:id="179"/>
    </w:p>
    <w:p w14:paraId="0ADF6F34" w14:textId="77777777" w:rsidR="00B76BF1" w:rsidRPr="00E53719" w:rsidRDefault="00C418A2">
      <w:pPr>
        <w:pStyle w:val="HangingIndent"/>
        <w:rPr>
          <w:lang w:val="en-GB"/>
        </w:rPr>
      </w:pPr>
      <w:r w:rsidRPr="00E53719">
        <w:rPr>
          <w:lang w:val="en-GB"/>
        </w:rPr>
        <w:t xml:space="preserve">Vaidya, A. R., &amp; Fellows, L. K. (2015). Testing necessary regional frontal contributions to value assessment and fixation-based updating. </w:t>
      </w:r>
      <w:r w:rsidRPr="00E53719">
        <w:rPr>
          <w:i/>
          <w:lang w:val="en-GB"/>
        </w:rPr>
        <w:t>Nature Communications</w:t>
      </w:r>
      <w:r w:rsidRPr="00E53719">
        <w:rPr>
          <w:lang w:val="en-GB"/>
        </w:rPr>
        <w:t xml:space="preserve">, </w:t>
      </w:r>
      <w:r w:rsidRPr="00E53719">
        <w:rPr>
          <w:i/>
          <w:lang w:val="en-GB"/>
        </w:rPr>
        <w:t>6</w:t>
      </w:r>
      <w:r w:rsidRPr="00E53719">
        <w:rPr>
          <w:lang w:val="en-GB"/>
        </w:rPr>
        <w:t>(1), 1–12.</w:t>
      </w:r>
      <w:bookmarkStart w:id="180" w:name="ref-vaidya2015testing"/>
      <w:bookmarkEnd w:id="180"/>
    </w:p>
    <w:p w14:paraId="38B9CCCC" w14:textId="77777777" w:rsidR="00B76BF1" w:rsidRPr="00E53719" w:rsidRDefault="00C418A2">
      <w:pPr>
        <w:pStyle w:val="HangingIndent"/>
        <w:rPr>
          <w:lang w:val="en-GB"/>
        </w:rPr>
      </w:pPr>
      <w:r w:rsidRPr="00E53719">
        <w:rPr>
          <w:lang w:val="en-GB"/>
        </w:rPr>
        <w:t xml:space="preserve">Virtanen, P., Gommers, R., Oliphant, T. E., Haberland, M., Reddy, T., Cournapeau, D., … Contributors, S. 1. 0. (2020). SciPy 1.0: Fundamental Algorithms for Scientific Computing in Python. </w:t>
      </w:r>
      <w:r w:rsidRPr="00E53719">
        <w:rPr>
          <w:i/>
          <w:lang w:val="de-DE"/>
        </w:rPr>
        <w:t>Nature Methods</w:t>
      </w:r>
      <w:r w:rsidRPr="00E53719">
        <w:rPr>
          <w:lang w:val="de-DE"/>
        </w:rPr>
        <w:t xml:space="preserve">, </w:t>
      </w:r>
      <w:r w:rsidRPr="00E53719">
        <w:rPr>
          <w:i/>
          <w:lang w:val="de-DE"/>
        </w:rPr>
        <w:t>17</w:t>
      </w:r>
      <w:r w:rsidRPr="00E53719">
        <w:rPr>
          <w:lang w:val="de-DE"/>
        </w:rPr>
        <w:t>, 261–272. https://doi.org/</w:t>
      </w:r>
      <w:hyperlink r:id="rId39">
        <w:r w:rsidRPr="00E53719">
          <w:rPr>
            <w:rStyle w:val="Hyperlink"/>
            <w:lang w:val="de-DE"/>
          </w:rPr>
          <w:t>https://doi.org/10.1038/s41592-019-0686-2</w:t>
        </w:r>
      </w:hyperlink>
    </w:p>
    <w:p w14:paraId="4AF28836" w14:textId="77777777" w:rsidR="00B76BF1" w:rsidRPr="00E53719" w:rsidRDefault="00C418A2">
      <w:pPr>
        <w:pStyle w:val="HangingIndent"/>
        <w:rPr>
          <w:lang w:val="en-GB"/>
        </w:rPr>
      </w:pPr>
      <w:r w:rsidRPr="00E53719">
        <w:rPr>
          <w:lang w:val="en-GB"/>
        </w:rPr>
        <w:t xml:space="preserve">Von Neumann, J., &amp; Morgenstern, O. (1947). </w:t>
      </w:r>
      <w:r w:rsidRPr="00E53719">
        <w:rPr>
          <w:i/>
          <w:lang w:val="en-GB"/>
        </w:rPr>
        <w:t>Theory of games and economic behavior</w:t>
      </w:r>
      <w:r w:rsidRPr="00E53719">
        <w:rPr>
          <w:lang w:val="en-GB"/>
        </w:rPr>
        <w:t xml:space="preserve"> (2. ed.). Princeton: Princeton University Press.</w:t>
      </w:r>
      <w:bookmarkStart w:id="181" w:name="ref-vonNeumann1947theory"/>
      <w:bookmarkEnd w:id="181"/>
    </w:p>
    <w:p w14:paraId="55605688" w14:textId="77777777" w:rsidR="00B76BF1" w:rsidRPr="00E53719" w:rsidRDefault="00C418A2">
      <w:pPr>
        <w:pStyle w:val="HangingIndent"/>
        <w:rPr>
          <w:lang w:val="en-GB"/>
        </w:rPr>
      </w:pPr>
      <w:r w:rsidRPr="00E53719">
        <w:rPr>
          <w:lang w:val="en-GB"/>
        </w:rPr>
        <w:t xml:space="preserve">Wedell, D. H. (1991). Distinguishing among models of contextually induced preference reversals. </w:t>
      </w:r>
      <w:r w:rsidRPr="00E53719">
        <w:rPr>
          <w:i/>
          <w:lang w:val="en-GB"/>
        </w:rPr>
        <w:t>Journal of Experimental Psychology: Learning, Memory, and Cognition</w:t>
      </w:r>
      <w:r w:rsidRPr="00E53719">
        <w:rPr>
          <w:lang w:val="en-GB"/>
        </w:rPr>
        <w:t xml:space="preserve">, </w:t>
      </w:r>
      <w:r w:rsidRPr="00E53719">
        <w:rPr>
          <w:i/>
          <w:lang w:val="en-GB"/>
        </w:rPr>
        <w:t>17</w:t>
      </w:r>
      <w:r w:rsidRPr="00E53719">
        <w:rPr>
          <w:lang w:val="en-GB"/>
        </w:rPr>
        <w:t xml:space="preserve">(4), 767–778. </w:t>
      </w:r>
      <w:hyperlink r:id="rId40">
        <w:r w:rsidRPr="00E53719">
          <w:rPr>
            <w:rStyle w:val="Hyperlink"/>
            <w:lang w:val="en-GB"/>
          </w:rPr>
          <w:t>https://doi.org/10.1037/0278-7393.17.4.767</w:t>
        </w:r>
      </w:hyperlink>
    </w:p>
    <w:p w14:paraId="6BE49438" w14:textId="77777777" w:rsidR="00B76BF1" w:rsidRPr="00E53719" w:rsidRDefault="00C418A2">
      <w:pPr>
        <w:pStyle w:val="HangingIndent"/>
        <w:rPr>
          <w:lang w:val="en-GB"/>
        </w:rPr>
      </w:pPr>
      <w:r w:rsidRPr="00E53719">
        <w:rPr>
          <w:lang w:val="en-GB"/>
        </w:rPr>
        <w:t xml:space="preserve">Westfall, J. (2017). Statistical details of the default priors in the Bambi library. </w:t>
      </w:r>
      <w:r w:rsidRPr="00E53719">
        <w:rPr>
          <w:i/>
          <w:lang w:val="en-GB"/>
        </w:rPr>
        <w:t>arXiv:1702.01201 [stat]</w:t>
      </w:r>
      <w:r w:rsidRPr="00E53719">
        <w:rPr>
          <w:lang w:val="en-GB"/>
        </w:rPr>
        <w:t xml:space="preserve">. Retrieved from </w:t>
      </w:r>
      <w:hyperlink r:id="rId41">
        <w:r w:rsidRPr="00E53719">
          <w:rPr>
            <w:rStyle w:val="Hyperlink"/>
            <w:lang w:val="en-GB"/>
          </w:rPr>
          <w:t>http://arxiv.org/abs/1702.01201</w:t>
        </w:r>
      </w:hyperlink>
    </w:p>
    <w:p w14:paraId="3B170900" w14:textId="77777777" w:rsidR="00B76BF1" w:rsidRPr="00E53719" w:rsidRDefault="00C418A2">
      <w:pPr>
        <w:pStyle w:val="HangingIndent"/>
        <w:rPr>
          <w:lang w:val="en-GB"/>
        </w:rPr>
      </w:pPr>
      <w:r w:rsidRPr="00E53719">
        <w:rPr>
          <w:lang w:val="en-GB"/>
        </w:rPr>
        <w:t xml:space="preserve">Wollschläger, L. M., &amp; Diederich, A. (2012). The 2N-ary choice tree model for n-alternative preferential choice. </w:t>
      </w:r>
      <w:r w:rsidRPr="00E53719">
        <w:rPr>
          <w:i/>
          <w:lang w:val="en-GB"/>
        </w:rPr>
        <w:t>Frontiers in Psychology</w:t>
      </w:r>
      <w:r w:rsidRPr="00E53719">
        <w:rPr>
          <w:lang w:val="en-GB"/>
        </w:rPr>
        <w:t xml:space="preserve">, </w:t>
      </w:r>
      <w:r w:rsidRPr="00E53719">
        <w:rPr>
          <w:i/>
          <w:lang w:val="en-GB"/>
        </w:rPr>
        <w:t>3</w:t>
      </w:r>
      <w:r w:rsidRPr="00E53719">
        <w:rPr>
          <w:lang w:val="en-GB"/>
        </w:rPr>
        <w:t>, 189.</w:t>
      </w:r>
      <w:bookmarkStart w:id="182" w:name="ref-wollschlager20122n"/>
      <w:bookmarkEnd w:id="182"/>
    </w:p>
    <w:p w14:paraId="7DC12B20" w14:textId="77777777" w:rsidR="00B76BF1" w:rsidRPr="00E53719" w:rsidRDefault="00C418A2">
      <w:pPr>
        <w:pStyle w:val="HangingIndent"/>
        <w:rPr>
          <w:lang w:val="en-GB"/>
        </w:rPr>
      </w:pPr>
      <w:r w:rsidRPr="00E53719">
        <w:rPr>
          <w:lang w:val="en-GB"/>
        </w:rPr>
        <w:t xml:space="preserve">Yarkoni, T., &amp; Westfall, J. (2016). </w:t>
      </w:r>
      <w:r w:rsidRPr="00E53719">
        <w:rPr>
          <w:i/>
          <w:lang w:val="en-GB"/>
        </w:rPr>
        <w:t>Bambi: A simple interface for fitting Bayesian mixed effects models</w:t>
      </w:r>
      <w:r w:rsidRPr="00E53719">
        <w:rPr>
          <w:lang w:val="en-GB"/>
        </w:rPr>
        <w:t xml:space="preserve">. </w:t>
      </w:r>
      <w:hyperlink r:id="rId42">
        <w:r w:rsidRPr="00E53719">
          <w:rPr>
            <w:rStyle w:val="Hyperlink"/>
            <w:lang w:val="en-GB"/>
          </w:rPr>
          <w:t>https://doi.org/10.31219/osf.io/rv7sn</w:t>
        </w:r>
      </w:hyperlink>
      <w:r w:rsidRPr="00E53719">
        <w:rPr>
          <w:lang w:val="en-GB"/>
        </w:rPr>
        <w:br w:type="page"/>
      </w:r>
    </w:p>
    <w:p w14:paraId="76A05A91" w14:textId="77777777" w:rsidR="00B76BF1" w:rsidRPr="00E53719" w:rsidRDefault="00C418A2">
      <w:pPr>
        <w:pStyle w:val="Heading1"/>
        <w:rPr>
          <w:lang w:val="en-GB"/>
        </w:rPr>
      </w:pPr>
      <w:r w:rsidRPr="00E53719">
        <w:rPr>
          <w:lang w:val="en-GB"/>
        </w:rPr>
        <w:lastRenderedPageBreak/>
        <w:t>Supplementary Information</w:t>
      </w:r>
    </w:p>
    <w:p w14:paraId="00BF54E8" w14:textId="77777777" w:rsidR="00B76BF1" w:rsidRPr="00E53719" w:rsidRDefault="00C418A2">
      <w:pPr>
        <w:pStyle w:val="Heading2"/>
        <w:rPr>
          <w:lang w:val="en-GB"/>
        </w:rPr>
      </w:pPr>
      <w:r w:rsidRPr="00E53719">
        <w:rPr>
          <w:lang w:val="en-GB"/>
        </w:rPr>
        <w:t>Additional eye movement analyses</w:t>
      </w:r>
    </w:p>
    <w:p w14:paraId="4728EEDF" w14:textId="77777777" w:rsidR="00B76BF1" w:rsidRPr="00E53719" w:rsidRDefault="00B76BF1">
      <w:pPr>
        <w:pStyle w:val="BodyText"/>
        <w:rPr>
          <w:lang w:val="en-GB"/>
        </w:rPr>
      </w:pPr>
    </w:p>
    <w:p w14:paraId="0860A966" w14:textId="77777777" w:rsidR="00B76BF1" w:rsidRPr="00E53719" w:rsidRDefault="00C418A2">
      <w:pPr>
        <w:pStyle w:val="CaptionedFigure"/>
        <w:spacing w:line="360" w:lineRule="auto"/>
        <w:jc w:val="center"/>
        <w:rPr>
          <w:lang w:val="en-GB"/>
        </w:rPr>
      </w:pPr>
      <w:bookmarkStart w:id="183" w:name="fig%252525253Adwell-data-timebinned"/>
      <w:r w:rsidRPr="00E53719">
        <w:rPr>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3"/>
                    <a:stretch>
                      <a:fillRect/>
                    </a:stretch>
                  </pic:blipFill>
                  <pic:spPr bwMode="auto">
                    <a:xfrm>
                      <a:off x="0" y="0"/>
                      <a:ext cx="5334000" cy="1993900"/>
                    </a:xfrm>
                    <a:prstGeom prst="rect">
                      <a:avLst/>
                    </a:prstGeom>
                  </pic:spPr>
                </pic:pic>
              </a:graphicData>
            </a:graphic>
          </wp:inline>
        </w:drawing>
      </w:r>
      <w:bookmarkEnd w:id="183"/>
    </w:p>
    <w:p w14:paraId="7F4F5876" w14:textId="77777777" w:rsidR="00B76BF1" w:rsidRPr="00E53719" w:rsidRDefault="00C418A2">
      <w:pPr>
        <w:pStyle w:val="ImageCaption"/>
        <w:spacing w:line="276" w:lineRule="auto"/>
        <w:rPr>
          <w:lang w:val="en-GB"/>
        </w:rPr>
      </w:pPr>
      <w:r w:rsidRPr="00E53719">
        <w:rPr>
          <w:b/>
          <w:lang w:val="en-GB"/>
        </w:rPr>
        <w:t>Supplemental Figure 1. Distribution of gaze over the course of the trial depending on stimulus characteristics.</w:t>
      </w:r>
      <w:r w:rsidRPr="00E53719">
        <w:rPr>
          <w:lang w:val="en-GB"/>
        </w:rPr>
        <w:t xml:space="preserve"> Each panel shows the average dwell towards AOIs for a given stimulus feature (e.g., horizontal and vertical position) across five time-bins. Data is shown separately for attraction </w:t>
      </w:r>
      <w:r w:rsidRPr="00E53719">
        <w:rPr>
          <w:b/>
          <w:lang w:val="en-GB"/>
        </w:rPr>
        <w:t>(a-f)</w:t>
      </w:r>
      <w:r w:rsidRPr="00E53719">
        <w:rPr>
          <w:lang w:val="en-GB"/>
        </w:rPr>
        <w:t xml:space="preserve"> and compromise </w:t>
      </w:r>
      <w:r w:rsidRPr="00E53719">
        <w:rPr>
          <w:b/>
          <w:lang w:val="en-GB"/>
        </w:rPr>
        <w:t>(g-l)</w:t>
      </w:r>
      <w:r w:rsidRPr="00E53719">
        <w:rPr>
          <w:lang w:val="en-GB"/>
        </w:rPr>
        <w:t xml:space="preserve"> trials. </w:t>
      </w:r>
    </w:p>
    <w:p w14:paraId="22019FBB" w14:textId="77777777" w:rsidR="00B76BF1" w:rsidRPr="00E53719" w:rsidRDefault="00B76BF1">
      <w:pPr>
        <w:pStyle w:val="Heading3"/>
        <w:ind w:firstLine="737"/>
        <w:rPr>
          <w:lang w:val="en-GB"/>
        </w:rPr>
      </w:pPr>
    </w:p>
    <w:p w14:paraId="33597BF6" w14:textId="77777777" w:rsidR="00B76BF1" w:rsidRPr="00E53719" w:rsidRDefault="00C418A2">
      <w:pPr>
        <w:pStyle w:val="Heading3"/>
        <w:rPr>
          <w:lang w:val="en-GB"/>
        </w:rPr>
      </w:pPr>
      <w:r w:rsidRPr="00E53719">
        <w:rPr>
          <w:lang w:val="en-GB"/>
        </w:rPr>
        <w:t>Regression analyses of gaze behaviour</w:t>
      </w:r>
    </w:p>
    <w:p w14:paraId="0AF55A99" w14:textId="77777777" w:rsidR="00B76BF1" w:rsidRPr="00E53719" w:rsidRDefault="00C418A2">
      <w:pPr>
        <w:pStyle w:val="FirstParagraph"/>
        <w:rPr>
          <w:lang w:val="en-GB"/>
        </w:rPr>
      </w:pPr>
      <w:r w:rsidRPr="00E53719">
        <w:rPr>
          <w:lang w:val="en-GB"/>
        </w:rPr>
        <w:t xml:space="preserve">We performed two linear mixed effects regressions of total dwell time towards an AOI in each trial, separate for attraction and compromise trials (Supplemental Figure </w:t>
      </w:r>
      <w:hyperlink w:anchor="fig:dwell-data-timebinned">
        <w:r w:rsidRPr="00E53719">
          <w:rPr>
            <w:rStyle w:val="Hyperlink"/>
            <w:rFonts w:eastAsia="Cambria"/>
            <w:lang w:val="en-GB"/>
          </w:rPr>
          <w:t>1</w:t>
        </w:r>
      </w:hyperlink>
      <w:r w:rsidRPr="00E53719">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center, +1 = right), attribute (dummy coding probability attribute </w:t>
      </w:r>
      <m:oMath>
        <m:r>
          <w:rPr>
            <w:rFonts w:ascii="Cambria Math" w:hAnsi="Cambria Math"/>
            <w:lang w:val="en-GB"/>
          </w:rPr>
          <m:t>p</m:t>
        </m:r>
      </m:oMath>
      <w:r w:rsidRPr="00E53719">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E53719">
        <w:rPr>
          <w:lang w:val="en-GB"/>
        </w:rPr>
        <w:lastRenderedPageBreak/>
        <w:t>with the time-bin variable, and time-bin as additional predictor. Both models included random intercepts and slopes for each participant. Bayesian posterior distributions of the regression weights were estimated using the bambi Python library (Yarkoni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E53719">
        <w:rPr>
          <w:lang w:val="en-GB"/>
        </w:rPr>
        <w:t xml:space="preserve"> for all chains).</w:t>
      </w:r>
    </w:p>
    <w:p w14:paraId="01A144FA" w14:textId="4E3DA038" w:rsidR="00B76BF1" w:rsidRPr="00E53719" w:rsidRDefault="00C418A2">
      <w:pPr>
        <w:pStyle w:val="BodyText"/>
        <w:rPr>
          <w:lang w:val="en-GB"/>
        </w:rPr>
      </w:pPr>
      <w:r w:rsidRPr="00E53719">
        <w:rPr>
          <w:lang w:val="en-GB"/>
        </w:rPr>
        <w:t xml:space="preserve">Regression weight estimates are shown in Supplemental Figure </w:t>
      </w:r>
      <w:hyperlink w:anchor="fig:dwell-regression-weights">
        <w:r w:rsidRPr="00E53719">
          <w:rPr>
            <w:rStyle w:val="Hyperlink"/>
            <w:rFonts w:eastAsia="Cambria"/>
            <w:lang w:val="en-GB"/>
          </w:rPr>
          <w:t>2</w:t>
        </w:r>
      </w:hyperlink>
      <w:r w:rsidRPr="00E53719">
        <w:rPr>
          <w:lang w:val="en-GB"/>
        </w:rP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(Mullett &amp; Stewart, 2016; Shimojo, Simion, Shimojo, &amp; Scheier,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E53719">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E53719" w:rsidRDefault="00C418A2">
      <w:pPr>
        <w:pStyle w:val="BodyText"/>
        <w:ind w:firstLine="0"/>
        <w:jc w:val="center"/>
        <w:rPr>
          <w:lang w:val="en-GB"/>
        </w:rPr>
      </w:pPr>
      <w:bookmarkStart w:id="184" w:name="fig%252525253Adwell-regression-weights"/>
      <w:r w:rsidRPr="00E53719">
        <w:rPr>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4"/>
                    <a:stretch>
                      <a:fillRect/>
                    </a:stretch>
                  </pic:blipFill>
                  <pic:spPr bwMode="auto">
                    <a:xfrm>
                      <a:off x="0" y="0"/>
                      <a:ext cx="3251200" cy="2171700"/>
                    </a:xfrm>
                    <a:prstGeom prst="rect">
                      <a:avLst/>
                    </a:prstGeom>
                  </pic:spPr>
                </pic:pic>
              </a:graphicData>
            </a:graphic>
          </wp:inline>
        </w:drawing>
      </w:r>
      <w:bookmarkEnd w:id="184"/>
    </w:p>
    <w:p w14:paraId="7F4C1334" w14:textId="62D4C094" w:rsidR="00B76BF1" w:rsidRPr="00E53719" w:rsidRDefault="00C418A2">
      <w:pPr>
        <w:pStyle w:val="ImageCaption"/>
        <w:spacing w:line="276" w:lineRule="auto"/>
        <w:rPr>
          <w:lang w:val="en-GB"/>
        </w:rPr>
      </w:pPr>
      <w:r w:rsidRPr="00E53719">
        <w:rPr>
          <w:b/>
          <w:lang w:val="en-GB"/>
        </w:rPr>
        <w:t>Supplemental Figure 2. Weight estimates from regression analyses on absolute dwell times.</w:t>
      </w:r>
      <w:r w:rsidRPr="00E53719">
        <w:rPr>
          <w:lang w:val="en-GB"/>
        </w:rPr>
        <w:t xml:space="preserve"> We performed two mixed-effects regression analyses of dwell time towards each AOI onto stimulus properties: </w:t>
      </w:r>
      <w:r w:rsidRPr="00E53719">
        <w:rPr>
          <w:b/>
          <w:lang w:val="en-GB"/>
        </w:rPr>
        <w:t>(a, c)</w:t>
      </w:r>
      <w:r w:rsidRPr="00E53719">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E53719">
        <w:rPr>
          <w:b/>
          <w:lang w:val="en-GB"/>
        </w:rPr>
        <w:t>(b, d)</w:t>
      </w:r>
      <w:r w:rsidRPr="00E53719">
        <w:rPr>
          <w:lang w:val="en-GB"/>
        </w:rPr>
        <w:t xml:space="preserve"> Second, we binned dwell times</w:t>
      </w:r>
      <w:r w:rsidR="00D96B12" w:rsidRPr="00E53719">
        <w:rPr>
          <w:lang w:val="en-GB"/>
        </w:rPr>
        <w:t xml:space="preserve"> </w:t>
      </w:r>
      <w:r w:rsidRPr="00E53719">
        <w:rPr>
          <w:lang w:val="en-GB"/>
        </w:rPr>
        <w:t xml:space="preserve">in each trial into five time-bins and added an interaction term with time-bin for each predictor. The panels show the interaction term weights. Analyses were carried out separately for attraction </w:t>
      </w:r>
      <w:r w:rsidRPr="00E53719">
        <w:rPr>
          <w:b/>
          <w:lang w:val="en-GB"/>
        </w:rPr>
        <w:t>(a, b)</w:t>
      </w:r>
      <w:r w:rsidRPr="00E53719">
        <w:rPr>
          <w:lang w:val="en-GB"/>
        </w:rPr>
        <w:t xml:space="preserve"> and compromise </w:t>
      </w:r>
      <w:r w:rsidRPr="00E53719">
        <w:rPr>
          <w:b/>
          <w:lang w:val="en-GB"/>
        </w:rPr>
        <w:t>(c, d)</w:t>
      </w:r>
      <w:r w:rsidRPr="00E53719">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intervals (coloured green if the interval excluded 0</w:t>
      </w:r>
      <w:bookmarkStart w:id="185" w:name="regression-analyses-of-gaze-behaviour"/>
      <w:bookmarkEnd w:id="185"/>
      <w:r w:rsidRPr="00E53719">
        <w:rPr>
          <w:lang w:val="en-GB"/>
        </w:rPr>
        <w:t xml:space="preserve">). </w:t>
      </w:r>
    </w:p>
    <w:p w14:paraId="2489B847" w14:textId="77777777" w:rsidR="00B76BF1" w:rsidRPr="00E53719" w:rsidRDefault="00B76BF1">
      <w:pPr>
        <w:pStyle w:val="Heading3"/>
        <w:ind w:firstLine="737"/>
        <w:rPr>
          <w:lang w:val="en-GB"/>
        </w:rPr>
      </w:pPr>
    </w:p>
    <w:p w14:paraId="526F39C2" w14:textId="77777777" w:rsidR="00B76BF1" w:rsidRPr="00E53719" w:rsidRDefault="00C418A2">
      <w:pPr>
        <w:pStyle w:val="Heading3"/>
        <w:rPr>
          <w:lang w:val="en-GB"/>
        </w:rPr>
      </w:pPr>
      <w:r w:rsidRPr="00E53719">
        <w:rPr>
          <w:lang w:val="en-GB"/>
        </w:rPr>
        <w:t>Direction of information search</w:t>
      </w:r>
    </w:p>
    <w:p w14:paraId="1007A9A3" w14:textId="77777777" w:rsidR="00B76BF1" w:rsidRPr="00E53719" w:rsidRDefault="00C418A2">
      <w:pPr>
        <w:pStyle w:val="FirstParagraph"/>
        <w:rPr>
          <w:lang w:val="en-GB"/>
        </w:rPr>
      </w:pPr>
      <w:r w:rsidRPr="00E53719">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E53719">
        <w:rPr>
          <w:lang w:val="en-GB"/>
        </w:rPr>
        <w:t xml:space="preserve"> s.d. = 7.28 </w:t>
      </w:r>
      <m:oMath>
        <m:r>
          <w:rPr>
            <w:rFonts w:ascii="Cambria Math" w:hAnsi="Cambria Math"/>
            <w:lang w:val="en-GB"/>
          </w:rPr>
          <m:t>±</m:t>
        </m:r>
      </m:oMath>
      <w:r w:rsidRPr="00E53719">
        <w:rPr>
          <w:lang w:val="en-GB"/>
        </w:rPr>
        <w:t xml:space="preserve"> 2.36) and compromise (mean </w:t>
      </w:r>
      <m:oMath>
        <m:r>
          <w:rPr>
            <w:rFonts w:ascii="Cambria Math" w:hAnsi="Cambria Math"/>
            <w:lang w:val="en-GB"/>
          </w:rPr>
          <m:t>±</m:t>
        </m:r>
      </m:oMath>
      <w:r w:rsidRPr="00E53719">
        <w:rPr>
          <w:lang w:val="en-GB"/>
        </w:rPr>
        <w:t xml:space="preserve"> s.d. = 7.29 </w:t>
      </w:r>
      <m:oMath>
        <m:r>
          <w:rPr>
            <w:rFonts w:ascii="Cambria Math" w:hAnsi="Cambria Math"/>
            <w:lang w:val="en-GB"/>
          </w:rPr>
          <m:t>±</m:t>
        </m:r>
      </m:oMath>
      <w:r w:rsidRPr="00E53719">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E53719">
        <w:rPr>
          <w:lang w:val="en-GB"/>
        </w:rPr>
        <w:t xml:space="preserve"> s.d. = 7.55 </w:t>
      </w:r>
      <m:oMath>
        <m:r>
          <w:rPr>
            <w:rFonts w:ascii="Cambria Math" w:hAnsi="Cambria Math"/>
            <w:lang w:val="en-GB"/>
          </w:rPr>
          <m:t>±</m:t>
        </m:r>
      </m:oMath>
      <w:r w:rsidRPr="00E53719">
        <w:rPr>
          <w:lang w:val="en-GB"/>
        </w:rPr>
        <w:t xml:space="preserve"> 3.11) than attraction trials (mean </w:t>
      </w:r>
      <m:oMath>
        <m:r>
          <w:rPr>
            <w:rFonts w:ascii="Cambria Math" w:hAnsi="Cambria Math"/>
            <w:lang w:val="en-GB"/>
          </w:rPr>
          <m:t>±</m:t>
        </m:r>
      </m:oMath>
      <w:r w:rsidRPr="00E53719">
        <w:rPr>
          <w:lang w:val="en-GB"/>
        </w:rPr>
        <w:t xml:space="preserve"> s.d. = 7.17 </w:t>
      </w:r>
      <m:oMath>
        <m:r>
          <w:rPr>
            <w:rFonts w:ascii="Cambria Math" w:hAnsi="Cambria Math"/>
            <w:lang w:val="en-GB"/>
          </w:rPr>
          <m:t>±</m:t>
        </m:r>
      </m:oMath>
      <w:r w:rsidRPr="00E53719">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0.64],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The number of diagonal transitions was lower overall, </w:t>
      </w:r>
      <w:r w:rsidRPr="00E53719">
        <w:rPr>
          <w:lang w:val="en-GB"/>
        </w:rPr>
        <w:lastRenderedPageBreak/>
        <w:t xml:space="preserve">but higher in attraction (mean </w:t>
      </w:r>
      <m:oMath>
        <m:r>
          <w:rPr>
            <w:rFonts w:ascii="Cambria Math" w:hAnsi="Cambria Math"/>
            <w:lang w:val="en-GB"/>
          </w:rPr>
          <m:t>±</m:t>
        </m:r>
      </m:oMath>
      <w:r w:rsidRPr="00E53719">
        <w:rPr>
          <w:lang w:val="en-GB"/>
        </w:rPr>
        <w:t xml:space="preserve"> s.d. = 2.88 </w:t>
      </w:r>
      <m:oMath>
        <m:r>
          <w:rPr>
            <w:rFonts w:ascii="Cambria Math" w:hAnsi="Cambria Math"/>
            <w:lang w:val="en-GB"/>
          </w:rPr>
          <m:t>±</m:t>
        </m:r>
      </m:oMath>
      <w:r w:rsidRPr="00E53719">
        <w:rPr>
          <w:lang w:val="en-GB"/>
        </w:rPr>
        <w:t xml:space="preserve"> 1.18) than compromise trials (mean </w:t>
      </w:r>
      <m:oMath>
        <m:r>
          <w:rPr>
            <w:rFonts w:ascii="Cambria Math" w:hAnsi="Cambria Math"/>
            <w:lang w:val="en-GB"/>
          </w:rPr>
          <m:t>±</m:t>
        </m:r>
      </m:oMath>
      <w:r w:rsidRPr="00E53719">
        <w:rPr>
          <w:lang w:val="en-GB"/>
        </w:rPr>
        <w:t xml:space="preserve"> s.d. = 2.72 </w:t>
      </w:r>
      <m:oMath>
        <m:r>
          <w:rPr>
            <w:rFonts w:ascii="Cambria Math" w:hAnsi="Cambria Math"/>
            <w:lang w:val="en-GB"/>
          </w:rPr>
          <m:t>±</m:t>
        </m:r>
      </m:oMath>
      <w:r w:rsidRPr="00E53719">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[0.06, 0.32], </w:t>
      </w:r>
      <m:oMath>
        <m:r>
          <w:rPr>
            <w:rFonts w:ascii="Cambria Math" w:hAnsi="Cambria Math"/>
            <w:lang w:val="en-GB"/>
          </w:rPr>
          <m:t>d</m:t>
        </m:r>
      </m:oMath>
      <w:r w:rsidRPr="00E53719">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[0.14, 1.17]).</w:t>
      </w:r>
    </w:p>
    <w:p w14:paraId="110383BF" w14:textId="77777777" w:rsidR="00B76BF1" w:rsidRPr="00E53719" w:rsidRDefault="00C418A2">
      <w:pPr>
        <w:pStyle w:val="BodyText"/>
        <w:rPr>
          <w:lang w:val="en-GB"/>
        </w:rPr>
      </w:pPr>
      <w:r w:rsidRPr="00E53719">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E53719"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E53719" w:rsidRDefault="00C418A2" w:rsidP="00134A05">
      <w:pPr>
        <w:pStyle w:val="FirstParagraph"/>
        <w:rPr>
          <w:lang w:val="en-GB"/>
        </w:rPr>
      </w:pPr>
      <w:r w:rsidRPr="00E53719">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E53719">
        <w:rPr>
          <w:lang w:val="en-GB"/>
        </w:rPr>
        <w:t xml:space="preserve"> s.d. = 0.10 </w:t>
      </w:r>
      <m:oMath>
        <m:r>
          <w:rPr>
            <w:rFonts w:ascii="Cambria Math" w:hAnsi="Cambria Math"/>
            <w:lang w:val="en-GB"/>
          </w:rPr>
          <m:t>±</m:t>
        </m:r>
      </m:oMath>
      <w:r w:rsidRPr="00E53719">
        <w:rPr>
          <w:lang w:val="en-GB"/>
        </w:rPr>
        <w:t xml:space="preserve"> 0.16) and compromise trials (mean </w:t>
      </w:r>
      <m:oMath>
        <m:r>
          <w:rPr>
            <w:rFonts w:ascii="Cambria Math" w:hAnsi="Cambria Math"/>
            <w:lang w:val="en-GB"/>
          </w:rPr>
          <m:t>±</m:t>
        </m:r>
      </m:oMath>
      <w:r w:rsidRPr="00E53719">
        <w:rPr>
          <w:lang w:val="en-GB"/>
        </w:rPr>
        <w:t xml:space="preserve"> s.d. = 0.14 </w:t>
      </w:r>
      <m:oMath>
        <m:r>
          <w:rPr>
            <w:rFonts w:ascii="Cambria Math" w:hAnsi="Cambria Math"/>
            <w:lang w:val="en-GB"/>
          </w:rPr>
          <m:t>±</m:t>
        </m:r>
      </m:oMath>
      <w:r w:rsidRPr="00E53719">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0.06], </w:t>
      </w:r>
      <m:oMath>
        <m:r>
          <w:rPr>
            <w:rFonts w:ascii="Cambria Math" w:hAnsi="Cambria Math"/>
            <w:lang w:val="en-GB"/>
          </w:rPr>
          <m:t>d</m:t>
        </m:r>
      </m:oMath>
      <w:r w:rsidRPr="00E53719">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[0.17, 0.88]), implying comparably more processing between alternatives in attraction trials.</w:t>
      </w:r>
      <w:bookmarkStart w:id="186" w:name="sup%252525253Aeye-movement-analyses"/>
      <w:bookmarkStart w:id="187" w:name="direction-of-information-search"/>
      <w:bookmarkEnd w:id="186"/>
      <w:bookmarkEnd w:id="187"/>
    </w:p>
    <w:p w14:paraId="6948CB9B" w14:textId="77777777" w:rsidR="00B76BF1" w:rsidRPr="00E53719" w:rsidRDefault="00C418A2">
      <w:pPr>
        <w:pStyle w:val="Heading2"/>
        <w:rPr>
          <w:lang w:val="en-GB"/>
        </w:rPr>
      </w:pPr>
      <w:r w:rsidRPr="00E53719">
        <w:rPr>
          <w:lang w:val="en-GB"/>
        </w:rPr>
        <w:br w:type="page"/>
      </w:r>
    </w:p>
    <w:p w14:paraId="28B7EA4D" w14:textId="77777777" w:rsidR="00B76BF1" w:rsidRPr="00E53719" w:rsidRDefault="00C418A2">
      <w:pPr>
        <w:pStyle w:val="Heading2"/>
        <w:rPr>
          <w:lang w:val="en-GB"/>
        </w:rPr>
      </w:pPr>
      <w:r w:rsidRPr="00E53719">
        <w:rPr>
          <w:lang w:val="en-GB"/>
        </w:rPr>
        <w:lastRenderedPageBreak/>
        <w:t>GLA parameter estimates</w:t>
      </w:r>
    </w:p>
    <w:p w14:paraId="32A46284" w14:textId="77777777" w:rsidR="00B76BF1" w:rsidRPr="00E53719"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E53719" w14:paraId="67006651" w14:textId="77777777" w:rsidTr="00A55B18">
        <w:trPr>
          <w:trHeight w:val="348"/>
          <w:jc w:val="center"/>
        </w:trPr>
        <w:tc>
          <w:tcPr>
            <w:tcW w:w="0" w:type="auto"/>
            <w:tcBorders>
              <w:bottom w:val="single" w:sz="6" w:space="0" w:color="000000"/>
            </w:tcBorders>
          </w:tcPr>
          <w:p w14:paraId="676433EC" w14:textId="77777777" w:rsidR="00B76BF1" w:rsidRPr="00E53719"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mean</w:t>
            </w:r>
          </w:p>
        </w:tc>
        <w:tc>
          <w:tcPr>
            <w:tcW w:w="0" w:type="auto"/>
            <w:tcBorders>
              <w:bottom w:val="single" w:sz="6" w:space="0" w:color="000000"/>
            </w:tcBorders>
          </w:tcPr>
          <w:p w14:paraId="5C3FEFB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SD</w:t>
            </w:r>
          </w:p>
        </w:tc>
        <w:tc>
          <w:tcPr>
            <w:tcW w:w="0" w:type="auto"/>
            <w:tcBorders>
              <w:bottom w:val="single" w:sz="6" w:space="0" w:color="000000"/>
            </w:tcBorders>
          </w:tcPr>
          <w:p w14:paraId="1BDD194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min</w:t>
            </w:r>
          </w:p>
        </w:tc>
        <w:tc>
          <w:tcPr>
            <w:tcW w:w="0" w:type="auto"/>
            <w:tcBorders>
              <w:bottom w:val="single" w:sz="6" w:space="0" w:color="000000"/>
            </w:tcBorders>
          </w:tcPr>
          <w:p w14:paraId="0C1F76B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25%</w:t>
            </w:r>
          </w:p>
        </w:tc>
        <w:tc>
          <w:tcPr>
            <w:tcW w:w="0" w:type="auto"/>
            <w:tcBorders>
              <w:bottom w:val="single" w:sz="6" w:space="0" w:color="000000"/>
            </w:tcBorders>
          </w:tcPr>
          <w:p w14:paraId="2E18F2C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50%</w:t>
            </w:r>
          </w:p>
        </w:tc>
        <w:tc>
          <w:tcPr>
            <w:tcW w:w="0" w:type="auto"/>
            <w:tcBorders>
              <w:bottom w:val="single" w:sz="6" w:space="0" w:color="000000"/>
            </w:tcBorders>
          </w:tcPr>
          <w:p w14:paraId="0E25FED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75%</w:t>
            </w:r>
          </w:p>
        </w:tc>
        <w:tc>
          <w:tcPr>
            <w:tcW w:w="0" w:type="auto"/>
            <w:tcBorders>
              <w:bottom w:val="single" w:sz="6" w:space="0" w:color="000000"/>
            </w:tcBorders>
          </w:tcPr>
          <w:p w14:paraId="62AECD2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max</w:t>
            </w:r>
          </w:p>
        </w:tc>
      </w:tr>
      <w:tr w:rsidR="00B76BF1" w:rsidRPr="00E53719" w14:paraId="329AA6A1" w14:textId="77777777" w:rsidTr="00A55B18">
        <w:trPr>
          <w:trHeight w:val="348"/>
          <w:jc w:val="center"/>
        </w:trPr>
        <w:tc>
          <w:tcPr>
            <w:tcW w:w="0" w:type="auto"/>
          </w:tcPr>
          <w:p w14:paraId="156230E2" w14:textId="75B7E4B3"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α</w:t>
            </w:r>
          </w:p>
        </w:tc>
        <w:tc>
          <w:tcPr>
            <w:tcW w:w="0" w:type="auto"/>
          </w:tcPr>
          <w:p w14:paraId="72FA007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0.47</w:t>
            </w:r>
          </w:p>
        </w:tc>
        <w:tc>
          <w:tcPr>
            <w:tcW w:w="0" w:type="auto"/>
          </w:tcPr>
          <w:p w14:paraId="7BF03E6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0.35</w:t>
            </w:r>
          </w:p>
        </w:tc>
        <w:tc>
          <w:tcPr>
            <w:tcW w:w="0" w:type="auto"/>
          </w:tcPr>
          <w:p w14:paraId="4A95D9C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0.05</w:t>
            </w:r>
          </w:p>
        </w:tc>
        <w:tc>
          <w:tcPr>
            <w:tcW w:w="0" w:type="auto"/>
          </w:tcPr>
          <w:p w14:paraId="71D1106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7C6ECFC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0.37</w:t>
            </w:r>
          </w:p>
        </w:tc>
        <w:tc>
          <w:tcPr>
            <w:tcW w:w="0" w:type="auto"/>
          </w:tcPr>
          <w:p w14:paraId="4224E9A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0.61</w:t>
            </w:r>
          </w:p>
        </w:tc>
        <w:tc>
          <w:tcPr>
            <w:tcW w:w="0" w:type="auto"/>
          </w:tcPr>
          <w:p w14:paraId="1D2514C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1.67</w:t>
            </w:r>
          </w:p>
        </w:tc>
      </w:tr>
      <w:tr w:rsidR="00B76BF1" w:rsidRPr="00E53719" w14:paraId="760936E6" w14:textId="77777777" w:rsidTr="00A55B18">
        <w:trPr>
          <w:trHeight w:val="348"/>
          <w:jc w:val="center"/>
        </w:trPr>
        <w:tc>
          <w:tcPr>
            <w:tcW w:w="0" w:type="auto"/>
          </w:tcPr>
          <w:p w14:paraId="71F738E4" w14:textId="5493BC2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β</w:t>
            </w:r>
          </w:p>
        </w:tc>
        <w:tc>
          <w:tcPr>
            <w:tcW w:w="0" w:type="auto"/>
          </w:tcPr>
          <w:p w14:paraId="344E6AD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6.81</w:t>
            </w:r>
          </w:p>
        </w:tc>
        <w:tc>
          <w:tcPr>
            <w:tcW w:w="0" w:type="auto"/>
          </w:tcPr>
          <w:p w14:paraId="3F65255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9.87</w:t>
            </w:r>
          </w:p>
        </w:tc>
        <w:tc>
          <w:tcPr>
            <w:tcW w:w="0" w:type="auto"/>
          </w:tcPr>
          <w:p w14:paraId="2656BB7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0.04</w:t>
            </w:r>
          </w:p>
        </w:tc>
        <w:tc>
          <w:tcPr>
            <w:tcW w:w="0" w:type="auto"/>
          </w:tcPr>
          <w:p w14:paraId="6862D94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1.13</w:t>
            </w:r>
          </w:p>
        </w:tc>
        <w:tc>
          <w:tcPr>
            <w:tcW w:w="0" w:type="auto"/>
          </w:tcPr>
          <w:p w14:paraId="3335C40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3.25</w:t>
            </w:r>
          </w:p>
        </w:tc>
        <w:tc>
          <w:tcPr>
            <w:tcW w:w="0" w:type="auto"/>
          </w:tcPr>
          <w:p w14:paraId="30AEB8A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8.04</w:t>
            </w:r>
          </w:p>
        </w:tc>
        <w:tc>
          <w:tcPr>
            <w:tcW w:w="0" w:type="auto"/>
          </w:tcPr>
          <w:p w14:paraId="39EDE22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49.74</w:t>
            </w:r>
          </w:p>
        </w:tc>
      </w:tr>
      <w:tr w:rsidR="00B76BF1" w:rsidRPr="00E53719" w14:paraId="1B0C6754" w14:textId="77777777" w:rsidTr="00A55B18">
        <w:trPr>
          <w:trHeight w:val="348"/>
          <w:jc w:val="center"/>
        </w:trPr>
        <w:tc>
          <w:tcPr>
            <w:tcW w:w="0" w:type="auto"/>
          </w:tcPr>
          <w:p w14:paraId="5A8BFBC1" w14:textId="527C71D0"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γ</w:t>
            </w:r>
          </w:p>
        </w:tc>
        <w:tc>
          <w:tcPr>
            <w:tcW w:w="0" w:type="auto"/>
          </w:tcPr>
          <w:p w14:paraId="4746120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0.81</w:t>
            </w:r>
          </w:p>
        </w:tc>
        <w:tc>
          <w:tcPr>
            <w:tcW w:w="0" w:type="auto"/>
          </w:tcPr>
          <w:p w14:paraId="662E542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1A5E820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0.22</w:t>
            </w:r>
          </w:p>
        </w:tc>
        <w:tc>
          <w:tcPr>
            <w:tcW w:w="0" w:type="auto"/>
          </w:tcPr>
          <w:p w14:paraId="36AF330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0.58</w:t>
            </w:r>
          </w:p>
        </w:tc>
        <w:tc>
          <w:tcPr>
            <w:tcW w:w="0" w:type="auto"/>
          </w:tcPr>
          <w:p w14:paraId="7A45E11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65D852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36E5702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r>
      <w:tr w:rsidR="00B76BF1" w:rsidRPr="00E53719" w14:paraId="27EBB876" w14:textId="77777777" w:rsidTr="00A55B18">
        <w:trPr>
          <w:trHeight w:val="348"/>
          <w:jc w:val="center"/>
        </w:trPr>
        <w:tc>
          <w:tcPr>
            <w:tcW w:w="0" w:type="auto"/>
          </w:tcPr>
          <w:p w14:paraId="45E4CF37" w14:textId="143EC03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λ</w:t>
            </w:r>
          </w:p>
        </w:tc>
        <w:tc>
          <w:tcPr>
            <w:tcW w:w="0" w:type="auto"/>
          </w:tcPr>
          <w:p w14:paraId="75EE58A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0.29</w:t>
            </w:r>
          </w:p>
        </w:tc>
        <w:tc>
          <w:tcPr>
            <w:tcW w:w="0" w:type="auto"/>
          </w:tcPr>
          <w:p w14:paraId="53CCF40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w:t>
            </w:r>
          </w:p>
        </w:tc>
        <w:tc>
          <w:tcPr>
            <w:tcW w:w="0" w:type="auto"/>
          </w:tcPr>
          <w:p w14:paraId="78BADB9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0.08</w:t>
            </w:r>
          </w:p>
        </w:tc>
        <w:tc>
          <w:tcPr>
            <w:tcW w:w="0" w:type="auto"/>
          </w:tcPr>
          <w:p w14:paraId="3387971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0.14</w:t>
            </w:r>
          </w:p>
        </w:tc>
        <w:tc>
          <w:tcPr>
            <w:tcW w:w="0" w:type="auto"/>
          </w:tcPr>
          <w:p w14:paraId="73BBEF7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0.23</w:t>
            </w:r>
          </w:p>
        </w:tc>
        <w:tc>
          <w:tcPr>
            <w:tcW w:w="0" w:type="auto"/>
          </w:tcPr>
          <w:p w14:paraId="0BDDDB0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0.46</w:t>
            </w:r>
          </w:p>
        </w:tc>
        <w:tc>
          <w:tcPr>
            <w:tcW w:w="0" w:type="auto"/>
          </w:tcPr>
          <w:p w14:paraId="59297EA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0.65</w:t>
            </w:r>
          </w:p>
        </w:tc>
      </w:tr>
      <w:tr w:rsidR="00B76BF1" w:rsidRPr="00E53719" w14:paraId="2B2E8FFA" w14:textId="77777777" w:rsidTr="00A55B18">
        <w:trPr>
          <w:trHeight w:val="348"/>
          <w:jc w:val="center"/>
        </w:trPr>
        <w:tc>
          <w:tcPr>
            <w:tcW w:w="0" w:type="auto"/>
          </w:tcPr>
          <w:p w14:paraId="191055C5" w14:textId="2A726D55"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θ</w:t>
            </w:r>
          </w:p>
        </w:tc>
        <w:tc>
          <w:tcPr>
            <w:tcW w:w="0" w:type="auto"/>
          </w:tcPr>
          <w:p w14:paraId="22B7244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0.69</w:t>
            </w:r>
          </w:p>
        </w:tc>
        <w:tc>
          <w:tcPr>
            <w:tcW w:w="0" w:type="auto"/>
          </w:tcPr>
          <w:p w14:paraId="66F8B7F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0.18</w:t>
            </w:r>
          </w:p>
        </w:tc>
        <w:tc>
          <w:tcPr>
            <w:tcW w:w="0" w:type="auto"/>
          </w:tcPr>
          <w:p w14:paraId="6EB5C98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0.13</w:t>
            </w:r>
          </w:p>
        </w:tc>
        <w:tc>
          <w:tcPr>
            <w:tcW w:w="0" w:type="auto"/>
          </w:tcPr>
          <w:p w14:paraId="4F0141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0.63</w:t>
            </w:r>
          </w:p>
        </w:tc>
        <w:tc>
          <w:tcPr>
            <w:tcW w:w="0" w:type="auto"/>
          </w:tcPr>
          <w:p w14:paraId="7E3E404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0.72</w:t>
            </w:r>
          </w:p>
        </w:tc>
        <w:tc>
          <w:tcPr>
            <w:tcW w:w="0" w:type="auto"/>
          </w:tcPr>
          <w:p w14:paraId="3535D33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0.83</w:t>
            </w:r>
          </w:p>
        </w:tc>
        <w:tc>
          <w:tcPr>
            <w:tcW w:w="0" w:type="auto"/>
          </w:tcPr>
          <w:p w14:paraId="6CF5C25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0.95</w:t>
            </w:r>
            <w:bookmarkStart w:id="188" w:name="tab%252525253Agla-estimates"/>
            <w:bookmarkEnd w:id="188"/>
          </w:p>
        </w:tc>
      </w:tr>
    </w:tbl>
    <w:p w14:paraId="34563F2A" w14:textId="44EBF828" w:rsidR="00B76BF1" w:rsidRPr="00E53719" w:rsidRDefault="00C418A2" w:rsidP="00A55B18">
      <w:pPr>
        <w:pStyle w:val="TableCaption"/>
        <w:spacing w:line="276" w:lineRule="auto"/>
        <w:ind w:firstLine="0"/>
        <w:rPr>
          <w:b/>
          <w:lang w:val="en-GB"/>
        </w:rPr>
      </w:pPr>
      <w:r w:rsidRPr="00E53719">
        <w:rPr>
          <w:b/>
          <w:lang w:val="en-GB"/>
        </w:rPr>
        <w:tab/>
        <w:t>Supplemental Table 1. Summary of GLA estimates.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objective probability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r w:rsidRPr="00E53719">
        <w:rPr>
          <w:lang w:val="en-GB"/>
        </w:rPr>
        <w:br w:type="page"/>
      </w:r>
    </w:p>
    <w:p w14:paraId="6BC203D3" w14:textId="77777777" w:rsidR="00B76BF1" w:rsidRPr="00E53719" w:rsidRDefault="00B76BF1">
      <w:pPr>
        <w:pStyle w:val="TableCaption"/>
        <w:spacing w:line="360" w:lineRule="auto"/>
        <w:rPr>
          <w:lang w:val="en-GB"/>
        </w:rPr>
      </w:pPr>
    </w:p>
    <w:p w14:paraId="0D19A021" w14:textId="77777777" w:rsidR="00B76BF1" w:rsidRPr="00E53719" w:rsidRDefault="00C418A2">
      <w:pPr>
        <w:pStyle w:val="CaptionedFigure"/>
        <w:spacing w:line="360" w:lineRule="auto"/>
        <w:jc w:val="center"/>
        <w:rPr>
          <w:lang w:val="en-GB"/>
        </w:rPr>
      </w:pPr>
      <w:bookmarkStart w:id="189" w:name="fig%252525253Agla-estimates"/>
      <w:r w:rsidRPr="00E53719">
        <w:rPr>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189"/>
    </w:p>
    <w:p w14:paraId="2B20C9D0" w14:textId="341CC6D2" w:rsidR="00992C87" w:rsidRPr="00E53719" w:rsidRDefault="00C418A2">
      <w:pPr>
        <w:pStyle w:val="ImageCaption"/>
        <w:spacing w:line="276" w:lineRule="auto"/>
        <w:rPr>
          <w:lang w:val="en-GB"/>
        </w:rPr>
      </w:pPr>
      <w:r w:rsidRPr="00E53719">
        <w:rPr>
          <w:b/>
          <w:lang w:val="en-GB"/>
        </w:rPr>
        <w:t>Supplemental Figure 3. GLA maximum likelihood estimates and relationships between parameters.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linear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bookmarkStart w:id="190" w:name="gla-parameter-estimates"/>
      <w:bookmarkEnd w:id="190"/>
      <w:r w:rsidRPr="00E53719">
        <w:rPr>
          <w:lang w:val="en-GB"/>
        </w:rPr>
        <w:t xml:space="preserve">). </w:t>
      </w:r>
    </w:p>
    <w:p w14:paraId="6ECEB904" w14:textId="77777777" w:rsidR="00992C87" w:rsidRPr="00E53719" w:rsidRDefault="00992C87">
      <w:pPr>
        <w:spacing w:after="0"/>
        <w:rPr>
          <w:lang w:val="en-GB"/>
        </w:rPr>
      </w:pPr>
      <w:r w:rsidRPr="00E53719">
        <w:rPr>
          <w:lang w:val="en-GB"/>
        </w:rPr>
        <w:br w:type="page"/>
      </w:r>
    </w:p>
    <w:p w14:paraId="4549B961" w14:textId="77777777" w:rsidR="00524ECE" w:rsidRPr="00E53719" w:rsidRDefault="00524ECE" w:rsidP="00524ECE">
      <w:pPr>
        <w:spacing w:after="0"/>
        <w:rPr>
          <w:ins w:id="191" w:author="Felix Molter" w:date="2021-01-15T12:07:00Z"/>
          <w:lang w:val="en-GB"/>
        </w:rPr>
      </w:pPr>
      <w:ins w:id="192" w:author="Felix Molter" w:date="2021-01-15T12:07:00Z">
        <w:r w:rsidRPr="00E53719">
          <w:rPr>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ins>
    </w:p>
    <w:p w14:paraId="385985CC" w14:textId="0EF6F5F9" w:rsidR="00524ECE" w:rsidRPr="00E53719" w:rsidRDefault="00524ECE" w:rsidP="00524ECE">
      <w:pPr>
        <w:pStyle w:val="ImageCaption"/>
        <w:spacing w:line="276" w:lineRule="auto"/>
        <w:rPr>
          <w:ins w:id="193" w:author="Felix Molter" w:date="2021-01-15T12:07:00Z"/>
          <w:lang w:val="en-GB"/>
        </w:rPr>
      </w:pPr>
      <w:commentRangeStart w:id="194"/>
      <w:ins w:id="195" w:author="Felix Molter" w:date="2021-01-15T12:07:00Z">
        <w:r w:rsidRPr="00E53719">
          <w:rPr>
            <w:b/>
            <w:lang w:val="en-GB"/>
          </w:rPr>
          <w:t xml:space="preserve">Supplemental Figure 4. </w:t>
        </w:r>
      </w:ins>
      <w:commentRangeEnd w:id="194"/>
      <w:ins w:id="196" w:author="Felix Molter" w:date="2021-01-15T14:39:00Z">
        <w:r w:rsidR="00B37F55" w:rsidRPr="00E53719">
          <w:rPr>
            <w:rStyle w:val="CommentReference"/>
            <w:lang w:val="en-GB"/>
          </w:rPr>
          <w:commentReference w:id="194"/>
        </w:r>
      </w:ins>
      <w:ins w:id="197" w:author="Felix Molter" w:date="2021-01-15T12:07:00Z">
        <w:r w:rsidRPr="00E53719">
          <w:rPr>
            <w:b/>
            <w:lang w:val="en-GB"/>
          </w:rPr>
          <w:t>Model-predicted choice probabilities.</w:t>
        </w:r>
        <w:r w:rsidRPr="00E53719">
          <w:rPr>
            <w:lang w:val="en-GB"/>
          </w:rPr>
          <w:t xml:space="preserve"> </w:t>
        </w:r>
      </w:ins>
      <w:ins w:id="198" w:author="Felix Molter" w:date="2021-01-15T12:08:00Z">
        <w:r w:rsidRPr="00E53719">
          <w:rPr>
            <w:lang w:val="en-GB"/>
          </w:rPr>
          <w:t xml:space="preserve">Each panel shows distributions of </w:t>
        </w:r>
      </w:ins>
      <w:ins w:id="199" w:author="Felix Molter" w:date="2021-01-15T12:09:00Z">
        <w:r w:rsidRPr="00E53719">
          <w:rPr>
            <w:lang w:val="en-GB"/>
          </w:rPr>
          <w:t xml:space="preserve">model-predicted </w:t>
        </w:r>
      </w:ins>
      <w:ins w:id="200" w:author="Felix Molter" w:date="2021-01-15T12:08:00Z">
        <w:r w:rsidRPr="00E53719">
          <w:rPr>
            <w:lang w:val="en-GB"/>
          </w:rPr>
          <w:t>choic</w:t>
        </w:r>
      </w:ins>
      <w:ins w:id="201" w:author="Felix Molter" w:date="2021-01-15T12:10:00Z">
        <w:r w:rsidRPr="00E53719">
          <w:rPr>
            <w:lang w:val="en-GB"/>
          </w:rPr>
          <w:t xml:space="preserve">e probabilities for </w:t>
        </w:r>
      </w:ins>
      <w:ins w:id="202" w:author="Felix Molter" w:date="2021-01-15T12:09:00Z">
        <w:r w:rsidRPr="00E53719">
          <w:rPr>
            <w:lang w:val="en-GB"/>
          </w:rPr>
          <w:t xml:space="preserve">the target, competitor, decoy and ultimately chosen alternative. </w:t>
        </w:r>
      </w:ins>
      <w:ins w:id="203" w:author="Felix Molter" w:date="2021-01-15T12:11:00Z">
        <w:r w:rsidRPr="00E53719">
          <w:rPr>
            <w:lang w:val="en-GB"/>
          </w:rPr>
          <w:t>Predictions for attraction and compromise trials are displayed separately in the top (</w:t>
        </w:r>
        <w:r w:rsidRPr="00E53719">
          <w:rPr>
            <w:b/>
            <w:lang w:val="en-GB"/>
          </w:rPr>
          <w:t>a-f</w:t>
        </w:r>
        <w:r w:rsidRPr="00E53719">
          <w:rPr>
            <w:lang w:val="en-GB"/>
          </w:rPr>
          <w:t xml:space="preserve">) </w:t>
        </w:r>
      </w:ins>
      <w:ins w:id="204" w:author="Felix Molter" w:date="2021-01-15T12:12:00Z">
        <w:r w:rsidRPr="00E53719">
          <w:rPr>
            <w:lang w:val="en-GB"/>
          </w:rPr>
          <w:t>and bottom rows (</w:t>
        </w:r>
        <w:r w:rsidRPr="00E53719">
          <w:rPr>
            <w:b/>
            <w:lang w:val="en-GB"/>
          </w:rPr>
          <w:t>g-l</w:t>
        </w:r>
        <w:r w:rsidRPr="00E53719">
          <w:rPr>
            <w:lang w:val="en-GB"/>
          </w:rPr>
          <w:t>).</w:t>
        </w:r>
        <w:r w:rsidRPr="00E53719">
          <w:rPr>
            <w:b/>
            <w:lang w:val="en-GB"/>
          </w:rPr>
          <w:t xml:space="preserve"> </w:t>
        </w:r>
      </w:ins>
      <w:ins w:id="205" w:author="Felix Molter" w:date="2021-01-15T12:09:00Z">
        <w:r w:rsidRPr="00E53719">
          <w:rPr>
            <w:lang w:val="en-GB"/>
          </w:rPr>
          <w:t xml:space="preserve">Predictions were computed </w:t>
        </w:r>
      </w:ins>
      <w:ins w:id="206" w:author="Felix Molter" w:date="2021-01-15T12:08:00Z">
        <w:r w:rsidRPr="00E53719">
          <w:rPr>
            <w:lang w:val="en-GB"/>
          </w:rPr>
          <w:t>using individual maximum likelihood estimates</w:t>
        </w:r>
      </w:ins>
      <w:ins w:id="207" w:author="Felix Molter" w:date="2021-01-15T12:11:00Z">
        <w:r w:rsidRPr="00E53719">
          <w:rPr>
            <w:lang w:val="en-GB"/>
          </w:rPr>
          <w:t>. The hybrid model (</w:t>
        </w:r>
        <w:r w:rsidRPr="00E53719">
          <w:rPr>
            <w:b/>
            <w:lang w:val="en-GB"/>
          </w:rPr>
          <w:t>f, l</w:t>
        </w:r>
        <w:r w:rsidRPr="00E53719">
          <w:rPr>
            <w:lang w:val="en-GB"/>
          </w:rPr>
          <w:t>) was derived from the switchboard analysis.</w:t>
        </w:r>
      </w:ins>
      <w:ins w:id="208" w:author="Felix Molter" w:date="2021-01-15T12:08:00Z">
        <w:r w:rsidRPr="00E53719">
          <w:rPr>
            <w:lang w:val="en-GB"/>
          </w:rPr>
          <w:t xml:space="preserve"> </w:t>
        </w:r>
      </w:ins>
      <w:ins w:id="209" w:author="Felix Molter" w:date="2021-01-15T12:07:00Z">
        <w:r w:rsidRPr="00E53719">
          <w:rPr>
            <w:lang w:val="en-GB"/>
          </w:rPr>
          <w:t>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ins>
    </w:p>
    <w:p w14:paraId="60B5653D" w14:textId="77777777" w:rsidR="00524ECE" w:rsidRPr="00E53719" w:rsidRDefault="00524ECE">
      <w:pPr>
        <w:spacing w:after="0"/>
        <w:rPr>
          <w:ins w:id="210" w:author="Felix Molter" w:date="2021-01-15T12:07:00Z"/>
          <w:rFonts w:eastAsiaTheme="majorEastAsia" w:cstheme="majorBidi"/>
          <w:b/>
          <w:bCs/>
          <w:color w:val="000000"/>
          <w:lang w:val="en-GB"/>
        </w:rPr>
      </w:pPr>
      <w:ins w:id="211" w:author="Felix Molter" w:date="2021-01-15T12:07:00Z">
        <w:r w:rsidRPr="00E53719">
          <w:rPr>
            <w:lang w:val="en-GB"/>
          </w:rPr>
          <w:br w:type="page"/>
        </w:r>
      </w:ins>
    </w:p>
    <w:p w14:paraId="23EAF067" w14:textId="0033DD17" w:rsidR="00B76BF1" w:rsidRPr="00E53719" w:rsidRDefault="00C418A2">
      <w:pPr>
        <w:pStyle w:val="Heading2"/>
        <w:rPr>
          <w:lang w:val="en-GB"/>
        </w:rPr>
      </w:pPr>
      <w:r w:rsidRPr="00E53719">
        <w:rPr>
          <w:lang w:val="en-GB"/>
        </w:rPr>
        <w:lastRenderedPageBreak/>
        <w:t>Context-effect strength and individual relative model fit</w:t>
      </w:r>
    </w:p>
    <w:p w14:paraId="07156FF8" w14:textId="75CD84C6" w:rsidR="00B76BF1" w:rsidRPr="00E53719" w:rsidRDefault="00C418A2">
      <w:pPr>
        <w:pStyle w:val="FirstParagraph"/>
        <w:rPr>
          <w:lang w:val="en-GB"/>
        </w:rPr>
      </w:pPr>
      <w:r w:rsidRPr="00E53719">
        <w:rPr>
          <w:lang w:val="en-GB"/>
        </w:rPr>
        <w:t xml:space="preserve">Given that MDFT outperforms random utility models when choices are influenced by context (Berkowitsch, Scheibehenne, &amp; Rieskamp,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E53719">
          <w:rPr>
            <w:rStyle w:val="Hyperlink"/>
            <w:lang w:val="en-GB"/>
          </w:rPr>
          <w:t>9</w:t>
        </w:r>
      </w:hyperlink>
      <w:r w:rsidRPr="00E53719">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E53719" w:rsidRDefault="00B76BF1">
      <w:pPr>
        <w:pStyle w:val="BodyText"/>
        <w:rPr>
          <w:lang w:val="en-GB"/>
        </w:rPr>
      </w:pPr>
    </w:p>
    <w:p w14:paraId="18593141" w14:textId="77777777" w:rsidR="00B76BF1" w:rsidRPr="00E53719" w:rsidRDefault="00C418A2">
      <w:pPr>
        <w:pStyle w:val="CaptionedFigure"/>
        <w:spacing w:line="360" w:lineRule="auto"/>
        <w:jc w:val="center"/>
        <w:rPr>
          <w:lang w:val="en-GB"/>
        </w:rPr>
      </w:pPr>
      <w:bookmarkStart w:id="212" w:name="fig%252525253Adbic-rst"/>
      <w:r w:rsidRPr="00E53719">
        <w:rPr>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7"/>
                    <a:stretch>
                      <a:fillRect/>
                    </a:stretch>
                  </pic:blipFill>
                  <pic:spPr bwMode="auto">
                    <a:xfrm>
                      <a:off x="0" y="0"/>
                      <a:ext cx="3251200" cy="1638300"/>
                    </a:xfrm>
                    <a:prstGeom prst="rect">
                      <a:avLst/>
                    </a:prstGeom>
                  </pic:spPr>
                </pic:pic>
              </a:graphicData>
            </a:graphic>
          </wp:inline>
        </w:drawing>
      </w:r>
      <w:bookmarkEnd w:id="212"/>
    </w:p>
    <w:p w14:paraId="30C350BF" w14:textId="77777777" w:rsidR="00B76BF1" w:rsidRPr="00E53719" w:rsidRDefault="00C418A2">
      <w:pPr>
        <w:pStyle w:val="ImageCaption"/>
        <w:spacing w:line="276" w:lineRule="auto"/>
        <w:rPr>
          <w:lang w:val="en-GB"/>
        </w:rPr>
      </w:pPr>
      <w:r w:rsidRPr="00E53719">
        <w:rPr>
          <w:b/>
          <w:lang w:val="en-GB"/>
        </w:rPr>
        <w:t>Supplemental Figure 4. Relative model fits between GLA and MDFT in relation to RST</w:t>
      </w:r>
      <w:r w:rsidRPr="00E53719">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E53719" w:rsidRDefault="00C418A2">
      <w:pPr>
        <w:pStyle w:val="BodyText"/>
        <w:rPr>
          <w:lang w:val="en-GB"/>
        </w:rPr>
        <w:sectPr w:rsidR="00A55B18" w:rsidRPr="00E53719">
          <w:headerReference w:type="default" r:id="rId48"/>
          <w:pgSz w:w="12240" w:h="15840"/>
          <w:pgMar w:top="2199" w:right="1440" w:bottom="1440" w:left="1440" w:header="1440" w:footer="0" w:gutter="0"/>
          <w:lnNumType w:countBy="1" w:distance="850" w:restart="continuous"/>
          <w:cols w:space="720"/>
          <w:formProt w:val="0"/>
          <w:docGrid w:linePitch="100"/>
        </w:sectPr>
      </w:pPr>
      <w:r w:rsidRPr="00E53719">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E53719" w14:paraId="0D137807" w14:textId="77278296" w:rsidTr="00335A1E">
        <w:trPr>
          <w:trHeight w:val="90"/>
        </w:trPr>
        <w:tc>
          <w:tcPr>
            <w:tcW w:w="1179" w:type="dxa"/>
          </w:tcPr>
          <w:p w14:paraId="20E9F3BE" w14:textId="7FB6468D" w:rsidR="00A55B18" w:rsidRPr="00E53719" w:rsidRDefault="00A55B18" w:rsidP="00E606A8">
            <w:pPr>
              <w:pStyle w:val="BodyText"/>
              <w:spacing w:line="240" w:lineRule="auto"/>
              <w:ind w:firstLine="0"/>
              <w:rPr>
                <w:b/>
                <w:sz w:val="15"/>
                <w:szCs w:val="15"/>
                <w:lang w:val="en-GB"/>
              </w:rPr>
            </w:pPr>
            <w:r w:rsidRPr="00E53719">
              <w:rPr>
                <w:b/>
                <w:sz w:val="15"/>
                <w:szCs w:val="15"/>
                <w:lang w:val="en-GB"/>
              </w:rPr>
              <w:lastRenderedPageBreak/>
              <w:t>Switch</w:t>
            </w:r>
          </w:p>
        </w:tc>
        <w:tc>
          <w:tcPr>
            <w:tcW w:w="8084" w:type="dxa"/>
            <w:gridSpan w:val="4"/>
          </w:tcPr>
          <w:p w14:paraId="119E5B46" w14:textId="0CCBFD90"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Gaze-independent levels</w:t>
            </w:r>
          </w:p>
        </w:tc>
        <w:tc>
          <w:tcPr>
            <w:tcW w:w="2713" w:type="dxa"/>
            <w:gridSpan w:val="2"/>
            <w:shd w:val="clear" w:color="auto" w:fill="C6D9F1" w:themeFill="text2" w:themeFillTint="33"/>
          </w:tcPr>
          <w:p w14:paraId="328D6185" w14:textId="64220D0D"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Gaze-dependent levels</w:t>
            </w:r>
          </w:p>
        </w:tc>
        <w:tc>
          <w:tcPr>
            <w:tcW w:w="441" w:type="dxa"/>
          </w:tcPr>
          <w:p w14:paraId="41C9A0D7" w14:textId="6EB9E4C2" w:rsidR="00A55B18" w:rsidRPr="00E53719" w:rsidRDefault="00A55B18" w:rsidP="00E606A8">
            <w:pPr>
              <w:pStyle w:val="BodyText"/>
              <w:spacing w:line="240" w:lineRule="auto"/>
              <w:ind w:firstLine="0"/>
              <w:jc w:val="center"/>
              <w:rPr>
                <w:b/>
                <w:sz w:val="15"/>
                <w:szCs w:val="15"/>
                <w:lang w:val="en-GB"/>
              </w:rPr>
            </w:pPr>
            <w:r w:rsidRPr="00E53719">
              <w:rPr>
                <w:b/>
                <w:sz w:val="15"/>
                <w:szCs w:val="15"/>
                <w:lang w:val="en-GB"/>
              </w:rPr>
              <w:t>N</w:t>
            </w:r>
          </w:p>
        </w:tc>
      </w:tr>
      <w:tr w:rsidR="0034265E" w:rsidRPr="00E53719" w14:paraId="5F27F147" w14:textId="6F2C24C1" w:rsidTr="00335A1E">
        <w:trPr>
          <w:trHeight w:val="402"/>
        </w:trPr>
        <w:tc>
          <w:tcPr>
            <w:tcW w:w="1179" w:type="dxa"/>
          </w:tcPr>
          <w:p w14:paraId="3EF06C53" w14:textId="524736E8"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 integration</w:t>
            </w:r>
          </w:p>
        </w:tc>
        <w:tc>
          <w:tcPr>
            <w:tcW w:w="4042" w:type="dxa"/>
            <w:gridSpan w:val="2"/>
          </w:tcPr>
          <w:p w14:paraId="53F59D7E" w14:textId="55AC8F2A" w:rsidR="00473495" w:rsidRPr="00E53719" w:rsidRDefault="00473495" w:rsidP="00E606A8">
            <w:pPr>
              <w:pStyle w:val="BodyText"/>
              <w:spacing w:line="240" w:lineRule="auto"/>
              <w:ind w:firstLine="0"/>
              <w:rPr>
                <w:sz w:val="15"/>
                <w:szCs w:val="15"/>
                <w:lang w:val="en-GB"/>
              </w:rPr>
            </w:pPr>
            <w:r w:rsidRPr="00E53719">
              <w:rPr>
                <w:b/>
                <w:sz w:val="15"/>
                <w:szCs w:val="15"/>
                <w:lang w:val="en-GB"/>
              </w:rPr>
              <w:t>× Multiplicative</w:t>
            </w:r>
            <w:r w:rsidRPr="00E53719">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E53719" w:rsidRDefault="00473495" w:rsidP="00E606A8">
            <w:pPr>
              <w:pStyle w:val="BodyText"/>
              <w:spacing w:line="240" w:lineRule="auto"/>
              <w:ind w:firstLine="0"/>
              <w:rPr>
                <w:sz w:val="15"/>
                <w:szCs w:val="15"/>
                <w:lang w:val="en-GB"/>
              </w:rPr>
            </w:pPr>
            <w:r w:rsidRPr="00E53719">
              <w:rPr>
                <w:b/>
                <w:sz w:val="15"/>
                <w:szCs w:val="15"/>
                <w:lang w:val="en-GB"/>
              </w:rPr>
              <w:t>+ Weighted additive</w:t>
            </w:r>
            <w:r w:rsidRPr="00E53719">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0B8AF95A" w14:textId="6C89C82E"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E606A8" w:rsidRPr="00E53719" w14:paraId="45D343FC" w14:textId="6D8CA146" w:rsidTr="00335A1E">
        <w:trPr>
          <w:trHeight w:val="176"/>
        </w:trPr>
        <w:tc>
          <w:tcPr>
            <w:tcW w:w="1179" w:type="dxa"/>
          </w:tcPr>
          <w:p w14:paraId="1A601A98" w14:textId="11123A40" w:rsidR="00473495" w:rsidRPr="00E53719" w:rsidRDefault="00473495" w:rsidP="00E606A8">
            <w:pPr>
              <w:pStyle w:val="BodyText"/>
              <w:spacing w:line="240" w:lineRule="auto"/>
              <w:ind w:firstLine="0"/>
              <w:rPr>
                <w:b/>
                <w:sz w:val="15"/>
                <w:szCs w:val="15"/>
                <w:lang w:val="en-GB"/>
              </w:rPr>
            </w:pPr>
            <w:r w:rsidRPr="00E53719">
              <w:rPr>
                <w:b/>
                <w:sz w:val="15"/>
                <w:szCs w:val="15"/>
                <w:lang w:val="en-GB"/>
              </w:rPr>
              <w:t>Comparison</w:t>
            </w:r>
          </w:p>
        </w:tc>
        <w:tc>
          <w:tcPr>
            <w:tcW w:w="4042" w:type="dxa"/>
            <w:gridSpan w:val="2"/>
          </w:tcPr>
          <w:p w14:paraId="0E182FD6" w14:textId="75E6389E" w:rsidR="00473495" w:rsidRPr="00E53719" w:rsidRDefault="007821E2" w:rsidP="00E606A8">
            <w:pPr>
              <w:pStyle w:val="BodyText"/>
              <w:spacing w:line="240" w:lineRule="auto"/>
              <w:ind w:firstLine="0"/>
              <w:rPr>
                <w:sz w:val="15"/>
                <w:szCs w:val="15"/>
                <w:lang w:val="en-GB"/>
              </w:rPr>
            </w:pPr>
            <w:r w:rsidRPr="00E53719">
              <w:rPr>
                <w:b/>
                <w:sz w:val="15"/>
                <w:szCs w:val="15"/>
                <w:lang w:val="en-GB"/>
              </w:rPr>
              <w:t>Independent</w:t>
            </w:r>
            <w:r w:rsidRPr="00E53719">
              <w:rPr>
                <w:sz w:val="15"/>
                <w:szCs w:val="15"/>
                <w:lang w:val="en-GB"/>
              </w:rPr>
              <w:br/>
              <w:t>Accumulation of absolute item values per alternative (e.g., Bhatia, 2013; Glickman et al., 2019)</w:t>
            </w:r>
          </w:p>
        </w:tc>
        <w:tc>
          <w:tcPr>
            <w:tcW w:w="4042" w:type="dxa"/>
            <w:gridSpan w:val="2"/>
          </w:tcPr>
          <w:p w14:paraId="2BCCE259" w14:textId="1897F630" w:rsidR="00473495" w:rsidRPr="00E53719" w:rsidRDefault="007821E2" w:rsidP="00E606A8">
            <w:pPr>
              <w:pStyle w:val="BodyText"/>
              <w:spacing w:line="240" w:lineRule="auto"/>
              <w:ind w:firstLine="0"/>
              <w:rPr>
                <w:sz w:val="15"/>
                <w:szCs w:val="15"/>
                <w:lang w:val="en-GB"/>
              </w:rPr>
            </w:pPr>
            <w:r w:rsidRPr="00E53719">
              <w:rPr>
                <w:b/>
                <w:sz w:val="15"/>
                <w:szCs w:val="15"/>
                <w:lang w:val="en-GB"/>
              </w:rPr>
              <w:t>Comparative</w:t>
            </w:r>
            <w:r w:rsidRPr="00E53719">
              <w:rPr>
                <w:b/>
                <w:sz w:val="15"/>
                <w:szCs w:val="15"/>
                <w:lang w:val="en-GB"/>
              </w:rPr>
              <w:br/>
            </w:r>
            <w:r w:rsidRPr="00E53719">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4713E162" w14:textId="7CD18784"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4265E" w:rsidRPr="00E53719" w14:paraId="4B5D7766" w14:textId="60BA3641" w:rsidTr="00335A1E">
        <w:trPr>
          <w:trHeight w:val="90"/>
        </w:trPr>
        <w:tc>
          <w:tcPr>
            <w:tcW w:w="1179" w:type="dxa"/>
          </w:tcPr>
          <w:p w14:paraId="54E3F31C" w14:textId="3CEC5157"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Attribute-wise gaze-discount</w:t>
            </w:r>
          </w:p>
        </w:tc>
        <w:tc>
          <w:tcPr>
            <w:tcW w:w="8084" w:type="dxa"/>
            <w:gridSpan w:val="4"/>
          </w:tcPr>
          <w:p w14:paraId="1971828D" w14:textId="0E2F100F"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Non-fixated alternatives’ values are discounted by a parameter θ (e.g., Krajbich et al., 2010)</w:t>
            </w:r>
          </w:p>
        </w:tc>
        <w:tc>
          <w:tcPr>
            <w:tcW w:w="441" w:type="dxa"/>
          </w:tcPr>
          <w:p w14:paraId="62C04AA8" w14:textId="0D48C812"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1A9328BA" w14:textId="05FCF038" w:rsidTr="00335A1E">
        <w:trPr>
          <w:trHeight w:val="90"/>
        </w:trPr>
        <w:tc>
          <w:tcPr>
            <w:tcW w:w="1179" w:type="dxa"/>
          </w:tcPr>
          <w:p w14:paraId="5BBA5307" w14:textId="4D25E889" w:rsidR="00473495" w:rsidRPr="00E53719" w:rsidRDefault="00473495" w:rsidP="00E606A8">
            <w:pPr>
              <w:pStyle w:val="BodyText"/>
              <w:spacing w:line="240" w:lineRule="auto"/>
              <w:ind w:firstLine="0"/>
              <w:rPr>
                <w:b/>
                <w:sz w:val="15"/>
                <w:szCs w:val="15"/>
                <w:lang w:val="en-GB"/>
              </w:rPr>
            </w:pPr>
            <w:r w:rsidRPr="00E53719">
              <w:rPr>
                <w:b/>
                <w:sz w:val="15"/>
                <w:szCs w:val="15"/>
                <w:lang w:val="en-GB"/>
              </w:rPr>
              <w:t>Alternative-wise gaze-discount</w:t>
            </w:r>
          </w:p>
        </w:tc>
        <w:tc>
          <w:tcPr>
            <w:tcW w:w="8084" w:type="dxa"/>
            <w:gridSpan w:val="4"/>
          </w:tcPr>
          <w:p w14:paraId="41087A71" w14:textId="32D476D6"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Attributes on the non-fixated dimension are discounted by a parameter η (e.g., Fisher, 2017; Krajbich et al., 2012)</w:t>
            </w:r>
          </w:p>
        </w:tc>
        <w:tc>
          <w:tcPr>
            <w:tcW w:w="441" w:type="dxa"/>
          </w:tcPr>
          <w:p w14:paraId="53983802" w14:textId="3C300A6B"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546B25A0" w14:textId="11A99040" w:rsidTr="00335A1E">
        <w:trPr>
          <w:trHeight w:val="90"/>
        </w:trPr>
        <w:tc>
          <w:tcPr>
            <w:tcW w:w="1179" w:type="dxa"/>
          </w:tcPr>
          <w:p w14:paraId="1A8E2CF5" w14:textId="19AF05B1"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Accumulation leak</w:t>
            </w:r>
          </w:p>
        </w:tc>
        <w:tc>
          <w:tcPr>
            <w:tcW w:w="4042" w:type="dxa"/>
            <w:gridSpan w:val="2"/>
          </w:tcPr>
          <w:p w14:paraId="6D30D971" w14:textId="01C7211B" w:rsidR="007821E2" w:rsidRPr="00E53719" w:rsidRDefault="007821E2" w:rsidP="00E606A8">
            <w:pPr>
              <w:pStyle w:val="BodyText"/>
              <w:spacing w:line="240" w:lineRule="auto"/>
              <w:ind w:firstLine="0"/>
              <w:rPr>
                <w:sz w:val="15"/>
                <w:szCs w:val="15"/>
                <w:lang w:val="en-GB"/>
              </w:rPr>
            </w:pPr>
            <w:r w:rsidRPr="00E53719">
              <w:rPr>
                <w:b/>
                <w:sz w:val="15"/>
                <w:szCs w:val="15"/>
                <w:lang w:val="en-GB"/>
              </w:rPr>
              <w:t>None</w:t>
            </w:r>
            <w:r w:rsidRPr="00E53719">
              <w:rPr>
                <w:sz w:val="15"/>
                <w:szCs w:val="15"/>
                <w:lang w:val="en-GB"/>
              </w:rPr>
              <w:br/>
              <w:t>Perfect integration over fixations.</w:t>
            </w:r>
          </w:p>
        </w:tc>
        <w:tc>
          <w:tcPr>
            <w:tcW w:w="4042" w:type="dxa"/>
            <w:gridSpan w:val="2"/>
          </w:tcPr>
          <w:p w14:paraId="371CFD81" w14:textId="148E7DE0" w:rsidR="007821E2" w:rsidRPr="00E53719" w:rsidRDefault="007821E2"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b/>
                <w:sz w:val="15"/>
                <w:szCs w:val="15"/>
                <w:lang w:val="en-GB"/>
              </w:rPr>
              <w:br/>
            </w:r>
            <w:r w:rsidRPr="00E53719">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3</w:t>
            </w:r>
          </w:p>
        </w:tc>
      </w:tr>
      <w:tr w:rsidR="00335A1E" w:rsidRPr="00E53719" w14:paraId="02DEA1BB" w14:textId="427297EB" w:rsidTr="00335A1E">
        <w:trPr>
          <w:trHeight w:val="1423"/>
        </w:trPr>
        <w:tc>
          <w:tcPr>
            <w:tcW w:w="1179" w:type="dxa"/>
          </w:tcPr>
          <w:p w14:paraId="2D8F3B3A" w14:textId="5CC6DEE6"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Accumulator inhibition</w:t>
            </w:r>
          </w:p>
        </w:tc>
        <w:tc>
          <w:tcPr>
            <w:tcW w:w="2699" w:type="dxa"/>
          </w:tcPr>
          <w:p w14:paraId="7EDD1EF4" w14:textId="3A77CC96" w:rsidR="007821E2" w:rsidRPr="00E53719" w:rsidRDefault="005355CA" w:rsidP="00E606A8">
            <w:pPr>
              <w:pStyle w:val="BodyText"/>
              <w:spacing w:line="240" w:lineRule="auto"/>
              <w:ind w:firstLine="0"/>
              <w:rPr>
                <w:sz w:val="15"/>
                <w:szCs w:val="15"/>
                <w:lang w:val="en-GB"/>
              </w:rPr>
            </w:pPr>
            <w:r w:rsidRPr="00E53719">
              <w:rPr>
                <w:b/>
                <w:sz w:val="15"/>
                <w:szCs w:val="15"/>
                <w:lang w:val="en-GB"/>
              </w:rPr>
              <w:t>None</w:t>
            </w:r>
            <w:r w:rsidRPr="00E53719">
              <w:rPr>
                <w:b/>
                <w:sz w:val="15"/>
                <w:szCs w:val="15"/>
                <w:lang w:val="en-GB"/>
              </w:rPr>
              <w:br/>
            </w:r>
            <w:r w:rsidRPr="00E53719">
              <w:rPr>
                <w:sz w:val="15"/>
                <w:szCs w:val="15"/>
                <w:lang w:val="en-GB"/>
              </w:rPr>
              <w:t>No inhibition between accumulators.</w:t>
            </w:r>
          </w:p>
        </w:tc>
        <w:tc>
          <w:tcPr>
            <w:tcW w:w="2699" w:type="dxa"/>
            <w:gridSpan w:val="2"/>
          </w:tcPr>
          <w:p w14:paraId="03F985D5" w14:textId="3409A2D3" w:rsidR="005355CA" w:rsidRPr="00E53719" w:rsidRDefault="005355CA"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Accumulators inhibit each other proportional to their current value</w:t>
            </w:r>
            <w:r w:rsidR="00365435" w:rsidRPr="00E53719">
              <w:rPr>
                <w:sz w:val="15"/>
                <w:szCs w:val="15"/>
                <w:lang w:val="en-GB"/>
              </w:rPr>
              <w:t>, controlled by parameter φ (e.g., Usher &amp; McClelland, 2004)</w:t>
            </w:r>
          </w:p>
        </w:tc>
        <w:tc>
          <w:tcPr>
            <w:tcW w:w="2699" w:type="dxa"/>
            <w:gridSpan w:val="2"/>
          </w:tcPr>
          <w:p w14:paraId="29134A47" w14:textId="7BC1320F" w:rsidR="007821E2" w:rsidRPr="00E53719" w:rsidRDefault="00365435" w:rsidP="00E606A8">
            <w:pPr>
              <w:pStyle w:val="BodyText"/>
              <w:spacing w:line="240" w:lineRule="auto"/>
              <w:ind w:firstLine="0"/>
              <w:rPr>
                <w:sz w:val="15"/>
                <w:szCs w:val="15"/>
                <w:lang w:val="en-GB"/>
              </w:rPr>
            </w:pPr>
            <w:r w:rsidRPr="00E53719">
              <w:rPr>
                <w:b/>
                <w:sz w:val="15"/>
                <w:szCs w:val="15"/>
                <w:lang w:val="en-GB"/>
              </w:rPr>
              <w:t>Distance-dependent</w:t>
            </w:r>
            <w:r w:rsidRPr="00E53719">
              <w:rPr>
                <w:sz w:val="15"/>
                <w:szCs w:val="15"/>
                <w:lang w:val="en-GB"/>
              </w:rPr>
              <w:br/>
              <w:t xml:space="preserve">Inhibition between accumulators depends on pairwise distance between alternatives in attribute space. Parameters </w:t>
            </w:r>
            <w:r w:rsidRPr="00E53719">
              <w:rPr>
                <w:i/>
                <w:sz w:val="15"/>
                <w:szCs w:val="15"/>
                <w:lang w:val="en-GB"/>
              </w:rPr>
              <w:t>w</w:t>
            </w:r>
            <w:r w:rsidRPr="00E53719">
              <w:rPr>
                <w:i/>
                <w:sz w:val="15"/>
                <w:szCs w:val="15"/>
                <w:vertAlign w:val="subscript"/>
                <w:lang w:val="en-GB"/>
              </w:rPr>
              <w:t>d</w:t>
            </w:r>
            <w:r w:rsidRPr="00E53719">
              <w:rPr>
                <w:sz w:val="15"/>
                <w:szCs w:val="15"/>
                <w:lang w:val="en-GB"/>
              </w:rPr>
              <w:t xml:space="preserve"> and φ (Roe et al., 2001)</w:t>
            </w:r>
          </w:p>
        </w:tc>
        <w:tc>
          <w:tcPr>
            <w:tcW w:w="2700" w:type="dxa"/>
            <w:shd w:val="clear" w:color="auto" w:fill="C6D9F1" w:themeFill="text2" w:themeFillTint="33"/>
          </w:tcPr>
          <w:p w14:paraId="34B4A62B" w14:textId="290AC6F5"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4</w:t>
            </w:r>
          </w:p>
        </w:tc>
      </w:tr>
      <w:tr w:rsidR="007821E2" w:rsidRPr="00E53719" w14:paraId="0519F8EE" w14:textId="0C87852A" w:rsidTr="00335A1E">
        <w:trPr>
          <w:trHeight w:val="90"/>
        </w:trPr>
        <w:tc>
          <w:tcPr>
            <w:tcW w:w="1179" w:type="dxa"/>
          </w:tcPr>
          <w:p w14:paraId="31EF307E" w14:textId="52629E99" w:rsidR="007821E2" w:rsidRPr="00E53719" w:rsidRDefault="007821E2" w:rsidP="00E606A8">
            <w:pPr>
              <w:pStyle w:val="BodyText"/>
              <w:spacing w:line="240" w:lineRule="auto"/>
              <w:ind w:firstLine="0"/>
              <w:rPr>
                <w:b/>
                <w:sz w:val="15"/>
                <w:szCs w:val="15"/>
                <w:lang w:val="en-GB"/>
              </w:rPr>
            </w:pPr>
            <w:r w:rsidRPr="00E53719">
              <w:rPr>
                <w:b/>
                <w:sz w:val="15"/>
                <w:szCs w:val="15"/>
                <w:lang w:val="en-GB"/>
              </w:rPr>
              <w:t>Total variants</w:t>
            </w:r>
          </w:p>
        </w:tc>
        <w:tc>
          <w:tcPr>
            <w:tcW w:w="10797" w:type="dxa"/>
            <w:gridSpan w:val="6"/>
          </w:tcPr>
          <w:p w14:paraId="678D6236" w14:textId="77777777" w:rsidR="007821E2" w:rsidRPr="00E53719" w:rsidRDefault="007821E2" w:rsidP="00E606A8">
            <w:pPr>
              <w:pStyle w:val="BodyText"/>
              <w:spacing w:line="240" w:lineRule="auto"/>
              <w:ind w:firstLine="0"/>
              <w:rPr>
                <w:sz w:val="15"/>
                <w:szCs w:val="15"/>
                <w:lang w:val="en-GB"/>
              </w:rPr>
            </w:pPr>
          </w:p>
        </w:tc>
        <w:tc>
          <w:tcPr>
            <w:tcW w:w="441" w:type="dxa"/>
          </w:tcPr>
          <w:p w14:paraId="460C4B2A" w14:textId="7C179F5E"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192</w:t>
            </w:r>
          </w:p>
        </w:tc>
      </w:tr>
    </w:tbl>
    <w:p w14:paraId="6F3C7C98" w14:textId="1B6A7515" w:rsidR="00A55B18" w:rsidRPr="00E53719" w:rsidRDefault="00131E45">
      <w:pPr>
        <w:pStyle w:val="BodyText"/>
        <w:rPr>
          <w:lang w:val="en-GB"/>
        </w:rPr>
      </w:pPr>
      <w:r w:rsidRPr="00E53719">
        <w:rPr>
          <w:b/>
          <w:sz w:val="15"/>
          <w:szCs w:val="15"/>
          <w:lang w:val="en-GB"/>
        </w:rPr>
        <w:t>Supplementary Table 2</w:t>
      </w:r>
      <w:r w:rsidR="00CA4B9A" w:rsidRPr="00E53719">
        <w:rPr>
          <w:b/>
          <w:sz w:val="15"/>
          <w:szCs w:val="15"/>
          <w:lang w:val="en-GB"/>
        </w:rPr>
        <w:t>.</w:t>
      </w:r>
      <w:r w:rsidRPr="00E53719">
        <w:rPr>
          <w:b/>
          <w:sz w:val="15"/>
          <w:szCs w:val="15"/>
          <w:lang w:val="en-GB"/>
        </w:rPr>
        <w:t xml:space="preserve"> Overview of the nodes and switch-levels used in the switchboard analysis. </w:t>
      </w:r>
      <w:r w:rsidRPr="00E53719">
        <w:rPr>
          <w:sz w:val="15"/>
          <w:szCs w:val="15"/>
          <w:lang w:val="en-GB"/>
        </w:rPr>
        <w:t>Switch</w:t>
      </w:r>
      <w:ins w:id="213" w:author="Felix Molter" w:date="2021-01-15T14:40:00Z">
        <w:r w:rsidR="000432E4" w:rsidRPr="00E53719">
          <w:rPr>
            <w:sz w:val="15"/>
            <w:szCs w:val="15"/>
            <w:lang w:val="en-GB"/>
          </w:rPr>
          <w:t xml:space="preserve"> </w:t>
        </w:r>
      </w:ins>
      <w:r w:rsidRPr="00E53719">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E53719" w:rsidRDefault="00131E45">
      <w:pPr>
        <w:pStyle w:val="BodyText"/>
        <w:rPr>
          <w:lang w:val="en-GB"/>
        </w:rPr>
        <w:sectPr w:rsidR="00131E45" w:rsidRPr="00E53719"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F3C25DF" w:rsidR="00B76BF1" w:rsidRPr="00E53719" w:rsidRDefault="00C418A2" w:rsidP="00631E62">
      <w:pPr>
        <w:pStyle w:val="Heading2"/>
        <w:rPr>
          <w:lang w:val="en-GB"/>
        </w:rPr>
      </w:pPr>
      <w:r w:rsidRPr="00E53719">
        <w:rPr>
          <w:lang w:val="en-GB"/>
        </w:rPr>
        <w:lastRenderedPageBreak/>
        <w:t>Best average fitting switchboard variants</w:t>
      </w:r>
    </w:p>
    <w:p w14:paraId="5892BDE3" w14:textId="77777777" w:rsidR="00631E62" w:rsidRPr="00E53719"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E53719"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E53719" w:rsidRDefault="00C418A2">
            <w:pPr>
              <w:pStyle w:val="Compact"/>
              <w:widowControl w:val="0"/>
              <w:spacing w:before="0" w:after="0" w:line="240" w:lineRule="auto"/>
              <w:ind w:firstLine="0"/>
              <w:jc w:val="center"/>
              <w:rPr>
                <w:rFonts w:eastAsia="Cambria"/>
                <w:lang w:val="en-GB"/>
              </w:rPr>
            </w:pPr>
            <w:r w:rsidRPr="00E53719">
              <w:rPr>
                <w:rFonts w:eastAsia="Cambria"/>
                <w:lang w:val="en-GB"/>
              </w:rPr>
              <w:t>Rank</w:t>
            </w:r>
          </w:p>
        </w:tc>
        <w:tc>
          <w:tcPr>
            <w:tcW w:w="0" w:type="auto"/>
            <w:tcBorders>
              <w:bottom w:val="single" w:sz="6" w:space="0" w:color="000000"/>
            </w:tcBorders>
            <w:vAlign w:val="bottom"/>
          </w:tcPr>
          <w:p w14:paraId="5E78AEF3"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E53719" w:rsidRDefault="00C418A2">
            <w:pPr>
              <w:pStyle w:val="Compact"/>
              <w:widowControl w:val="0"/>
              <w:ind w:firstLine="0"/>
              <w:jc w:val="center"/>
              <w:rPr>
                <w:rFonts w:eastAsia="Cambria"/>
                <w:lang w:val="en-GB"/>
              </w:rPr>
            </w:pPr>
            <w:r w:rsidRPr="00E53719">
              <w:rPr>
                <w:rFonts w:eastAsia="Cambria"/>
                <w:lang w:val="en-GB"/>
              </w:rPr>
              <w:t>Leak</w:t>
            </w:r>
          </w:p>
        </w:tc>
        <w:tc>
          <w:tcPr>
            <w:tcW w:w="0" w:type="auto"/>
            <w:tcBorders>
              <w:bottom w:val="single" w:sz="6" w:space="0" w:color="000000"/>
            </w:tcBorders>
            <w:vAlign w:val="bottom"/>
          </w:tcPr>
          <w:p w14:paraId="26583049" w14:textId="77777777" w:rsidR="00B76BF1" w:rsidRPr="00E53719" w:rsidRDefault="00C418A2">
            <w:pPr>
              <w:pStyle w:val="Compact"/>
              <w:widowControl w:val="0"/>
              <w:ind w:firstLine="0"/>
              <w:jc w:val="center"/>
              <w:rPr>
                <w:rFonts w:eastAsia="Cambria"/>
                <w:lang w:val="en-GB"/>
              </w:rPr>
            </w:pPr>
            <w:r w:rsidRPr="00E53719">
              <w:rPr>
                <w:rFonts w:eastAsia="Cambria"/>
                <w:lang w:val="en-GB"/>
              </w:rPr>
              <w:t>Inhibition</w:t>
            </w:r>
          </w:p>
        </w:tc>
        <w:tc>
          <w:tcPr>
            <w:tcW w:w="0" w:type="auto"/>
            <w:tcBorders>
              <w:bottom w:val="single" w:sz="6" w:space="0" w:color="000000"/>
            </w:tcBorders>
            <w:vAlign w:val="bottom"/>
          </w:tcPr>
          <w:p w14:paraId="20412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Integration</w:t>
            </w:r>
          </w:p>
        </w:tc>
        <w:tc>
          <w:tcPr>
            <w:tcW w:w="0" w:type="auto"/>
            <w:tcBorders>
              <w:bottom w:val="single" w:sz="6" w:space="0" w:color="000000"/>
            </w:tcBorders>
            <w:vAlign w:val="bottom"/>
          </w:tcPr>
          <w:p w14:paraId="7EED6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Comparison</w:t>
            </w:r>
          </w:p>
        </w:tc>
        <w:tc>
          <w:tcPr>
            <w:tcW w:w="0" w:type="auto"/>
            <w:tcBorders>
              <w:bottom w:val="single" w:sz="6" w:space="0" w:color="000000"/>
            </w:tcBorders>
            <w:vAlign w:val="bottom"/>
          </w:tcPr>
          <w:p w14:paraId="74FBE145" w14:textId="77777777" w:rsidR="00B76BF1" w:rsidRPr="00E53719" w:rsidRDefault="00C418A2">
            <w:pPr>
              <w:pStyle w:val="Compact"/>
              <w:widowControl w:val="0"/>
              <w:ind w:firstLine="0"/>
              <w:jc w:val="center"/>
              <w:rPr>
                <w:rFonts w:eastAsia="Cambria"/>
                <w:lang w:val="en-GB"/>
              </w:rPr>
            </w:pPr>
            <w:r w:rsidRPr="00E53719">
              <w:rPr>
                <w:rFonts w:eastAsia="Cambria"/>
                <w:lang w:val="en-GB"/>
              </w:rPr>
              <w:t>BIC</w:t>
            </w:r>
          </w:p>
        </w:tc>
      </w:tr>
      <w:tr w:rsidR="00B76BF1" w:rsidRPr="00E53719" w14:paraId="53BA44E4" w14:textId="77777777" w:rsidTr="00F24393">
        <w:trPr>
          <w:trHeight w:val="234"/>
          <w:jc w:val="center"/>
        </w:trPr>
        <w:tc>
          <w:tcPr>
            <w:tcW w:w="0" w:type="auto"/>
          </w:tcPr>
          <w:p w14:paraId="14B60B56" w14:textId="77777777" w:rsidR="00B76BF1" w:rsidRPr="00E53719" w:rsidRDefault="00C418A2">
            <w:pPr>
              <w:pStyle w:val="Compact"/>
              <w:widowControl w:val="0"/>
              <w:ind w:firstLine="0"/>
              <w:jc w:val="center"/>
              <w:rPr>
                <w:rFonts w:eastAsia="Cambria"/>
                <w:lang w:val="en-GB"/>
              </w:rPr>
            </w:pPr>
            <w:r w:rsidRPr="00E53719">
              <w:rPr>
                <w:rFonts w:eastAsia="Cambria"/>
                <w:lang w:val="en-GB"/>
              </w:rPr>
              <w:t>1</w:t>
            </w:r>
          </w:p>
        </w:tc>
        <w:tc>
          <w:tcPr>
            <w:tcW w:w="0" w:type="auto"/>
            <w:shd w:val="clear" w:color="auto" w:fill="C6D9F1" w:themeFill="text2" w:themeFillTint="33"/>
          </w:tcPr>
          <w:p w14:paraId="26DDA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0C7E2D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F56CD0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04DE89"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45DA08CF"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5890BB46"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436D509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232.08</w:t>
            </w:r>
          </w:p>
        </w:tc>
      </w:tr>
      <w:tr w:rsidR="00B76BF1" w:rsidRPr="00E53719" w14:paraId="3434D9F8" w14:textId="77777777" w:rsidTr="00F24393">
        <w:trPr>
          <w:trHeight w:val="234"/>
          <w:jc w:val="center"/>
        </w:trPr>
        <w:tc>
          <w:tcPr>
            <w:tcW w:w="0" w:type="auto"/>
          </w:tcPr>
          <w:p w14:paraId="2BF1BEF6" w14:textId="77777777" w:rsidR="00B76BF1" w:rsidRPr="00E53719" w:rsidRDefault="00C418A2">
            <w:pPr>
              <w:pStyle w:val="Compact"/>
              <w:widowControl w:val="0"/>
              <w:ind w:firstLine="0"/>
              <w:jc w:val="center"/>
              <w:rPr>
                <w:rFonts w:eastAsia="Cambria"/>
                <w:lang w:val="en-GB"/>
              </w:rPr>
            </w:pPr>
            <w:r w:rsidRPr="00E53719">
              <w:rPr>
                <w:rFonts w:eastAsia="Cambria"/>
                <w:lang w:val="en-GB"/>
              </w:rPr>
              <w:t>2</w:t>
            </w:r>
          </w:p>
        </w:tc>
        <w:tc>
          <w:tcPr>
            <w:tcW w:w="0" w:type="auto"/>
          </w:tcPr>
          <w:p w14:paraId="7437BEED"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19A488F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826C00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1A26A2B"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2ECFDD59"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76B5E1E"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6D06AD57" w14:textId="77777777" w:rsidR="00B76BF1" w:rsidRPr="00E53719" w:rsidRDefault="00C418A2">
            <w:pPr>
              <w:pStyle w:val="Compact"/>
              <w:widowControl w:val="0"/>
              <w:ind w:firstLine="0"/>
              <w:jc w:val="center"/>
              <w:rPr>
                <w:rFonts w:eastAsia="Cambria"/>
                <w:lang w:val="en-GB"/>
              </w:rPr>
            </w:pPr>
            <w:r w:rsidRPr="00E53719">
              <w:rPr>
                <w:rFonts w:eastAsia="Cambria"/>
                <w:lang w:val="en-GB"/>
              </w:rPr>
              <w:t>235.94</w:t>
            </w:r>
          </w:p>
        </w:tc>
      </w:tr>
      <w:tr w:rsidR="00B76BF1" w:rsidRPr="00E53719" w14:paraId="14CDA174" w14:textId="77777777" w:rsidTr="00F24393">
        <w:trPr>
          <w:trHeight w:val="234"/>
          <w:jc w:val="center"/>
        </w:trPr>
        <w:tc>
          <w:tcPr>
            <w:tcW w:w="0" w:type="auto"/>
          </w:tcPr>
          <w:p w14:paraId="6A9AC034" w14:textId="77777777" w:rsidR="00B76BF1" w:rsidRPr="00E53719" w:rsidRDefault="00C418A2">
            <w:pPr>
              <w:pStyle w:val="Compact"/>
              <w:widowControl w:val="0"/>
              <w:ind w:firstLine="0"/>
              <w:jc w:val="center"/>
              <w:rPr>
                <w:rFonts w:eastAsia="Cambria"/>
                <w:lang w:val="en-GB"/>
              </w:rPr>
            </w:pPr>
            <w:r w:rsidRPr="00E53719">
              <w:rPr>
                <w:rFonts w:eastAsia="Cambria"/>
                <w:lang w:val="en-GB"/>
              </w:rPr>
              <w:t>3</w:t>
            </w:r>
          </w:p>
        </w:tc>
        <w:tc>
          <w:tcPr>
            <w:tcW w:w="0" w:type="auto"/>
            <w:shd w:val="clear" w:color="auto" w:fill="C6D9F1" w:themeFill="text2" w:themeFillTint="33"/>
          </w:tcPr>
          <w:p w14:paraId="4DCC852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3A1DD39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54BCD5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811F30C"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13A60F25"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649FB49D"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5DE0D163" w14:textId="77777777" w:rsidR="00B76BF1" w:rsidRPr="00E53719" w:rsidRDefault="00C418A2">
            <w:pPr>
              <w:pStyle w:val="Compact"/>
              <w:widowControl w:val="0"/>
              <w:ind w:firstLine="0"/>
              <w:jc w:val="center"/>
              <w:rPr>
                <w:rFonts w:eastAsia="Cambria"/>
                <w:lang w:val="en-GB"/>
              </w:rPr>
            </w:pPr>
            <w:r w:rsidRPr="00E53719">
              <w:rPr>
                <w:rFonts w:eastAsia="Cambria"/>
                <w:lang w:val="en-GB"/>
              </w:rPr>
              <w:t>236.75</w:t>
            </w:r>
          </w:p>
        </w:tc>
      </w:tr>
      <w:tr w:rsidR="00B76BF1" w:rsidRPr="00E53719" w14:paraId="5033BABD" w14:textId="77777777" w:rsidTr="00F24393">
        <w:trPr>
          <w:trHeight w:val="234"/>
          <w:jc w:val="center"/>
        </w:trPr>
        <w:tc>
          <w:tcPr>
            <w:tcW w:w="0" w:type="auto"/>
          </w:tcPr>
          <w:p w14:paraId="2FB7947E" w14:textId="77777777" w:rsidR="00B76BF1" w:rsidRPr="00E53719" w:rsidRDefault="00C418A2">
            <w:pPr>
              <w:pStyle w:val="Compact"/>
              <w:widowControl w:val="0"/>
              <w:ind w:firstLine="0"/>
              <w:jc w:val="center"/>
              <w:rPr>
                <w:rFonts w:eastAsia="Cambria"/>
                <w:lang w:val="en-GB"/>
              </w:rPr>
            </w:pPr>
            <w:r w:rsidRPr="00E53719">
              <w:rPr>
                <w:rFonts w:eastAsia="Cambria"/>
                <w:lang w:val="en-GB"/>
              </w:rPr>
              <w:t>4</w:t>
            </w:r>
          </w:p>
        </w:tc>
        <w:tc>
          <w:tcPr>
            <w:tcW w:w="0" w:type="auto"/>
            <w:shd w:val="clear" w:color="auto" w:fill="C6D9F1" w:themeFill="text2" w:themeFillTint="33"/>
          </w:tcPr>
          <w:p w14:paraId="30C865D7"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12F7A833"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41FC5DC1"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09A59BEB"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315B41F1"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14FD7D8A"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5BC5D971"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237.21</w:t>
            </w:r>
          </w:p>
        </w:tc>
      </w:tr>
      <w:tr w:rsidR="00B76BF1" w:rsidRPr="00E53719" w14:paraId="50B62405" w14:textId="77777777" w:rsidTr="00F24393">
        <w:trPr>
          <w:trHeight w:val="234"/>
          <w:jc w:val="center"/>
        </w:trPr>
        <w:tc>
          <w:tcPr>
            <w:tcW w:w="0" w:type="auto"/>
          </w:tcPr>
          <w:p w14:paraId="6B8FB3B5" w14:textId="77777777" w:rsidR="00B76BF1" w:rsidRPr="00E53719" w:rsidRDefault="00C418A2">
            <w:pPr>
              <w:pStyle w:val="Compact"/>
              <w:widowControl w:val="0"/>
              <w:ind w:firstLine="0"/>
              <w:jc w:val="center"/>
              <w:rPr>
                <w:rFonts w:eastAsia="Cambria"/>
                <w:lang w:val="en-GB"/>
              </w:rPr>
            </w:pPr>
            <w:r w:rsidRPr="00E53719">
              <w:rPr>
                <w:rFonts w:eastAsia="Cambria"/>
                <w:lang w:val="en-GB"/>
              </w:rPr>
              <w:t>5</w:t>
            </w:r>
          </w:p>
        </w:tc>
        <w:tc>
          <w:tcPr>
            <w:tcW w:w="0" w:type="auto"/>
            <w:shd w:val="clear" w:color="auto" w:fill="C6D9F1" w:themeFill="text2" w:themeFillTint="33"/>
          </w:tcPr>
          <w:p w14:paraId="02EE18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033A0F4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656896A5"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78681AD7"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4CDA9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464727"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1824A40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237.31</w:t>
            </w:r>
          </w:p>
        </w:tc>
      </w:tr>
      <w:tr w:rsidR="00B76BF1" w:rsidRPr="00E53719" w14:paraId="50085B03" w14:textId="77777777" w:rsidTr="00F24393">
        <w:trPr>
          <w:trHeight w:val="234"/>
          <w:jc w:val="center"/>
        </w:trPr>
        <w:tc>
          <w:tcPr>
            <w:tcW w:w="0" w:type="auto"/>
          </w:tcPr>
          <w:p w14:paraId="7690AE7A" w14:textId="77777777" w:rsidR="00B76BF1" w:rsidRPr="00E53719" w:rsidRDefault="00C418A2">
            <w:pPr>
              <w:pStyle w:val="Compact"/>
              <w:widowControl w:val="0"/>
              <w:ind w:firstLine="0"/>
              <w:jc w:val="center"/>
              <w:rPr>
                <w:rFonts w:eastAsia="Cambria"/>
                <w:lang w:val="en-GB"/>
              </w:rPr>
            </w:pPr>
            <w:r w:rsidRPr="00E53719">
              <w:rPr>
                <w:rFonts w:eastAsia="Cambria"/>
                <w:lang w:val="en-GB"/>
              </w:rPr>
              <w:t>6</w:t>
            </w:r>
          </w:p>
        </w:tc>
        <w:tc>
          <w:tcPr>
            <w:tcW w:w="0" w:type="auto"/>
            <w:shd w:val="clear" w:color="auto" w:fill="C6D9F1" w:themeFill="text2" w:themeFillTint="33"/>
          </w:tcPr>
          <w:p w14:paraId="27827648"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53007AA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46E31F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228057C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B549B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5D996B9"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7777F53F"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237.40</w:t>
            </w:r>
          </w:p>
        </w:tc>
      </w:tr>
      <w:tr w:rsidR="00B76BF1" w:rsidRPr="00E53719" w14:paraId="474D15BD" w14:textId="77777777" w:rsidTr="00F24393">
        <w:trPr>
          <w:trHeight w:val="234"/>
          <w:jc w:val="center"/>
        </w:trPr>
        <w:tc>
          <w:tcPr>
            <w:tcW w:w="0" w:type="auto"/>
          </w:tcPr>
          <w:p w14:paraId="6B9855EF" w14:textId="77777777" w:rsidR="00B76BF1" w:rsidRPr="00E53719" w:rsidRDefault="00C418A2">
            <w:pPr>
              <w:pStyle w:val="Compact"/>
              <w:widowControl w:val="0"/>
              <w:ind w:firstLine="0"/>
              <w:jc w:val="center"/>
              <w:rPr>
                <w:rFonts w:eastAsia="Cambria"/>
                <w:lang w:val="en-GB"/>
              </w:rPr>
            </w:pPr>
            <w:r w:rsidRPr="00E53719">
              <w:rPr>
                <w:rFonts w:eastAsia="Cambria"/>
                <w:lang w:val="en-GB"/>
              </w:rPr>
              <w:t>7</w:t>
            </w:r>
          </w:p>
        </w:tc>
        <w:tc>
          <w:tcPr>
            <w:tcW w:w="0" w:type="auto"/>
            <w:shd w:val="clear" w:color="auto" w:fill="C6D9F1" w:themeFill="text2" w:themeFillTint="33"/>
          </w:tcPr>
          <w:p w14:paraId="4E25957A"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2E459A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D4FA6C4"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3BDA443"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2D53903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D104D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2B4A5E4" w14:textId="77777777" w:rsidR="00B76BF1" w:rsidRPr="00E53719" w:rsidRDefault="00C418A2">
            <w:pPr>
              <w:pStyle w:val="Compact"/>
              <w:widowControl w:val="0"/>
              <w:ind w:firstLine="0"/>
              <w:jc w:val="center"/>
              <w:rPr>
                <w:rFonts w:eastAsia="Cambria"/>
                <w:lang w:val="en-GB"/>
              </w:rPr>
            </w:pPr>
            <w:r w:rsidRPr="00E53719">
              <w:rPr>
                <w:rFonts w:eastAsia="Cambria"/>
                <w:lang w:val="en-GB"/>
              </w:rPr>
              <w:t>238.41</w:t>
            </w:r>
          </w:p>
        </w:tc>
      </w:tr>
      <w:tr w:rsidR="00B76BF1" w:rsidRPr="00E53719" w14:paraId="0403BD02" w14:textId="77777777" w:rsidTr="00F24393">
        <w:trPr>
          <w:trHeight w:val="234"/>
          <w:jc w:val="center"/>
        </w:trPr>
        <w:tc>
          <w:tcPr>
            <w:tcW w:w="0" w:type="auto"/>
          </w:tcPr>
          <w:p w14:paraId="7347BB70" w14:textId="77777777" w:rsidR="00B76BF1" w:rsidRPr="00E53719" w:rsidRDefault="00C418A2">
            <w:pPr>
              <w:pStyle w:val="Compact"/>
              <w:widowControl w:val="0"/>
              <w:ind w:firstLine="0"/>
              <w:jc w:val="center"/>
              <w:rPr>
                <w:rFonts w:eastAsia="Cambria"/>
                <w:lang w:val="en-GB"/>
              </w:rPr>
            </w:pPr>
            <w:r w:rsidRPr="00E53719">
              <w:rPr>
                <w:rFonts w:eastAsia="Cambria"/>
                <w:lang w:val="en-GB"/>
              </w:rPr>
              <w:t>8</w:t>
            </w:r>
          </w:p>
        </w:tc>
        <w:tc>
          <w:tcPr>
            <w:tcW w:w="0" w:type="auto"/>
          </w:tcPr>
          <w:p w14:paraId="21EEB85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E22B6C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74CB9E1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427D3E29"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9C68854"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068EBC3"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44296B3C"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241.04</w:t>
            </w:r>
          </w:p>
        </w:tc>
      </w:tr>
      <w:tr w:rsidR="00B76BF1" w:rsidRPr="00E53719" w14:paraId="5E9B2EAD" w14:textId="77777777" w:rsidTr="00F24393">
        <w:trPr>
          <w:trHeight w:val="234"/>
          <w:jc w:val="center"/>
        </w:trPr>
        <w:tc>
          <w:tcPr>
            <w:tcW w:w="0" w:type="auto"/>
          </w:tcPr>
          <w:p w14:paraId="1E76B1E5" w14:textId="77777777" w:rsidR="00B76BF1" w:rsidRPr="00E53719" w:rsidRDefault="00C418A2">
            <w:pPr>
              <w:pStyle w:val="Compact"/>
              <w:widowControl w:val="0"/>
              <w:ind w:firstLine="0"/>
              <w:jc w:val="center"/>
              <w:rPr>
                <w:rFonts w:eastAsia="Cambria"/>
                <w:lang w:val="en-GB"/>
              </w:rPr>
            </w:pPr>
            <w:r w:rsidRPr="00E53719">
              <w:rPr>
                <w:rFonts w:eastAsia="Cambria"/>
                <w:lang w:val="en-GB"/>
              </w:rPr>
              <w:t>9</w:t>
            </w:r>
          </w:p>
        </w:tc>
        <w:tc>
          <w:tcPr>
            <w:tcW w:w="0" w:type="auto"/>
            <w:shd w:val="clear" w:color="auto" w:fill="C6D9F1" w:themeFill="text2" w:themeFillTint="33"/>
          </w:tcPr>
          <w:p w14:paraId="4A93728F"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59EC60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071F8124"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5EA9F4F4" w14:textId="77777777" w:rsidR="00B76BF1" w:rsidRPr="00E53719" w:rsidRDefault="00C418A2">
            <w:pPr>
              <w:pStyle w:val="Compact"/>
              <w:widowControl w:val="0"/>
              <w:ind w:firstLine="0"/>
              <w:jc w:val="center"/>
              <w:rPr>
                <w:rFonts w:eastAsia="Cambria"/>
                <w:lang w:val="en-GB"/>
              </w:rPr>
            </w:pPr>
            <w:r w:rsidRPr="00E53719">
              <w:rPr>
                <w:rFonts w:eastAsia="Cambria"/>
                <w:lang w:val="en-GB"/>
              </w:rPr>
              <w:t>Distance</w:t>
            </w:r>
          </w:p>
        </w:tc>
        <w:tc>
          <w:tcPr>
            <w:tcW w:w="0" w:type="auto"/>
          </w:tcPr>
          <w:p w14:paraId="39271B4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2C4EE03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8FD75C0"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241.40</w:t>
            </w:r>
          </w:p>
        </w:tc>
      </w:tr>
      <w:tr w:rsidR="00B76BF1" w:rsidRPr="00E53719" w14:paraId="1A004C10" w14:textId="77777777" w:rsidTr="00F24393">
        <w:trPr>
          <w:trHeight w:val="234"/>
          <w:jc w:val="center"/>
        </w:trPr>
        <w:tc>
          <w:tcPr>
            <w:tcW w:w="0" w:type="auto"/>
          </w:tcPr>
          <w:p w14:paraId="025A7A38" w14:textId="77777777" w:rsidR="00B76BF1" w:rsidRPr="00E53719" w:rsidRDefault="00C418A2">
            <w:pPr>
              <w:pStyle w:val="Compact"/>
              <w:widowControl w:val="0"/>
              <w:ind w:firstLine="0"/>
              <w:jc w:val="center"/>
              <w:rPr>
                <w:rFonts w:eastAsia="Cambria"/>
                <w:lang w:val="en-GB"/>
              </w:rPr>
            </w:pPr>
            <w:r w:rsidRPr="00E53719">
              <w:rPr>
                <w:rFonts w:eastAsia="Cambria"/>
                <w:lang w:val="en-GB"/>
              </w:rPr>
              <w:t>10</w:t>
            </w:r>
          </w:p>
        </w:tc>
        <w:tc>
          <w:tcPr>
            <w:tcW w:w="0" w:type="auto"/>
            <w:shd w:val="clear" w:color="auto" w:fill="C6D9F1" w:themeFill="text2" w:themeFillTint="33"/>
          </w:tcPr>
          <w:p w14:paraId="640F61E0"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3D2ABCA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B94EB5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0B159F82"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795007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0A3F9E97"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45B3B3AA"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241.78</w:t>
            </w:r>
            <w:bookmarkStart w:id="214" w:name="X39207493217196a9798dc833a8ba6a45e072cbd"/>
            <w:bookmarkStart w:id="215" w:name="tab%252525253Aswitchboard-best-agg"/>
            <w:bookmarkEnd w:id="214"/>
            <w:bookmarkEnd w:id="215"/>
          </w:p>
        </w:tc>
      </w:tr>
    </w:tbl>
    <w:p w14:paraId="1872CA59" w14:textId="77777777" w:rsidR="00B76BF1" w:rsidRPr="00E53719" w:rsidRDefault="00C418A2">
      <w:pPr>
        <w:pStyle w:val="TableCaption"/>
        <w:spacing w:line="360" w:lineRule="auto"/>
        <w:ind w:firstLine="0"/>
        <w:rPr>
          <w:lang w:val="en-GB"/>
        </w:rPr>
      </w:pPr>
      <w:r w:rsidRPr="00E53719">
        <w:rPr>
          <w:b/>
          <w:lang w:val="en-GB"/>
        </w:rPr>
        <w:tab/>
        <w:t>Supplemental Table 3. Overview of average best fitting model variants.</w:t>
      </w:r>
      <w:r w:rsidRPr="00E53719">
        <w:rPr>
          <w:lang w:val="en-GB"/>
        </w:rPr>
        <w:t xml:space="preserve"> All ten model variants that fit the data best on average used some form of gaze-dependence (blue shaded cells), mostly an alternative-wise gaze discount. </w:t>
      </w:r>
      <w:r w:rsidRPr="00E53719">
        <w:rPr>
          <w:i/>
          <w:lang w:val="en-GB"/>
        </w:rPr>
        <w:t>"n.d."</w:t>
      </w:r>
      <w:r w:rsidRPr="00E53719">
        <w:rPr>
          <w:lang w:val="en-GB"/>
        </w:rPr>
        <w:t xml:space="preserve"> denotes variants where comparison mechanisms were not distinguishable by the analysis.</w:t>
      </w:r>
      <w:r w:rsidRPr="00E53719">
        <w:rPr>
          <w:lang w:val="en-GB"/>
        </w:rPr>
        <w:br w:type="page"/>
      </w:r>
    </w:p>
    <w:p w14:paraId="06C96538" w14:textId="77777777" w:rsidR="00B76BF1" w:rsidRPr="00E53719" w:rsidRDefault="00B76BF1">
      <w:pPr>
        <w:pStyle w:val="TableCaption"/>
        <w:spacing w:line="360" w:lineRule="auto"/>
        <w:ind w:firstLine="0"/>
        <w:rPr>
          <w:lang w:val="en-GB"/>
        </w:rPr>
      </w:pPr>
    </w:p>
    <w:p w14:paraId="773CC140" w14:textId="77777777" w:rsidR="00B76BF1" w:rsidRPr="00E53719" w:rsidRDefault="00C418A2">
      <w:pPr>
        <w:pStyle w:val="Heading2"/>
        <w:rPr>
          <w:lang w:val="en-GB"/>
        </w:rPr>
      </w:pPr>
      <w:r w:rsidRPr="00E53719">
        <w:rPr>
          <w:lang w:val="en-GB"/>
        </w:rPr>
        <w:t>Counts of individual best fitting switch levels</w:t>
      </w:r>
    </w:p>
    <w:p w14:paraId="70CE9F05" w14:textId="77777777" w:rsidR="00B76BF1" w:rsidRPr="00E53719" w:rsidRDefault="00B76BF1">
      <w:pPr>
        <w:pStyle w:val="CaptionedFigure"/>
        <w:spacing w:line="360" w:lineRule="auto"/>
        <w:rPr>
          <w:lang w:val="en-GB"/>
        </w:rPr>
      </w:pPr>
    </w:p>
    <w:p w14:paraId="41B77CE0" w14:textId="77777777" w:rsidR="00B76BF1" w:rsidRPr="00E53719" w:rsidRDefault="00C418A2">
      <w:pPr>
        <w:pStyle w:val="CaptionedFigure"/>
        <w:spacing w:line="360" w:lineRule="auto"/>
        <w:jc w:val="center"/>
        <w:rPr>
          <w:lang w:val="en-GB"/>
        </w:rPr>
      </w:pPr>
      <w:bookmarkStart w:id="216" w:name="fig%252525253Aswitchboard-ind-switch-cou"/>
      <w:r w:rsidRPr="00E53719">
        <w:rPr>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9"/>
                    <a:stretch>
                      <a:fillRect/>
                    </a:stretch>
                  </pic:blipFill>
                  <pic:spPr bwMode="auto">
                    <a:xfrm>
                      <a:off x="0" y="0"/>
                      <a:ext cx="4152900" cy="1460500"/>
                    </a:xfrm>
                    <a:prstGeom prst="rect">
                      <a:avLst/>
                    </a:prstGeom>
                  </pic:spPr>
                </pic:pic>
              </a:graphicData>
            </a:graphic>
          </wp:inline>
        </w:drawing>
      </w:r>
      <w:bookmarkEnd w:id="216"/>
    </w:p>
    <w:p w14:paraId="373E732B" w14:textId="77777777" w:rsidR="00B76BF1" w:rsidRPr="00E53719" w:rsidRDefault="00C418A2">
      <w:pPr>
        <w:pStyle w:val="ImageCaption"/>
        <w:spacing w:line="276" w:lineRule="auto"/>
        <w:rPr>
          <w:lang w:val="en-GB"/>
        </w:rPr>
      </w:pPr>
      <w:r w:rsidRPr="00E53719">
        <w:rPr>
          <w:b/>
          <w:lang w:val="en-GB"/>
        </w:rPr>
        <w:t>Supplemental Figure 5. Counts of individual best fitting switches.</w:t>
      </w:r>
      <w:r w:rsidRPr="00E53719">
        <w:rPr>
          <w:lang w:val="en-GB"/>
        </w:rPr>
        <w:t xml:space="preserve"> Most participants were best described by model variants that included multiplicative attribute integration, with alternative-wise gaze discount, no attribute-wise gaze discount, constant leakage and no inhibition.</w:t>
      </w:r>
    </w:p>
    <w:p w14:paraId="71D511A2" w14:textId="77777777" w:rsidR="00B76BF1" w:rsidRPr="00E53719" w:rsidRDefault="00B76BF1">
      <w:pPr>
        <w:pStyle w:val="Heading2"/>
        <w:spacing w:line="360" w:lineRule="auto"/>
        <w:ind w:firstLine="737"/>
        <w:rPr>
          <w:lang w:val="en-GB"/>
        </w:rPr>
      </w:pPr>
    </w:p>
    <w:p w14:paraId="4E9AC7A8" w14:textId="77777777" w:rsidR="00572D82" w:rsidRPr="00E53719" w:rsidRDefault="00572D82">
      <w:pPr>
        <w:spacing w:after="0"/>
        <w:rPr>
          <w:ins w:id="217" w:author="Felix Molter" w:date="2021-01-18T21:18:00Z"/>
          <w:lang w:val="en-GB"/>
        </w:rPr>
      </w:pPr>
      <w:ins w:id="218" w:author="Felix Molter" w:date="2021-01-18T21:18:00Z">
        <w:r w:rsidRPr="00E53719">
          <w:rPr>
            <w:lang w:val="en-GB"/>
          </w:rPr>
          <w:br w:type="page"/>
        </w:r>
      </w:ins>
    </w:p>
    <w:p w14:paraId="6CEDEE1C" w14:textId="26658C62" w:rsidR="00305B64" w:rsidRPr="00E53719" w:rsidRDefault="002E3A5E" w:rsidP="00040010">
      <w:pPr>
        <w:spacing w:after="0"/>
        <w:jc w:val="center"/>
        <w:rPr>
          <w:ins w:id="219" w:author="Felix Molter" w:date="2021-01-18T21:18:00Z"/>
          <w:lang w:val="en-GB"/>
        </w:rPr>
      </w:pPr>
      <w:ins w:id="220" w:author="Felix Molter" w:date="2021-01-18T21:34:00Z">
        <w:r w:rsidRPr="00E53719">
          <w:rPr>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50">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ins>
    </w:p>
    <w:p w14:paraId="76796D65" w14:textId="39FEE030" w:rsidR="00305B64" w:rsidRPr="00E53719" w:rsidRDefault="00305B64" w:rsidP="00305B64">
      <w:pPr>
        <w:pStyle w:val="ImageCaption"/>
        <w:spacing w:line="276" w:lineRule="auto"/>
        <w:rPr>
          <w:ins w:id="221" w:author="Felix Molter" w:date="2021-01-18T21:18:00Z"/>
          <w:lang w:val="en-GB"/>
        </w:rPr>
      </w:pPr>
      <w:commentRangeStart w:id="222"/>
      <w:ins w:id="223" w:author="Felix Molter" w:date="2021-01-18T21:18:00Z">
        <w:r w:rsidRPr="00E53719">
          <w:rPr>
            <w:b/>
            <w:lang w:val="en-GB"/>
          </w:rPr>
          <w:t>Supplemental Figure X</w:t>
        </w:r>
      </w:ins>
      <w:commentRangeEnd w:id="222"/>
      <w:ins w:id="224" w:author="Felix Molter" w:date="2021-01-18T21:42:00Z">
        <w:r w:rsidR="00B20E49" w:rsidRPr="00E53719">
          <w:rPr>
            <w:rStyle w:val="CommentReference"/>
            <w:lang w:val="en-GB"/>
          </w:rPr>
          <w:commentReference w:id="222"/>
        </w:r>
      </w:ins>
      <w:ins w:id="225" w:author="Felix Molter" w:date="2021-01-18T21:18:00Z">
        <w:r w:rsidRPr="00E53719">
          <w:rPr>
            <w:b/>
            <w:lang w:val="en-GB"/>
          </w:rPr>
          <w:t xml:space="preserve">. </w:t>
        </w:r>
      </w:ins>
      <w:ins w:id="226" w:author="Felix Molter" w:date="2021-01-18T21:19:00Z">
        <w:r w:rsidRPr="00E53719">
          <w:rPr>
            <w:b/>
            <w:lang w:val="en-GB"/>
          </w:rPr>
          <w:t>O</w:t>
        </w:r>
      </w:ins>
      <w:ins w:id="227" w:author="Felix Molter" w:date="2021-01-18T21:18:00Z">
        <w:r w:rsidRPr="00E53719">
          <w:rPr>
            <w:b/>
            <w:lang w:val="en-GB"/>
          </w:rPr>
          <w:t xml:space="preserve">bserved and model-predicted association of </w:t>
        </w:r>
      </w:ins>
      <w:ins w:id="228" w:author="Felix Molter" w:date="2021-01-18T21:19:00Z">
        <w:r w:rsidRPr="00E53719">
          <w:rPr>
            <w:b/>
            <w:lang w:val="en-GB"/>
          </w:rPr>
          <w:t>dwell-time advantage and choice for participants with weaker and strong attraction effects.</w:t>
        </w:r>
      </w:ins>
      <w:ins w:id="229" w:author="Felix Molter" w:date="2021-01-18T21:20:00Z">
        <w:r w:rsidR="00000539" w:rsidRPr="00E53719">
          <w:rPr>
            <w:lang w:val="en-GB"/>
          </w:rPr>
          <w:t xml:space="preserve"> </w:t>
        </w:r>
        <w:r w:rsidR="00EC5D32" w:rsidRPr="00E53719">
          <w:rPr>
            <w:b/>
            <w:lang w:val="en-GB"/>
          </w:rPr>
          <w:t xml:space="preserve">(a-f) </w:t>
        </w:r>
      </w:ins>
      <w:ins w:id="230" w:author="Felix Molter" w:date="2021-01-18T21:36:00Z">
        <w:r w:rsidR="0036751B" w:rsidRPr="00E53719">
          <w:rPr>
            <w:lang w:val="en-GB"/>
          </w:rPr>
          <w:t>Data and model predictions for participants with w</w:t>
        </w:r>
      </w:ins>
      <w:ins w:id="231" w:author="Felix Molter" w:date="2021-01-18T21:20:00Z">
        <w:r w:rsidR="00EC5D32" w:rsidRPr="00E53719">
          <w:rPr>
            <w:lang w:val="en-GB"/>
          </w:rPr>
          <w:t>eaker attraction effect</w:t>
        </w:r>
      </w:ins>
      <w:ins w:id="232" w:author="Felix Molter" w:date="2021-01-18T21:36:00Z">
        <w:r w:rsidR="0036751B" w:rsidRPr="00E53719">
          <w:rPr>
            <w:lang w:val="en-GB"/>
          </w:rPr>
          <w:t>s</w:t>
        </w:r>
      </w:ins>
      <w:ins w:id="233" w:author="Felix Molter" w:date="2021-01-18T21:21:00Z">
        <w:r w:rsidR="00EC5D32" w:rsidRPr="00E53719">
          <w:rPr>
            <w:lang w:val="en-GB"/>
          </w:rPr>
          <w:t xml:space="preserve"> (RST &lt; 0.7)</w:t>
        </w:r>
      </w:ins>
      <w:ins w:id="234" w:author="Felix Molter" w:date="2021-01-18T21:20:00Z">
        <w:r w:rsidR="00EC5D32" w:rsidRPr="00E53719">
          <w:rPr>
            <w:lang w:val="en-GB"/>
          </w:rPr>
          <w:t xml:space="preserve">. </w:t>
        </w:r>
        <w:r w:rsidR="00EC5D32" w:rsidRPr="00E53719">
          <w:rPr>
            <w:b/>
            <w:lang w:val="en-GB"/>
          </w:rPr>
          <w:t>(g-l)</w:t>
        </w:r>
        <w:r w:rsidR="00EC5D32" w:rsidRPr="00E53719">
          <w:rPr>
            <w:lang w:val="en-GB"/>
          </w:rPr>
          <w:t xml:space="preserve"> </w:t>
        </w:r>
      </w:ins>
      <w:ins w:id="235" w:author="Felix Molter" w:date="2021-01-18T21:36:00Z">
        <w:r w:rsidR="0036751B" w:rsidRPr="00E53719">
          <w:rPr>
            <w:lang w:val="en-GB"/>
          </w:rPr>
          <w:t xml:space="preserve">Data and model predictions for participants with strong attraction </w:t>
        </w:r>
      </w:ins>
      <w:ins w:id="236" w:author="Felix Molter" w:date="2021-01-18T21:20:00Z">
        <w:r w:rsidR="00EC5D32" w:rsidRPr="00E53719">
          <w:rPr>
            <w:lang w:val="en-GB"/>
          </w:rPr>
          <w:t>effect</w:t>
        </w:r>
      </w:ins>
      <w:ins w:id="237" w:author="Felix Molter" w:date="2021-01-18T21:36:00Z">
        <w:r w:rsidR="0036751B" w:rsidRPr="00E53719">
          <w:rPr>
            <w:lang w:val="en-GB"/>
          </w:rPr>
          <w:t>s</w:t>
        </w:r>
      </w:ins>
      <w:ins w:id="238" w:author="Felix Molter" w:date="2021-01-18T21:20:00Z">
        <w:r w:rsidR="00EC5D32" w:rsidRPr="00E53719">
          <w:rPr>
            <w:lang w:val="en-GB"/>
          </w:rPr>
          <w:t xml:space="preserve"> (RST &gt; 0.7)</w:t>
        </w:r>
      </w:ins>
      <w:ins w:id="239" w:author="Felix Molter" w:date="2021-01-18T21:35:00Z">
        <w:r w:rsidR="0036751B" w:rsidRPr="00E53719">
          <w:rPr>
            <w:lang w:val="en-GB"/>
          </w:rPr>
          <w:t xml:space="preserve"> </w:t>
        </w:r>
      </w:ins>
      <w:ins w:id="240" w:author="Felix Molter" w:date="2021-01-18T21:40:00Z">
        <w:r w:rsidR="00040010" w:rsidRPr="00E53719">
          <w:rPr>
            <w:lang w:val="en-GB"/>
          </w:rPr>
          <w:t xml:space="preserve">Each column is associated with choice probability of one alternative: Target </w:t>
        </w:r>
        <w:r w:rsidR="00040010" w:rsidRPr="00E53719">
          <w:rPr>
            <w:b/>
            <w:lang w:val="en-GB"/>
          </w:rPr>
          <w:t>(</w:t>
        </w:r>
        <w:r w:rsidR="00040010" w:rsidRPr="00E53719">
          <w:rPr>
            <w:lang w:val="en-GB"/>
          </w:rPr>
          <w:t>first column;</w:t>
        </w:r>
        <w:r w:rsidR="00040010" w:rsidRPr="00E53719">
          <w:rPr>
            <w:b/>
            <w:lang w:val="en-GB"/>
          </w:rPr>
          <w:t xml:space="preserve"> a, d, g, j)</w:t>
        </w:r>
        <w:r w:rsidR="00040010" w:rsidRPr="00E53719">
          <w:rPr>
            <w:lang w:val="en-GB"/>
          </w:rPr>
          <w:t xml:space="preserve">; Competitor </w:t>
        </w:r>
        <w:r w:rsidR="00040010" w:rsidRPr="00E53719">
          <w:rPr>
            <w:b/>
            <w:lang w:val="en-GB"/>
          </w:rPr>
          <w:t>(</w:t>
        </w:r>
        <w:r w:rsidR="00040010" w:rsidRPr="00E53719">
          <w:rPr>
            <w:lang w:val="en-GB"/>
          </w:rPr>
          <w:t xml:space="preserve">second column; </w:t>
        </w:r>
        <w:r w:rsidR="00040010" w:rsidRPr="00E53719">
          <w:rPr>
            <w:b/>
            <w:lang w:val="en-GB"/>
          </w:rPr>
          <w:t>b, e, h, k)</w:t>
        </w:r>
        <w:r w:rsidR="00040010" w:rsidRPr="00E53719">
          <w:rPr>
            <w:lang w:val="en-GB"/>
          </w:rPr>
          <w:t xml:space="preserve">; Decoy </w:t>
        </w:r>
        <w:r w:rsidR="00040010" w:rsidRPr="00E53719">
          <w:rPr>
            <w:b/>
            <w:lang w:val="en-GB"/>
          </w:rPr>
          <w:t>(</w:t>
        </w:r>
        <w:r w:rsidR="00040010" w:rsidRPr="00E53719">
          <w:rPr>
            <w:lang w:val="en-GB"/>
          </w:rPr>
          <w:t xml:space="preserve">third column; </w:t>
        </w:r>
        <w:r w:rsidR="00040010" w:rsidRPr="00E53719">
          <w:rPr>
            <w:b/>
            <w:lang w:val="en-GB"/>
          </w:rPr>
          <w:t>c, f, i, l</w:t>
        </w:r>
        <w:r w:rsidR="00040010" w:rsidRPr="00E53719">
          <w:rPr>
            <w:lang w:val="en-GB"/>
          </w:rPr>
          <w:t xml:space="preserve">). Rows refer to trials in attraction </w:t>
        </w:r>
        <w:r w:rsidR="00040010" w:rsidRPr="00E53719">
          <w:rPr>
            <w:b/>
            <w:lang w:val="en-GB"/>
          </w:rPr>
          <w:t>(a-c, g-i)</w:t>
        </w:r>
        <w:r w:rsidR="00040010" w:rsidRPr="00E53719">
          <w:rPr>
            <w:lang w:val="en-GB"/>
          </w:rPr>
          <w:t xml:space="preserve"> and compromise trials </w:t>
        </w:r>
        <w:r w:rsidR="00040010" w:rsidRPr="00E53719">
          <w:rPr>
            <w:b/>
            <w:lang w:val="en-GB"/>
          </w:rPr>
          <w:t>(d-f, j-l)</w:t>
        </w:r>
        <w:r w:rsidR="00040010" w:rsidRPr="00E53719">
          <w:rPr>
            <w:lang w:val="en-GB"/>
          </w:rPr>
          <w:t xml:space="preserve">. </w:t>
        </w:r>
      </w:ins>
      <w:ins w:id="241" w:author="Felix Molter" w:date="2021-01-18T21:35:00Z">
        <w:r w:rsidR="0036751B" w:rsidRPr="00E53719">
          <w:rPr>
            <w:lang w:val="en-GB"/>
          </w:rPr>
          <w:t>White and grey bars show even-numbered trials from observed data</w:t>
        </w:r>
      </w:ins>
      <w:ins w:id="242" w:author="Felix Molter" w:date="2021-01-18T21:41:00Z">
        <w:r w:rsidR="001423C1" w:rsidRPr="00E53719">
          <w:rPr>
            <w:lang w:val="en-GB"/>
          </w:rPr>
          <w:t>, for participants with weaker and stronger attraction effects, respectively</w:t>
        </w:r>
      </w:ins>
      <w:ins w:id="243" w:author="Felix Molter" w:date="2021-01-18T21:35:00Z">
        <w:r w:rsidR="0036751B" w:rsidRPr="00E53719">
          <w:rPr>
            <w:lang w:val="en-GB"/>
          </w:rPr>
          <w:t>. Coloured lines indicate model predictions derived from 50 simulations for each odd-numbered trial.</w:t>
        </w:r>
      </w:ins>
    </w:p>
    <w:p w14:paraId="779163C4" w14:textId="7ED49A6F" w:rsidR="00B01351" w:rsidRPr="00E53719" w:rsidRDefault="00B01351" w:rsidP="00305B64">
      <w:pPr>
        <w:spacing w:after="0"/>
        <w:rPr>
          <w:ins w:id="244" w:author="Felix Molter" w:date="2021-01-16T14:11:00Z"/>
          <w:rFonts w:eastAsiaTheme="majorEastAsia" w:cstheme="majorBidi"/>
          <w:b/>
          <w:bCs/>
          <w:color w:val="000000"/>
          <w:lang w:val="en-GB"/>
        </w:rPr>
      </w:pPr>
      <w:ins w:id="245" w:author="Felix Molter" w:date="2021-01-16T14:11:00Z">
        <w:r w:rsidRPr="00E53719">
          <w:rPr>
            <w:lang w:val="en-GB"/>
          </w:rPr>
          <w:br w:type="page"/>
        </w:r>
      </w:ins>
    </w:p>
    <w:p w14:paraId="16126BF7" w14:textId="21AFFD33" w:rsidR="00B76BF1" w:rsidRPr="00E53719" w:rsidRDefault="00C418A2">
      <w:pPr>
        <w:pStyle w:val="Heading2"/>
        <w:rPr>
          <w:lang w:val="en-GB"/>
        </w:rPr>
      </w:pPr>
      <w:r w:rsidRPr="00E53719">
        <w:rPr>
          <w:lang w:val="en-GB"/>
        </w:rPr>
        <w:lastRenderedPageBreak/>
        <w:t>No process evidence that high attraction responders follow simple choice rule</w:t>
      </w:r>
    </w:p>
    <w:p w14:paraId="5BC49CCC" w14:textId="77777777" w:rsidR="00B76BF1" w:rsidRPr="00E53719" w:rsidRDefault="00C418A2">
      <w:pPr>
        <w:pStyle w:val="FirstParagraph"/>
        <w:rPr>
          <w:lang w:val="en-GB"/>
        </w:rPr>
      </w:pPr>
      <w:r w:rsidRPr="00E53719">
        <w:rPr>
          <w:lang w:val="en-GB"/>
        </w:rPr>
        <w:t>Using process measures, we performed multiple tests of th</w:t>
      </w:r>
      <w:bookmarkStart w:id="246" w:name="_GoBack"/>
      <w:bookmarkEnd w:id="246"/>
      <w:r w:rsidRPr="00E53719">
        <w:rPr>
          <w:lang w:val="en-GB"/>
        </w:rPr>
        <w:t>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E53719">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[-0.24, 0.34]). Similarly, no relationship was found between individual RST and the number of fixations in attraction trials (</w:t>
      </w:r>
      <m:oMath>
        <m:r>
          <w:rPr>
            <w:rFonts w:ascii="Cambria Math" w:hAnsi="Cambria Math"/>
            <w:lang w:val="en-GB"/>
          </w:rPr>
          <m:t>r</m:t>
        </m:r>
      </m:oMath>
      <w:r w:rsidRPr="00E53719">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E53719">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E53719">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E53719">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[-0.20, 0.41]). Taken together, we did not find any evidence based on process data to support the hypothesis that strong attraction responders used a simple choice rule.</w:t>
      </w:r>
    </w:p>
    <w:sectPr w:rsidR="00B76BF1" w:rsidRPr="00E53719">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x Molter" w:date="2020-12-16T18:55:00Z" w:initials="FM">
    <w:p w14:paraId="70F1A332" w14:textId="77777777" w:rsidR="00DC7937" w:rsidRDefault="00DC7937">
      <w:r>
        <w:rPr>
          <w:rFonts w:ascii="Cambria" w:eastAsia="Cambria" w:hAnsi="Cambria" w:cs="Tahoma"/>
          <w:sz w:val="20"/>
          <w:lang w:bidi="en-US"/>
        </w:rPr>
        <w:t xml:space="preserve">SAH: Part of the challenge in framing the study is that there are already explanations for risky choices, including all of the effects that you've listed. So, what's really critical here is whether understanding gaze patterns (and accumulation models therein) improves understanding of risky choice above-and-beyond what's gleaned from other explanations. </w:t>
      </w:r>
    </w:p>
  </w:comment>
  <w:comment w:id="1" w:author="Felix Molter" w:date="2021-01-05T16:43:00Z" w:initials="FM">
    <w:p w14:paraId="2D195420" w14:textId="77777777" w:rsidR="00DC7937" w:rsidRDefault="00DC7937" w:rsidP="00F82B2B">
      <w:pPr>
        <w:rPr>
          <w:rFonts w:ascii="Cambria" w:eastAsia="Cambria" w:hAnsi="Cambria" w:cs="Tahoma"/>
          <w:sz w:val="20"/>
          <w:lang w:bidi="en-US"/>
        </w:rPr>
      </w:pPr>
      <w:r>
        <w:rPr>
          <w:rStyle w:val="CommentReference"/>
        </w:rPr>
        <w:annotationRef/>
      </w:r>
      <w:r>
        <w:rPr>
          <w:rFonts w:ascii="Cambria" w:eastAsia="Cambria" w:hAnsi="Cambria" w:cs="Tahoma"/>
          <w:sz w:val="20"/>
          <w:lang w:bidi="en-US"/>
        </w:rPr>
        <w:t xml:space="preserve"> I agree, but I am not sure how to address this best.</w:t>
      </w:r>
    </w:p>
    <w:p w14:paraId="2CD79606" w14:textId="5193E54A" w:rsidR="00DC7937" w:rsidRPr="00F82B2B" w:rsidRDefault="00DC7937" w:rsidP="00F82B2B">
      <w:r>
        <w:rPr>
          <w:rFonts w:ascii="Cambria" w:eastAsia="Cambria" w:hAnsi="Cambria" w:cs="Tahoma"/>
          <w:b/>
          <w:sz w:val="20"/>
          <w:lang w:bidi="en-US"/>
        </w:rPr>
        <w:t>Q:</w:t>
      </w:r>
      <w:r>
        <w:rPr>
          <w:rFonts w:ascii="Cambria" w:eastAsia="Cambria" w:hAnsi="Cambria" w:cs="Tahoma"/>
          <w:sz w:val="20"/>
          <w:lang w:bidi="en-US"/>
        </w:rPr>
        <w:t xml:space="preserve"> How can I be more explicit about our contribution?</w:t>
      </w:r>
    </w:p>
  </w:comment>
  <w:comment w:id="3" w:author="Felix Molter" w:date="2020-12-16T18:19:00Z" w:initials="FM">
    <w:p w14:paraId="2E26E831" w14:textId="77777777" w:rsidR="00DC7937" w:rsidRDefault="00DC7937">
      <w:r>
        <w:rPr>
          <w:rFonts w:ascii="Cambria" w:eastAsia="Cambria" w:hAnsi="Cambria" w:cs="Tahoma"/>
          <w:sz w:val="20"/>
          <w:lang w:bidi="en-US"/>
        </w:rPr>
        <w:t>Not sure if this edit works, because our evidence for the compromise effect is marginal.</w:t>
      </w:r>
    </w:p>
  </w:comment>
  <w:comment w:id="8" w:author="Felix Molter" w:date="2020-12-16T18:32:00Z" w:initials="FM">
    <w:p w14:paraId="7F843F44" w14:textId="77777777" w:rsidR="00DC7937" w:rsidRDefault="00DC7937">
      <w:r>
        <w:rPr>
          <w:rFonts w:ascii="Cambria" w:eastAsia="Cambria" w:hAnsi="Cambria" w:cs="Tahoma"/>
          <w:sz w:val="20"/>
          <w:lang w:bidi="en-US"/>
        </w:rPr>
        <w:t>FM: To supplement? Cut? I don’t refer to this anywhere else.</w:t>
      </w:r>
    </w:p>
  </w:comment>
  <w:comment w:id="12" w:author="Felix Molter" w:date="2021-01-19T13:53:00Z" w:initials="FM">
    <w:p w14:paraId="3F66EA7F" w14:textId="72A4969E" w:rsidR="00DC7937" w:rsidRDefault="00DC7937">
      <w:pPr>
        <w:pStyle w:val="CommentText"/>
      </w:pPr>
      <w:r>
        <w:rPr>
          <w:rStyle w:val="CommentReference"/>
        </w:rPr>
        <w:annotationRef/>
      </w:r>
      <w:r>
        <w:t>Todo: Add gaze advantage predictions to text</w:t>
      </w:r>
    </w:p>
  </w:comment>
  <w:comment w:id="28" w:author="Felix Molter" w:date="2020-12-16T19:17:00Z" w:initials="FM">
    <w:p w14:paraId="13FB3941" w14:textId="77777777" w:rsidR="00DC7937" w:rsidRDefault="00DC7937">
      <w:r>
        <w:rPr>
          <w:rFonts w:ascii="Cambria" w:eastAsia="Cambria" w:hAnsi="Cambria" w:cs="Tahoma"/>
          <w:sz w:val="20"/>
          <w:lang w:bidi="en-US"/>
        </w:rPr>
        <w:t>SAH: I didn't understand the point of this paragraph.</w:t>
      </w:r>
    </w:p>
  </w:comment>
  <w:comment w:id="29" w:author="Felix Molter" w:date="2021-01-05T15:42:00Z" w:initials="FM">
    <w:p w14:paraId="7B25C432" w14:textId="40C6D302" w:rsidR="00DC7937" w:rsidRDefault="00DC7937" w:rsidP="00DD564F">
      <w:r>
        <w:rPr>
          <w:rStyle w:val="CommentReference"/>
        </w:rPr>
        <w:annotationRef/>
      </w:r>
      <w:r>
        <w:rPr>
          <w:rFonts w:ascii="Liberation Serif" w:eastAsia="Tahoma" w:hAnsi="Liberation Serif" w:cs="Tahoma"/>
          <w:sz w:val="20"/>
          <w:lang w:bidi="en-US"/>
        </w:rPr>
        <w:t>This paragraph has proven problematic for many people reading it, but I don’t really understand why. The question it addresses is whether there is a general tendency for MDFT to perform better (relative to GLA) for participants with strong AE. There seems to be a trend for this.</w:t>
      </w:r>
    </w:p>
    <w:p w14:paraId="72E49D62" w14:textId="0CEC2D68" w:rsidR="00DC7937" w:rsidRDefault="00DC7937" w:rsidP="00DD564F">
      <w:r>
        <w:rPr>
          <w:rFonts w:ascii="Liberation Serif" w:eastAsia="Tahoma" w:hAnsi="Liberation Serif" w:cs="Tahoma"/>
          <w:sz w:val="20"/>
          <w:lang w:bidi="en-US"/>
        </w:rPr>
        <w:t>However, the paragraph also highlights that most of the strong responders are still better described by GLA.</w:t>
      </w:r>
    </w:p>
    <w:p w14:paraId="4776B61B" w14:textId="77777777" w:rsidR="00DC7937" w:rsidRDefault="00DC7937" w:rsidP="00DD564F">
      <w:r>
        <w:rPr>
          <w:rFonts w:ascii="Liberation Serif" w:eastAsia="Tahoma" w:hAnsi="Liberation Serif" w:cs="Tahoma"/>
          <w:sz w:val="20"/>
          <w:lang w:bidi="en-US"/>
        </w:rPr>
        <w:t>I later take this as initial evidence that integration of the two models’ mechanisms might be promising.</w:t>
      </w:r>
    </w:p>
    <w:p w14:paraId="11716103" w14:textId="1CD44A5B" w:rsidR="00DC7937" w:rsidRPr="00DD564F" w:rsidRDefault="00DC7937" w:rsidP="00DD564F">
      <w:pPr>
        <w:pStyle w:val="CommentText"/>
        <w:rPr>
          <w:rFonts w:ascii="Liberation Serif" w:eastAsia="Tahoma" w:hAnsi="Liberation Serif" w:cs="Tahoma"/>
          <w:b/>
          <w:lang w:bidi="en-US"/>
        </w:rPr>
      </w:pPr>
      <w:r>
        <w:rPr>
          <w:rFonts w:ascii="Liberation Serif" w:eastAsia="Tahoma" w:hAnsi="Liberation Serif" w:cs="Tahoma"/>
          <w:b/>
          <w:lang w:bidi="en-US"/>
        </w:rPr>
        <w:t xml:space="preserve">Q: How can I communicate these points better, or should I deal with this differently? </w:t>
      </w:r>
      <w:r w:rsidRPr="00DD564F">
        <w:rPr>
          <w:rFonts w:ascii="Liberation Serif" w:eastAsia="Tahoma" w:hAnsi="Liberation Serif" w:cs="Tahoma"/>
          <w:lang w:bidi="en-US"/>
        </w:rPr>
        <w:t>I could use some feedback here.</w:t>
      </w:r>
    </w:p>
  </w:comment>
  <w:comment w:id="50" w:author="Felix Molter" w:date="2021-01-16T14:00:00Z" w:initials="FM">
    <w:p w14:paraId="76C77ABC" w14:textId="20CF68B9" w:rsidR="00DC7937" w:rsidRDefault="00DC7937">
      <w:pPr>
        <w:pStyle w:val="CommentText"/>
      </w:pPr>
      <w:r>
        <w:rPr>
          <w:rStyle w:val="CommentReference"/>
        </w:rPr>
        <w:annotationRef/>
      </w:r>
      <w:r>
        <w:t>Todo: Elaborate on “limited range”. What does this mean exactly? How is this supported by the data?</w:t>
      </w:r>
    </w:p>
  </w:comment>
  <w:comment w:id="49" w:author="Felix Molter" w:date="2020-12-16T19:19:00Z" w:initials="FM">
    <w:p w14:paraId="4411C224" w14:textId="77777777" w:rsidR="00DC7937" w:rsidRDefault="00DC7937">
      <w:r>
        <w:rPr>
          <w:rFonts w:ascii="Cambria" w:eastAsia="Cambria" w:hAnsi="Cambria" w:cs="Tahoma"/>
          <w:sz w:val="20"/>
          <w:lang w:bidi="en-US"/>
        </w:rPr>
        <w:t>SAH: I still think that more attention is needed for this point. Why would the model be so good in other ways but miss these deviations?</w:t>
      </w:r>
    </w:p>
    <w:p w14:paraId="7851AF19" w14:textId="77777777" w:rsidR="00DC7937" w:rsidRDefault="00DC7937"/>
    <w:p w14:paraId="70B751FB" w14:textId="77777777" w:rsidR="00DC7937" w:rsidRDefault="00DC7937">
      <w:r>
        <w:rPr>
          <w:rFonts w:ascii="Cambria" w:eastAsia="Cambria" w:hAnsi="Cambria" w:cs="Tahoma"/>
          <w:sz w:val="20"/>
          <w:lang w:bidi="en-US"/>
        </w:rPr>
        <w:t>Also, the other models must also underestimate these deviations, too, right?</w:t>
      </w:r>
    </w:p>
  </w:comment>
  <w:comment w:id="66" w:author="Felix Molter" w:date="2020-12-16T19:24:00Z" w:initials="FM">
    <w:p w14:paraId="60484C27" w14:textId="77777777" w:rsidR="00DC7937" w:rsidRDefault="00DC7937">
      <w:r>
        <w:rPr>
          <w:rFonts w:ascii="Cambria" w:eastAsia="Cambria" w:hAnsi="Cambria" w:cs="Tahoma"/>
          <w:sz w:val="20"/>
          <w:lang w:bidi="en-US"/>
        </w:rPr>
        <w:t>c) SAH: I wonder whether it would be better to flip the y-axis labels, such that the model information goes on the left y-axis.</w:t>
      </w:r>
    </w:p>
  </w:comment>
  <w:comment w:id="67" w:author="Felix Molter" w:date="2021-01-05T15:52:00Z" w:initials="FM">
    <w:p w14:paraId="081F3406" w14:textId="7AFFA62F" w:rsidR="00DC7937" w:rsidRDefault="00DC7937" w:rsidP="005F229B">
      <w:r>
        <w:rPr>
          <w:rStyle w:val="CommentReference"/>
        </w:rPr>
        <w:annotationRef/>
      </w:r>
      <w:r>
        <w:rPr>
          <w:rFonts w:ascii="Liberation Serif" w:eastAsia="Tahoma" w:hAnsi="Liberation Serif" w:cs="Tahoma"/>
          <w:sz w:val="20"/>
          <w:lang w:bidi="en-US"/>
        </w:rPr>
        <w:t>I’m not sure I understand which parts should be flipped. The integration switch (left y-axis) and the comparison and gd_att switches (right y-axis)?</w:t>
      </w:r>
    </w:p>
  </w:comment>
  <w:comment w:id="69" w:author="Felix Molter" w:date="2020-12-16T19:40:00Z" w:initials="FM">
    <w:p w14:paraId="62599AD5" w14:textId="77777777" w:rsidR="00DC7937" w:rsidRDefault="00DC7937">
      <w:r>
        <w:rPr>
          <w:rFonts w:ascii="Cambria" w:eastAsia="Cambria" w:hAnsi="Cambria" w:cs="Tahoma"/>
          <w:sz w:val="20"/>
          <w:lang w:bidi="en-US"/>
        </w:rPr>
        <w:t>SAH: I had difficulty following this paragraph and the next couple of paragraphs. These seem out of order; i.e., this information should go before the discussion of results of the model comparisons.</w:t>
      </w:r>
    </w:p>
  </w:comment>
  <w:comment w:id="70" w:author="Felix Molter" w:date="2021-01-05T15:55:00Z" w:initials="FM">
    <w:p w14:paraId="1BE3CD1D" w14:textId="77777777" w:rsidR="00DC7937" w:rsidRDefault="00DC7937" w:rsidP="005F229B">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discussion document Q3.3</w:t>
      </w:r>
    </w:p>
    <w:p w14:paraId="71FB74B0" w14:textId="77777777" w:rsidR="00DC7937" w:rsidRDefault="00DC7937" w:rsidP="005F229B">
      <w:pPr>
        <w:rPr>
          <w:rFonts w:ascii="Liberation Serif" w:eastAsia="Tahoma" w:hAnsi="Liberation Serif" w:cs="Tahoma"/>
          <w:sz w:val="20"/>
          <w:lang w:bidi="en-US"/>
        </w:rPr>
      </w:pPr>
    </w:p>
    <w:p w14:paraId="1BF5BF5B" w14:textId="369C6850" w:rsidR="00DC7937" w:rsidRDefault="00DC7937" w:rsidP="005F229B">
      <w:pPr>
        <w:rPr>
          <w:rFonts w:ascii="Liberation Serif" w:eastAsia="Tahoma" w:hAnsi="Liberation Serif" w:cs="Tahoma"/>
          <w:sz w:val="20"/>
          <w:lang w:bidi="en-US"/>
        </w:rPr>
      </w:pPr>
      <w:r>
        <w:rPr>
          <w:rFonts w:ascii="Liberation Serif" w:eastAsia="Tahoma" w:hAnsi="Liberation Serif" w:cs="Tahoma"/>
          <w:sz w:val="20"/>
          <w:lang w:bidi="en-US"/>
        </w:rPr>
        <w:t xml:space="preserve">There might be a misunderstanding here, but I can’t figure out where the difficulty comes from. </w:t>
      </w:r>
    </w:p>
    <w:p w14:paraId="32580F36" w14:textId="1C02AFDE" w:rsidR="00DC7937" w:rsidRDefault="00DC7937" w:rsidP="005F229B">
      <w:r w:rsidRPr="005F229B">
        <w:rPr>
          <w:rFonts w:ascii="Liberation Serif" w:eastAsia="Tahoma" w:hAnsi="Liberation Serif" w:cs="Tahoma"/>
          <w:b/>
          <w:sz w:val="20"/>
          <w:lang w:bidi="en-US"/>
        </w:rPr>
        <w:t>Q:</w:t>
      </w:r>
      <w:r>
        <w:rPr>
          <w:rFonts w:ascii="Liberation Serif" w:eastAsia="Tahoma" w:hAnsi="Liberation Serif" w:cs="Tahoma"/>
          <w:sz w:val="20"/>
          <w:lang w:bidi="en-US"/>
        </w:rPr>
        <w:t xml:space="preserve"> How can I clear this up?</w:t>
      </w:r>
    </w:p>
    <w:p w14:paraId="774C5432" w14:textId="77777777" w:rsidR="00DC7937" w:rsidRDefault="00DC7937" w:rsidP="005F229B"/>
    <w:p w14:paraId="6C9F54EE" w14:textId="59C249F6" w:rsidR="00DC7937" w:rsidRDefault="00DC7937" w:rsidP="005F229B">
      <w:r>
        <w:rPr>
          <w:rFonts w:ascii="Liberation Serif" w:eastAsia="Tahoma" w:hAnsi="Liberation Serif" w:cs="Tahoma"/>
          <w:sz w:val="20"/>
          <w:lang w:bidi="en-US"/>
        </w:rPr>
        <w:t>The information provided here is:</w:t>
      </w:r>
    </w:p>
    <w:p w14:paraId="29950B8A" w14:textId="01B5C79C" w:rsidR="00DC7937" w:rsidRPr="005F229B" w:rsidRDefault="00DC7937" w:rsidP="005F229B">
      <w:pPr>
        <w:pStyle w:val="ListParagraph"/>
        <w:numPr>
          <w:ilvl w:val="0"/>
          <w:numId w:val="6"/>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What is switchboard? Why do it?</w:t>
      </w:r>
    </w:p>
    <w:p w14:paraId="06CD9A6F" w14:textId="77777777" w:rsidR="00DC7937" w:rsidRPr="005F229B" w:rsidRDefault="00DC7937" w:rsidP="005F229B">
      <w:pPr>
        <w:pStyle w:val="ListParagraph"/>
        <w:numPr>
          <w:ilvl w:val="0"/>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Which switches were included, which variants result from this? (this includes the info from this paragraph; that some variants were equivalent)</w:t>
      </w:r>
    </w:p>
    <w:p w14:paraId="5ED45F5C" w14:textId="77777777" w:rsidR="00DC7937" w:rsidRPr="005F229B" w:rsidRDefault="00DC7937" w:rsidP="005F229B">
      <w:pPr>
        <w:pStyle w:val="ListParagraph"/>
        <w:numPr>
          <w:ilvl w:val="0"/>
          <w:numId w:val="6"/>
        </w:numPr>
      </w:pPr>
      <w:r w:rsidRPr="005F229B">
        <w:rPr>
          <w:rFonts w:ascii="Liberation Serif" w:eastAsia="Tahoma" w:hAnsi="Liberation Serif" w:cs="Tahoma"/>
          <w:sz w:val="20"/>
          <w:lang w:bidi="en-US"/>
        </w:rPr>
        <w:t xml:space="preserve"> (Fitting details: there were minor problems fitting some variants)</w:t>
      </w:r>
    </w:p>
    <w:p w14:paraId="36198B6E" w14:textId="3FC1A42A" w:rsidR="00DC7937" w:rsidRPr="005F229B" w:rsidRDefault="00DC7937" w:rsidP="005F229B">
      <w:pPr>
        <w:pStyle w:val="ListParagraph"/>
        <w:numPr>
          <w:ilvl w:val="0"/>
          <w:numId w:val="6"/>
        </w:numPr>
      </w:pPr>
      <w:r w:rsidRPr="005F229B">
        <w:rPr>
          <w:rFonts w:ascii="Liberation Serif" w:eastAsia="Tahoma" w:hAnsi="Liberation Serif" w:cs="Tahoma"/>
          <w:sz w:val="20"/>
          <w:lang w:bidi="en-US"/>
        </w:rPr>
        <w:t xml:space="preserve"> Results on switch level (mean BIC per switch level, average across all variants with particular switch level)</w:t>
      </w:r>
    </w:p>
    <w:p w14:paraId="3DB54CC2" w14:textId="77777777" w:rsidR="00DC7937" w:rsidRPr="005F229B" w:rsidRDefault="00DC7937" w:rsidP="005F229B">
      <w:pPr>
        <w:pStyle w:val="ListParagraph"/>
        <w:numPr>
          <w:ilvl w:val="0"/>
          <w:numId w:val="6"/>
        </w:numPr>
      </w:pPr>
      <w:r>
        <w:rPr>
          <w:rFonts w:ascii="Liberation Serif" w:eastAsia="Tahoma" w:hAnsi="Liberation Serif" w:cs="Tahoma"/>
          <w:sz w:val="20"/>
          <w:lang w:bidi="en-US"/>
        </w:rPr>
        <w:t xml:space="preserve"> Results on variant level</w:t>
      </w:r>
    </w:p>
    <w:p w14:paraId="097BB91C" w14:textId="77777777" w:rsidR="00DC7937" w:rsidRPr="005F229B" w:rsidRDefault="00DC7937" w:rsidP="005F229B">
      <w:pPr>
        <w:pStyle w:val="ListParagraph"/>
        <w:numPr>
          <w:ilvl w:val="1"/>
          <w:numId w:val="6"/>
        </w:numPr>
      </w:pPr>
      <w:r w:rsidRPr="005F229B">
        <w:rPr>
          <w:rFonts w:ascii="Liberation Serif" w:eastAsia="Tahoma" w:hAnsi="Liberation Serif" w:cs="Tahoma"/>
          <w:sz w:val="20"/>
          <w:lang w:bidi="en-US"/>
        </w:rPr>
        <w:t xml:space="preserve"> best variants by mean BIC</w:t>
      </w:r>
    </w:p>
    <w:p w14:paraId="02BADD87" w14:textId="18D606DD" w:rsidR="00DC7937" w:rsidRDefault="00DC7937" w:rsidP="005F229B">
      <w:pPr>
        <w:pStyle w:val="ListParagraph"/>
        <w:numPr>
          <w:ilvl w:val="1"/>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best variants by N participants best described</w:t>
      </w:r>
    </w:p>
    <w:p w14:paraId="4B6AD084" w14:textId="5BCE25F4" w:rsidR="00DC7937" w:rsidRDefault="00DC7937">
      <w:pPr>
        <w:pStyle w:val="CommentText"/>
      </w:pPr>
    </w:p>
  </w:comment>
  <w:comment w:id="71" w:author="Felix Molter" w:date="2020-12-29T21:33:00Z" w:initials="FM">
    <w:p w14:paraId="67938043" w14:textId="77777777" w:rsidR="00DC7937" w:rsidRDefault="00DC7937">
      <w:r>
        <w:rPr>
          <w:rFonts w:ascii="Cambria" w:eastAsia="Tahoma" w:hAnsi="Cambria" w:cs="Tahoma"/>
          <w:sz w:val="20"/>
          <w:lang w:bidi="en-US"/>
        </w:rPr>
        <w:t>SAH: Again, this seems redundant with what was discussed a few paragraphs before. I had trouble identifying what's new here.</w:t>
      </w:r>
    </w:p>
  </w:comment>
  <w:comment w:id="72" w:author="Felix Molter" w:date="2021-01-05T15:59:00Z" w:initials="FM">
    <w:p w14:paraId="04D12078" w14:textId="77777777" w:rsidR="00DC7937" w:rsidRDefault="00DC7937" w:rsidP="00D63D4A">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above and discussion document Q3.3</w:t>
      </w:r>
    </w:p>
    <w:p w14:paraId="3051CB44" w14:textId="77777777" w:rsidR="00DC7937" w:rsidRDefault="00DC7937" w:rsidP="00D63D4A">
      <w:pPr>
        <w:rPr>
          <w:rFonts w:ascii="Liberation Serif" w:eastAsia="Tahoma" w:hAnsi="Liberation Serif" w:cs="Tahoma"/>
          <w:sz w:val="20"/>
          <w:lang w:bidi="en-US"/>
        </w:rPr>
      </w:pPr>
      <w:r>
        <w:rPr>
          <w:rFonts w:ascii="Liberation Serif" w:eastAsia="Tahoma" w:hAnsi="Liberation Serif" w:cs="Tahoma"/>
          <w:sz w:val="20"/>
          <w:lang w:bidi="en-US"/>
        </w:rPr>
        <w:t xml:space="preserve">I report two types of analyses of the switchboard models: </w:t>
      </w:r>
    </w:p>
    <w:p w14:paraId="6D62B94E" w14:textId="04FB1D5A" w:rsidR="00DC7937" w:rsidRPr="00D63D4A" w:rsidRDefault="00DC793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Which switches work well?</w:t>
      </w:r>
    </w:p>
    <w:p w14:paraId="45372C12" w14:textId="19EA2429" w:rsidR="00DC7937" w:rsidRPr="00D63D4A" w:rsidRDefault="00DC793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 xml:space="preserve">Which </w:t>
      </w:r>
      <w:r w:rsidRPr="00D63D4A">
        <w:rPr>
          <w:rFonts w:ascii="Liberation Serif" w:eastAsia="Tahoma" w:hAnsi="Liberation Serif" w:cs="Tahoma"/>
          <w:i/>
          <w:sz w:val="20"/>
          <w:lang w:bidi="en-US"/>
        </w:rPr>
        <w:t>combinations of switches</w:t>
      </w:r>
      <w:r w:rsidRPr="00D63D4A">
        <w:rPr>
          <w:rFonts w:ascii="Liberation Serif" w:eastAsia="Tahoma" w:hAnsi="Liberation Serif" w:cs="Tahoma"/>
          <w:sz w:val="20"/>
          <w:lang w:bidi="en-US"/>
        </w:rPr>
        <w:t xml:space="preserve"> (variants) work well?</w:t>
      </w:r>
    </w:p>
    <w:p w14:paraId="70A28321" w14:textId="77777777" w:rsidR="00DC7937" w:rsidRDefault="00DC7937" w:rsidP="00D63D4A"/>
    <w:p w14:paraId="0EF2FFF1" w14:textId="6C719330" w:rsidR="00DC7937" w:rsidRDefault="00DC7937" w:rsidP="00844F79">
      <w:r>
        <w:rPr>
          <w:rFonts w:ascii="Liberation Serif" w:eastAsia="Tahoma" w:hAnsi="Liberation Serif" w:cs="Tahoma"/>
          <w:b/>
          <w:sz w:val="20"/>
          <w:lang w:bidi="en-US"/>
        </w:rPr>
        <w:t xml:space="preserve">Q: </w:t>
      </w:r>
      <w:r w:rsidRPr="00D63D4A">
        <w:rPr>
          <w:rFonts w:ascii="Liberation Serif" w:eastAsia="Tahoma" w:hAnsi="Liberation Serif" w:cs="Tahoma"/>
          <w:sz w:val="20"/>
          <w:lang w:bidi="en-US"/>
        </w:rPr>
        <w:t xml:space="preserve">Do I have to be more explicit about these </w:t>
      </w:r>
      <w:r>
        <w:rPr>
          <w:rFonts w:ascii="Liberation Serif" w:eastAsia="Tahoma" w:hAnsi="Liberation Serif" w:cs="Tahoma"/>
          <w:sz w:val="20"/>
          <w:lang w:bidi="en-US"/>
        </w:rPr>
        <w:t xml:space="preserve">complementary </w:t>
      </w:r>
      <w:r w:rsidRPr="00D63D4A">
        <w:rPr>
          <w:rFonts w:ascii="Liberation Serif" w:eastAsia="Tahoma" w:hAnsi="Liberation Serif" w:cs="Tahoma"/>
          <w:sz w:val="20"/>
          <w:lang w:bidi="en-US"/>
        </w:rPr>
        <w:t xml:space="preserve">approaches? </w:t>
      </w:r>
      <w:r>
        <w:rPr>
          <w:rFonts w:ascii="Liberation Serif" w:eastAsia="Tahoma" w:hAnsi="Liberation Serif" w:cs="Tahoma"/>
          <w:sz w:val="20"/>
          <w:lang w:bidi="en-US"/>
        </w:rPr>
        <w:t xml:space="preserve">I find them </w:t>
      </w:r>
      <w:r w:rsidRPr="00D63D4A">
        <w:rPr>
          <w:rFonts w:ascii="Liberation Serif" w:eastAsia="Tahoma" w:hAnsi="Liberation Serif" w:cs="Tahoma"/>
          <w:sz w:val="20"/>
          <w:lang w:bidi="en-US"/>
        </w:rPr>
        <w:t>both valuable.</w:t>
      </w:r>
    </w:p>
  </w:comment>
  <w:comment w:id="76" w:author="Felix Molter" w:date="2020-12-16T19:43:00Z" w:initials="FM">
    <w:p w14:paraId="7B039029" w14:textId="77777777" w:rsidR="00DC7937" w:rsidRDefault="00DC7937">
      <w:r>
        <w:rPr>
          <w:rFonts w:ascii="Cambria" w:eastAsia="Cambria" w:hAnsi="Cambria" w:cs="Tahoma"/>
          <w:sz w:val="20"/>
          <w:lang w:bidi="en-US"/>
        </w:rPr>
        <w:t>SAH: This seems really important. You need to be as clear as possible about why this model isn't just getting the intersubject effects correct but also the raw RST correct.</w:t>
      </w:r>
    </w:p>
  </w:comment>
  <w:comment w:id="77" w:author="Felix Molter" w:date="2020-12-29T21:30:00Z" w:initials="FM">
    <w:p w14:paraId="52BE62BD" w14:textId="77777777" w:rsidR="00DC7937" w:rsidRDefault="00DC7937">
      <w:r>
        <w:rPr>
          <w:rFonts w:ascii="Cambria" w:eastAsia="Tahoma" w:hAnsi="Cambria" w:cs="Tahoma"/>
          <w:i/>
          <w:sz w:val="16"/>
          <w:lang w:bidi="en-US"/>
        </w:rPr>
        <w:t>Reply to Felix Molter (16/12/2020, 19:43): "..."</w:t>
      </w:r>
    </w:p>
    <w:p w14:paraId="6CDED196" w14:textId="77777777" w:rsidR="00DC7937" w:rsidRDefault="00DC7937">
      <w:r>
        <w:rPr>
          <w:rFonts w:ascii="Liberation Serif" w:eastAsia="Tahoma" w:hAnsi="Liberation Serif" w:cs="Tahoma"/>
          <w:b/>
          <w:sz w:val="20"/>
          <w:lang w:bidi="en-US"/>
        </w:rPr>
        <w:t>Question: Again, I think this is an important point that might need additional discussion between us, additional analyses, and / or figures.</w:t>
      </w:r>
    </w:p>
  </w:comment>
  <w:comment w:id="75" w:author="Felix Molter" w:date="2021-01-18T16:11:00Z" w:initials="FM">
    <w:p w14:paraId="11373A10" w14:textId="1F2949BB" w:rsidR="00DC7937" w:rsidRPr="00A41DBB" w:rsidRDefault="00DC7937">
      <w:pPr>
        <w:pStyle w:val="CommentText"/>
      </w:pPr>
      <w:r>
        <w:rPr>
          <w:rStyle w:val="CommentReference"/>
        </w:rPr>
        <w:annotationRef/>
      </w:r>
      <w:r>
        <w:t xml:space="preserve">TODO: Rewrite this. General theme “Hybrid model details”. </w:t>
      </w:r>
      <w:r w:rsidRPr="00A41DBB">
        <w:rPr>
          <w:b/>
        </w:rPr>
        <w:t>(</w:t>
      </w:r>
      <w:r>
        <w:rPr>
          <w:b/>
        </w:rPr>
        <w:t>a, b)</w:t>
      </w:r>
      <w:r>
        <w:t xml:space="preserve"> Number of participants best described by the hybrid (pink) and other (gray) variants, dependent on context effect strength in attraction (a) and compromise (b) trials. The hybrid variant performed best particularly for participants with strong attraction effects. </w:t>
      </w:r>
      <w:r>
        <w:rPr>
          <w:b/>
        </w:rPr>
        <w:t>(c, d)</w:t>
      </w:r>
      <w:r>
        <w:t xml:space="preserve"> observed vs model predicted context effect strengths for attraction </w:t>
      </w:r>
      <w:r>
        <w:rPr>
          <w:b/>
        </w:rPr>
        <w:t>(c</w:t>
      </w:r>
      <w:r>
        <w:t>)</w:t>
      </w:r>
      <w:r>
        <w:rPr>
          <w:b/>
        </w:rPr>
        <w:t xml:space="preserve"> </w:t>
      </w:r>
      <w:r>
        <w:t xml:space="preserve">and compromise trials </w:t>
      </w:r>
      <w:r>
        <w:rPr>
          <w:b/>
        </w:rPr>
        <w:t>(d)</w:t>
      </w:r>
      <w:r>
        <w:t xml:space="preserve">. The hybrid model captured individual differences in the attraction effect very well, especially by correctly predicting strong attraction effects for some participants. </w:t>
      </w:r>
      <w:r>
        <w:rPr>
          <w:b/>
        </w:rPr>
        <w:t>(e, f)</w:t>
      </w:r>
      <w:r>
        <w:t xml:space="preserve"> observed and model-predicted probability of choosing the target alternative, depending on the targets relative dwell advantage. The hybrid model generally captured the positive association between gaze and choice, as the other gaze-dependent models (Figure 3). In contrast to the GLA, however, it was able to predict a higher probability of target choices in attraction trials </w:t>
      </w:r>
      <w:r>
        <w:rPr>
          <w:b/>
        </w:rPr>
        <w:t>(e)</w:t>
      </w:r>
      <w:r>
        <w:t>. In compromise trials, however, the two models’ predictions align. Bars show observed data from even-numbered trials. Model predictions are based on 50 repetitions for each odd-numbered trial.</w:t>
      </w:r>
    </w:p>
  </w:comment>
  <w:comment w:id="80" w:author="Felix Molter" w:date="2021-01-19T17:05:00Z" w:initials="FM">
    <w:p w14:paraId="43B4EBB5" w14:textId="2D2B7739" w:rsidR="00C32187" w:rsidRDefault="00C32187">
      <w:pPr>
        <w:pStyle w:val="CommentText"/>
      </w:pPr>
      <w:r>
        <w:rPr>
          <w:rStyle w:val="CommentReference"/>
        </w:rPr>
        <w:annotationRef/>
      </w:r>
      <w:r>
        <w:t>And the gaze choice association</w:t>
      </w:r>
    </w:p>
  </w:comment>
  <w:comment w:id="81" w:author="Felix Molter" w:date="2020-12-16T19:45:00Z" w:initials="FM">
    <w:p w14:paraId="3B1B5B08" w14:textId="77777777" w:rsidR="00DC7937" w:rsidRDefault="00DC7937">
      <w:r>
        <w:rPr>
          <w:rFonts w:ascii="Cambria" w:eastAsia="Cambria" w:hAnsi="Cambria" w:cs="Tahoma"/>
          <w:sz w:val="20"/>
          <w:lang w:bidi="en-US"/>
        </w:rPr>
        <w:t>SAH: More is needed about why these models do so well!</w:t>
      </w:r>
    </w:p>
  </w:comment>
  <w:comment w:id="82" w:author="Felix Molter" w:date="2020-12-29T21:31:00Z" w:initials="FM">
    <w:p w14:paraId="23801F58" w14:textId="77777777" w:rsidR="00DC7937" w:rsidRDefault="00DC7937">
      <w:r>
        <w:rPr>
          <w:rFonts w:ascii="Cambria" w:eastAsia="Tahoma" w:hAnsi="Cambria" w:cs="Tahoma"/>
          <w:i/>
          <w:sz w:val="16"/>
          <w:lang w:bidi="en-US"/>
        </w:rPr>
        <w:t>Reply to Felix Molter (16/12/2020, 19:45): "..."</w:t>
      </w:r>
    </w:p>
    <w:p w14:paraId="053F39DB" w14:textId="77777777" w:rsidR="00DC7937" w:rsidRDefault="00DC7937">
      <w:r>
        <w:rPr>
          <w:rFonts w:ascii="Liberation Serif" w:eastAsia="Tahoma" w:hAnsi="Liberation Serif" w:cs="Tahoma"/>
          <w:b/>
          <w:sz w:val="20"/>
          <w:lang w:bidi="en-US"/>
        </w:rPr>
        <w:t>See above: What can be added here? What else can I do?</w:t>
      </w:r>
    </w:p>
  </w:comment>
  <w:comment w:id="94" w:author="Felix Molter" w:date="2020-12-16T19:50:00Z" w:initials="FM">
    <w:p w14:paraId="659B3397" w14:textId="77777777" w:rsidR="00DC7937" w:rsidRDefault="00DC7937">
      <w:r>
        <w:rPr>
          <w:rFonts w:ascii="Cambria" w:eastAsia="Cambria" w:hAnsi="Cambria" w:cs="Tahoma"/>
          <w:sz w:val="20"/>
          <w:lang w:bidi="en-US"/>
        </w:rPr>
        <w:t xml:space="preserve">SAH: This paragraph seems like it should be expanded; i.e., adding more on how process data can be useful. </w:t>
      </w:r>
    </w:p>
  </w:comment>
  <w:comment w:id="95" w:author="Felix Molter" w:date="2021-01-05T17:38:00Z" w:initials="FM">
    <w:p w14:paraId="6838C7A2" w14:textId="5D47EE83" w:rsidR="00DC7937" w:rsidRPr="00846B5B" w:rsidRDefault="00DC7937">
      <w:pPr>
        <w:pStyle w:val="CommentText"/>
        <w:rPr>
          <w:sz w:val="16"/>
          <w:szCs w:val="16"/>
        </w:rPr>
      </w:pPr>
      <w:r>
        <w:rPr>
          <w:rStyle w:val="CommentReference"/>
        </w:rPr>
        <w:annotationRef/>
      </w:r>
      <w:r>
        <w:rPr>
          <w:rStyle w:val="CommentReference"/>
        </w:rPr>
        <w:t>I agree, especially if we decide to include the model predictions regarding dwell time advantage and choice into the paper. Here, we found that only the gaze-dependent models could accurately capture this positive relationship, whereas others (MDFT, EU) – by design- fail to do so.</w:t>
      </w:r>
    </w:p>
  </w:comment>
  <w:comment w:id="194" w:author="Felix Molter" w:date="2021-01-15T14:39:00Z" w:initials="FM">
    <w:p w14:paraId="53218606" w14:textId="6E451093" w:rsidR="00DC7937" w:rsidRDefault="00DC7937">
      <w:pPr>
        <w:pStyle w:val="CommentText"/>
      </w:pPr>
      <w:r>
        <w:rPr>
          <w:rStyle w:val="CommentReference"/>
        </w:rPr>
        <w:annotationRef/>
      </w:r>
      <w:r>
        <w:t>Todo: Refer to this in the text.</w:t>
      </w:r>
    </w:p>
  </w:comment>
  <w:comment w:id="222" w:author="Felix Molter" w:date="2021-01-18T21:42:00Z" w:initials="FM">
    <w:p w14:paraId="5F4DD6CB" w14:textId="6C825676" w:rsidR="00DC7937" w:rsidRDefault="00DC7937">
      <w:pPr>
        <w:pStyle w:val="CommentText"/>
      </w:pPr>
      <w:r>
        <w:rPr>
          <w:rStyle w:val="CommentReference"/>
        </w:rPr>
        <w:annotationRef/>
      </w:r>
      <w:r>
        <w:t>Todo: Make this the right number, and refer to it in the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1A332" w15:done="0"/>
  <w15:commentEx w15:paraId="2CD79606" w15:paraIdParent="70F1A332" w15:done="0"/>
  <w15:commentEx w15:paraId="2E26E831" w15:done="0"/>
  <w15:commentEx w15:paraId="7F843F44" w15:done="0"/>
  <w15:commentEx w15:paraId="3F66EA7F" w15:done="0"/>
  <w15:commentEx w15:paraId="13FB3941" w15:done="0"/>
  <w15:commentEx w15:paraId="11716103" w15:paraIdParent="13FB3941" w15:done="0"/>
  <w15:commentEx w15:paraId="76C77ABC" w15:done="0"/>
  <w15:commentEx w15:paraId="70B751FB" w15:done="0"/>
  <w15:commentEx w15:paraId="60484C27" w15:done="0"/>
  <w15:commentEx w15:paraId="081F3406" w15:paraIdParent="60484C27" w15:done="0"/>
  <w15:commentEx w15:paraId="62599AD5" w15:done="0"/>
  <w15:commentEx w15:paraId="4B6AD084" w15:paraIdParent="62599AD5" w15:done="0"/>
  <w15:commentEx w15:paraId="67938043" w15:done="0"/>
  <w15:commentEx w15:paraId="0EF2FFF1" w15:paraIdParent="67938043" w15:done="0"/>
  <w15:commentEx w15:paraId="7B039029" w15:done="0"/>
  <w15:commentEx w15:paraId="6CDED196" w15:done="0"/>
  <w15:commentEx w15:paraId="11373A10" w15:done="0"/>
  <w15:commentEx w15:paraId="43B4EBB5" w15:done="0"/>
  <w15:commentEx w15:paraId="3B1B5B08" w15:done="0"/>
  <w15:commentEx w15:paraId="053F39DB" w15:done="0"/>
  <w15:commentEx w15:paraId="659B3397" w15:done="0"/>
  <w15:commentEx w15:paraId="6838C7A2" w15:paraIdParent="659B3397" w15:done="0"/>
  <w15:commentEx w15:paraId="53218606" w15:done="0"/>
  <w15:commentEx w15:paraId="5F4DD6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1A332" w16cid:durableId="239E0FEA"/>
  <w16cid:commentId w16cid:paraId="2CD79606" w16cid:durableId="239F15C9"/>
  <w16cid:commentId w16cid:paraId="2E26E831" w16cid:durableId="239E0FEB"/>
  <w16cid:commentId w16cid:paraId="7F843F44" w16cid:durableId="239E0FF4"/>
  <w16cid:commentId w16cid:paraId="3F66EA7F" w16cid:durableId="23B162C6"/>
  <w16cid:commentId w16cid:paraId="13FB3941" w16cid:durableId="239E0FFF"/>
  <w16cid:commentId w16cid:paraId="11716103" w16cid:durableId="239F074C"/>
  <w16cid:commentId w16cid:paraId="76C77ABC" w16cid:durableId="23AD700C"/>
  <w16cid:commentId w16cid:paraId="70B751FB" w16cid:durableId="239E1000"/>
  <w16cid:commentId w16cid:paraId="60484C27" w16cid:durableId="239E1003"/>
  <w16cid:commentId w16cid:paraId="081F3406" w16cid:durableId="239F09C7"/>
  <w16cid:commentId w16cid:paraId="62599AD5" w16cid:durableId="239E1009"/>
  <w16cid:commentId w16cid:paraId="4B6AD084" w16cid:durableId="239F0A5D"/>
  <w16cid:commentId w16cid:paraId="67938043" w16cid:durableId="239E100A"/>
  <w16cid:commentId w16cid:paraId="0EF2FFF1" w16cid:durableId="239F0B60"/>
  <w16cid:commentId w16cid:paraId="7B039029" w16cid:durableId="239E100B"/>
  <w16cid:commentId w16cid:paraId="11373A10" w16cid:durableId="23B0319E"/>
  <w16cid:commentId w16cid:paraId="43B4EBB5" w16cid:durableId="23B18FE4"/>
  <w16cid:commentId w16cid:paraId="3B1B5B08" w16cid:durableId="239E100C"/>
  <w16cid:commentId w16cid:paraId="659B3397" w16cid:durableId="239E100D"/>
  <w16cid:commentId w16cid:paraId="6838C7A2" w16cid:durableId="239F227D"/>
  <w16cid:commentId w16cid:paraId="53218606" w16cid:durableId="23AC27A5"/>
  <w16cid:commentId w16cid:paraId="5F4DD6CB" w16cid:durableId="23B07F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7E0C0" w14:textId="77777777" w:rsidR="006B420C" w:rsidRDefault="006B420C">
      <w:pPr>
        <w:spacing w:after="0"/>
      </w:pPr>
      <w:r>
        <w:separator/>
      </w:r>
    </w:p>
  </w:endnote>
  <w:endnote w:type="continuationSeparator" w:id="0">
    <w:p w14:paraId="3039C7A7" w14:textId="77777777" w:rsidR="006B420C" w:rsidRDefault="006B42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D2AF7" w14:textId="77777777" w:rsidR="006B420C" w:rsidRDefault="006B420C">
      <w:pPr>
        <w:spacing w:after="0"/>
      </w:pPr>
      <w:r>
        <w:separator/>
      </w:r>
    </w:p>
  </w:footnote>
  <w:footnote w:type="continuationSeparator" w:id="0">
    <w:p w14:paraId="011C5B85" w14:textId="77777777" w:rsidR="006B420C" w:rsidRDefault="006B420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77777777" w:rsidR="00DC7937" w:rsidRDefault="00DC7937">
    <w:pPr>
      <w:pStyle w:val="Header"/>
    </w:pPr>
    <w:r>
      <w:t>GAZE-DEPENDENT ACCUMULATION IN RISKY CHOICE</w:t>
    </w:r>
    <w:r>
      <w:tab/>
    </w:r>
    <w:r>
      <w:fldChar w:fldCharType="begin"/>
    </w:r>
    <w:r>
      <w:instrText>PAGE</w:instrText>
    </w:r>
    <w:r>
      <w:fldChar w:fldCharType="separate"/>
    </w:r>
    <w: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8"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0"/>
  </w:num>
  <w:num w:numId="8">
    <w:abstractNumId w:val="5"/>
  </w:num>
  <w:num w:numId="9">
    <w:abstractNumId w:val="10"/>
  </w:num>
  <w:num w:numId="10">
    <w:abstractNumId w:val="9"/>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6BF1"/>
    <w:rsid w:val="00000539"/>
    <w:rsid w:val="00015E31"/>
    <w:rsid w:val="00030907"/>
    <w:rsid w:val="00031274"/>
    <w:rsid w:val="000368AD"/>
    <w:rsid w:val="00040010"/>
    <w:rsid w:val="00042DE0"/>
    <w:rsid w:val="000432E4"/>
    <w:rsid w:val="000706B1"/>
    <w:rsid w:val="00076D21"/>
    <w:rsid w:val="00093637"/>
    <w:rsid w:val="000A751A"/>
    <w:rsid w:val="000C5B01"/>
    <w:rsid w:val="000C6490"/>
    <w:rsid w:val="000C64DF"/>
    <w:rsid w:val="000F4DED"/>
    <w:rsid w:val="00112112"/>
    <w:rsid w:val="001205B6"/>
    <w:rsid w:val="00131E45"/>
    <w:rsid w:val="00134A05"/>
    <w:rsid w:val="001423C1"/>
    <w:rsid w:val="0014478C"/>
    <w:rsid w:val="00157F80"/>
    <w:rsid w:val="0016431B"/>
    <w:rsid w:val="00165FFF"/>
    <w:rsid w:val="00166849"/>
    <w:rsid w:val="00190EF1"/>
    <w:rsid w:val="001A2142"/>
    <w:rsid w:val="001A4723"/>
    <w:rsid w:val="001E1D41"/>
    <w:rsid w:val="00237D1F"/>
    <w:rsid w:val="0024469B"/>
    <w:rsid w:val="002536F5"/>
    <w:rsid w:val="00257877"/>
    <w:rsid w:val="002716B1"/>
    <w:rsid w:val="002D5A74"/>
    <w:rsid w:val="002E3A5E"/>
    <w:rsid w:val="002F2160"/>
    <w:rsid w:val="002F2AED"/>
    <w:rsid w:val="002F5CF7"/>
    <w:rsid w:val="002F6535"/>
    <w:rsid w:val="00301204"/>
    <w:rsid w:val="00305B64"/>
    <w:rsid w:val="003220BF"/>
    <w:rsid w:val="00326A4E"/>
    <w:rsid w:val="00335A1E"/>
    <w:rsid w:val="0034265E"/>
    <w:rsid w:val="003466E0"/>
    <w:rsid w:val="00346AF1"/>
    <w:rsid w:val="00350720"/>
    <w:rsid w:val="003608FC"/>
    <w:rsid w:val="00365435"/>
    <w:rsid w:val="0036751B"/>
    <w:rsid w:val="00367EA8"/>
    <w:rsid w:val="00392218"/>
    <w:rsid w:val="003B5F4E"/>
    <w:rsid w:val="003C6397"/>
    <w:rsid w:val="003F44DB"/>
    <w:rsid w:val="00442557"/>
    <w:rsid w:val="004627E1"/>
    <w:rsid w:val="00470576"/>
    <w:rsid w:val="00473495"/>
    <w:rsid w:val="004C530A"/>
    <w:rsid w:val="004D2483"/>
    <w:rsid w:val="004E07AF"/>
    <w:rsid w:val="004E0E9F"/>
    <w:rsid w:val="005079F6"/>
    <w:rsid w:val="00524ECE"/>
    <w:rsid w:val="005355CA"/>
    <w:rsid w:val="00542F2C"/>
    <w:rsid w:val="005644D3"/>
    <w:rsid w:val="00572D82"/>
    <w:rsid w:val="005C04A1"/>
    <w:rsid w:val="005F229B"/>
    <w:rsid w:val="00603604"/>
    <w:rsid w:val="006151ED"/>
    <w:rsid w:val="00620A14"/>
    <w:rsid w:val="00631E62"/>
    <w:rsid w:val="00651E9B"/>
    <w:rsid w:val="006B420C"/>
    <w:rsid w:val="006B68BA"/>
    <w:rsid w:val="006D1133"/>
    <w:rsid w:val="0070133B"/>
    <w:rsid w:val="00735E2F"/>
    <w:rsid w:val="00752614"/>
    <w:rsid w:val="00774FF0"/>
    <w:rsid w:val="007821E2"/>
    <w:rsid w:val="007E4677"/>
    <w:rsid w:val="007E47CD"/>
    <w:rsid w:val="007E6C30"/>
    <w:rsid w:val="008064C6"/>
    <w:rsid w:val="008177C7"/>
    <w:rsid w:val="00844F79"/>
    <w:rsid w:val="00846B5B"/>
    <w:rsid w:val="008A247A"/>
    <w:rsid w:val="008D72FC"/>
    <w:rsid w:val="0093259A"/>
    <w:rsid w:val="0097331E"/>
    <w:rsid w:val="00973E0C"/>
    <w:rsid w:val="00992C87"/>
    <w:rsid w:val="00993C85"/>
    <w:rsid w:val="009D6D05"/>
    <w:rsid w:val="00A41DBB"/>
    <w:rsid w:val="00A55B18"/>
    <w:rsid w:val="00A55C15"/>
    <w:rsid w:val="00A7295B"/>
    <w:rsid w:val="00AD110F"/>
    <w:rsid w:val="00AE23AB"/>
    <w:rsid w:val="00B01351"/>
    <w:rsid w:val="00B20E49"/>
    <w:rsid w:val="00B20F7C"/>
    <w:rsid w:val="00B27185"/>
    <w:rsid w:val="00B37F55"/>
    <w:rsid w:val="00B76BF1"/>
    <w:rsid w:val="00BA0C40"/>
    <w:rsid w:val="00BC3508"/>
    <w:rsid w:val="00BE2A9E"/>
    <w:rsid w:val="00BF4A14"/>
    <w:rsid w:val="00C32187"/>
    <w:rsid w:val="00C418A2"/>
    <w:rsid w:val="00C53A58"/>
    <w:rsid w:val="00C67BA0"/>
    <w:rsid w:val="00C87923"/>
    <w:rsid w:val="00C92133"/>
    <w:rsid w:val="00CA4B9A"/>
    <w:rsid w:val="00CC695C"/>
    <w:rsid w:val="00CD0985"/>
    <w:rsid w:val="00CD7D93"/>
    <w:rsid w:val="00D03773"/>
    <w:rsid w:val="00D26AF4"/>
    <w:rsid w:val="00D50B5F"/>
    <w:rsid w:val="00D63D4A"/>
    <w:rsid w:val="00D72BEE"/>
    <w:rsid w:val="00D85654"/>
    <w:rsid w:val="00D96B12"/>
    <w:rsid w:val="00DC7937"/>
    <w:rsid w:val="00DD564F"/>
    <w:rsid w:val="00DF37FE"/>
    <w:rsid w:val="00E23CBA"/>
    <w:rsid w:val="00E53719"/>
    <w:rsid w:val="00E5599D"/>
    <w:rsid w:val="00E606A8"/>
    <w:rsid w:val="00E66AAF"/>
    <w:rsid w:val="00E978AD"/>
    <w:rsid w:val="00EC5D32"/>
    <w:rsid w:val="00ED1EE9"/>
    <w:rsid w:val="00EE1FBE"/>
    <w:rsid w:val="00EF31EF"/>
    <w:rsid w:val="00EF364F"/>
    <w:rsid w:val="00EF366C"/>
    <w:rsid w:val="00F07F4C"/>
    <w:rsid w:val="00F24393"/>
    <w:rsid w:val="00F82B2B"/>
    <w:rsid w:val="00FD07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3389/fpsyg.2012.00335" TargetMode="External"/><Relationship Id="rId26" Type="http://schemas.openxmlformats.org/officeDocument/2006/relationships/hyperlink" Target="https://doi.org/10.3758/s13423-016-1032-7" TargetMode="External"/><Relationship Id="rId39" Type="http://schemas.openxmlformats.org/officeDocument/2006/relationships/hyperlink" Target="https://doi.org/10.1038/s41592-019-0686-2" TargetMode="External"/><Relationship Id="rId21" Type="http://schemas.openxmlformats.org/officeDocument/2006/relationships/hyperlink" Target="https://doi.org/10.1038/s41586-020-2649-2" TargetMode="External"/><Relationship Id="rId34" Type="http://schemas.openxmlformats.org/officeDocument/2006/relationships/hyperlink" Target="https://doi.org/10.3758/BF03213243" TargetMode="External"/><Relationship Id="rId42" Type="http://schemas.openxmlformats.org/officeDocument/2006/relationships/hyperlink" Target="https://doi.org/10.31219/osf.io/rv7sn" TargetMode="External"/><Relationship Id="rId47" Type="http://schemas.openxmlformats.org/officeDocument/2006/relationships/image" Target="media/image12.png"/><Relationship Id="rId50"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jcps.2011.10.002" TargetMode="External"/><Relationship Id="rId11" Type="http://schemas.openxmlformats.org/officeDocument/2006/relationships/image" Target="media/image1.emf"/><Relationship Id="rId24" Type="http://schemas.openxmlformats.org/officeDocument/2006/relationships/hyperlink" Target="https://doi.org/10.1037/0033-295X.115.1.263" TargetMode="External"/><Relationship Id="rId32" Type="http://schemas.openxmlformats.org/officeDocument/2006/relationships/hyperlink" Target="https://doi.org/10.1016/0030-5073(76)90022-2" TargetMode="External"/><Relationship Id="rId37" Type="http://schemas.openxmlformats.org/officeDocument/2006/relationships/hyperlink" Target="https://doi.org/10.1002/bdm.1854" TargetMode="External"/><Relationship Id="rId40" Type="http://schemas.openxmlformats.org/officeDocument/2006/relationships/hyperlink" Target="https://doi.org/10.1037/0278-7393.17.4.767" TargetMode="External"/><Relationship Id="rId45" Type="http://schemas.openxmlformats.org/officeDocument/2006/relationships/image" Target="media/image10.emf"/><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bdm.684" TargetMode="External"/><Relationship Id="rId31" Type="http://schemas.openxmlformats.org/officeDocument/2006/relationships/hyperlink" Target="https://doi.org/10.1016/j.cognition.2014.03.006" TargetMode="External"/><Relationship Id="rId44" Type="http://schemas.openxmlformats.org/officeDocument/2006/relationships/image" Target="media/image9.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doi.org/10.1109/MCSE.2007.55" TargetMode="External"/><Relationship Id="rId27" Type="http://schemas.openxmlformats.org/officeDocument/2006/relationships/hyperlink" Target="https://doi.org/10.1002/bdm.2219" TargetMode="External"/><Relationship Id="rId30" Type="http://schemas.openxmlformats.org/officeDocument/2006/relationships/hyperlink" Target="https://doi.org/10.1037/dec0000049" TargetMode="External"/><Relationship Id="rId35" Type="http://schemas.openxmlformats.org/officeDocument/2006/relationships/hyperlink" Target="https://doi.org/10.1037/0278-7393.9.4.676" TargetMode="External"/><Relationship Id="rId43" Type="http://schemas.openxmlformats.org/officeDocument/2006/relationships/image" Target="media/image8.png"/><Relationship Id="rId48"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https://doi.org/10.2307/1914185" TargetMode="External"/><Relationship Id="rId33" Type="http://schemas.openxmlformats.org/officeDocument/2006/relationships/hyperlink" Target="https://doi.org/10.3758/BF03198244" TargetMode="External"/><Relationship Id="rId38" Type="http://schemas.openxmlformats.org/officeDocument/2006/relationships/hyperlink" Target="https://doi.org/10.1037/a0032861" TargetMode="External"/><Relationship Id="rId46" Type="http://schemas.openxmlformats.org/officeDocument/2006/relationships/image" Target="media/image11.emf"/><Relationship Id="rId20" Type="http://schemas.openxmlformats.org/officeDocument/2006/relationships/hyperlink" Target="https://doi.org/10.1016/j.cognition.2018.10.012" TargetMode="External"/><Relationship Id="rId41" Type="http://schemas.openxmlformats.org/officeDocument/2006/relationships/hyperlink" Target="http://arxiv.org/abs/1702.01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371/journal.pone.0071698" TargetMode="External"/><Relationship Id="rId28" Type="http://schemas.openxmlformats.org/officeDocument/2006/relationships/hyperlink" Target="https://doi.org/10.25080/Majora-92bf1922-00a" TargetMode="External"/><Relationship Id="rId36" Type="http://schemas.openxmlformats.org/officeDocument/2006/relationships/hyperlink" Target="https://doi.org/10.7717/peerj-cs.55"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4D727-993E-0346-A128-89741344A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61</Pages>
  <Words>17015</Words>
  <Characters>100219</Characters>
  <Application>Microsoft Office Word</Application>
  <DocSecurity>0</DocSecurity>
  <Lines>1789</Lines>
  <Paragraphs>677</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116557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 Armin W. Thomas; Scott A. Huettel; Hauke R. Heekeren; Peter N. C. Mohr</dc:creator>
  <dc:description/>
  <cp:lastModifiedBy>Felix Molter</cp:lastModifiedBy>
  <cp:revision>230</cp:revision>
  <dcterms:created xsi:type="dcterms:W3CDTF">2020-12-16T12:31:00Z</dcterms:created>
  <dcterms:modified xsi:type="dcterms:W3CDTF">2021-01-19T16:13:00Z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