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C22F3" w14:textId="43863E27" w:rsidR="006C3876" w:rsidRDefault="00762BD9">
      <w:pPr>
        <w:pStyle w:val="Heading1"/>
      </w:pPr>
      <w:bookmarkStart w:id="0" w:name="sec:supplement"/>
      <w:r>
        <w:t>Supplementary Information</w:t>
      </w:r>
    </w:p>
    <w:p w14:paraId="4A967F9F" w14:textId="77777777" w:rsidR="006C3876" w:rsidRDefault="00762BD9">
      <w:pPr>
        <w:pStyle w:val="CaptionedFigure"/>
      </w:pPr>
      <w:bookmarkStart w:id="1" w:name="fig:dwell-data-timebinned"/>
      <w:bookmarkStart w:id="2" w:name="sup:eye-movement-analyses"/>
      <w:r>
        <w:rPr>
          <w:noProof/>
        </w:rPr>
        <w:drawing>
          <wp:inline distT="0" distB="0" distL="0" distR="0" wp14:anchorId="79D87A4F" wp14:editId="00D91BCB">
            <wp:extent cx="5969000" cy="2231074"/>
            <wp:effectExtent l="0" t="0" r="0" b="0"/>
            <wp:docPr id="6" name="Picture" descr="Figure 6: Distribution of gaze over the course of the trial depending on stimulus characteristics. Each panel shows the average dwell time towards AOIs for a given stimulus feature (e.g., horizontal and vertical position) across five time-bins. Data is shown separately for attraction (a-f) and compromise (g-l) trials."/>
            <wp:cNvGraphicFramePr/>
            <a:graphic xmlns:a="http://schemas.openxmlformats.org/drawingml/2006/main">
              <a:graphicData uri="http://schemas.openxmlformats.org/drawingml/2006/picture">
                <pic:pic xmlns:pic="http://schemas.openxmlformats.org/drawingml/2006/picture">
                  <pic:nvPicPr>
                    <pic:cNvPr id="0" name="Picture" descr="../figures/S_gaze-data_timebinned_dwell.pdf"/>
                    <pic:cNvPicPr>
                      <a:picLocks noChangeAspect="1" noChangeArrowheads="1"/>
                    </pic:cNvPicPr>
                  </pic:nvPicPr>
                  <pic:blipFill>
                    <a:blip r:embed="rId7"/>
                    <a:stretch>
                      <a:fillRect/>
                    </a:stretch>
                  </pic:blipFill>
                  <pic:spPr bwMode="auto">
                    <a:xfrm>
                      <a:off x="0" y="0"/>
                      <a:ext cx="5969000" cy="2231074"/>
                    </a:xfrm>
                    <a:prstGeom prst="rect">
                      <a:avLst/>
                    </a:prstGeom>
                    <a:noFill/>
                    <a:ln w="9525">
                      <a:noFill/>
                      <a:headEnd/>
                      <a:tailEnd/>
                    </a:ln>
                  </pic:spPr>
                </pic:pic>
              </a:graphicData>
            </a:graphic>
          </wp:inline>
        </w:drawing>
      </w:r>
      <w:bookmarkEnd w:id="1"/>
    </w:p>
    <w:p w14:paraId="0AAAE416" w14:textId="30480203" w:rsidR="006C3876" w:rsidRDefault="0060458C">
      <w:pPr>
        <w:pStyle w:val="ImageCaption"/>
      </w:pPr>
      <w:r>
        <w:t xml:space="preserve">Supplementary </w:t>
      </w:r>
      <w:r w:rsidR="00762BD9">
        <w:t xml:space="preserve">Figure </w:t>
      </w:r>
      <w:r>
        <w:t>1</w:t>
      </w:r>
      <w:r w:rsidR="00762BD9">
        <w:t xml:space="preserve">: </w:t>
      </w:r>
      <w:r w:rsidR="00762BD9">
        <w:rPr>
          <w:b/>
          <w:bCs/>
        </w:rPr>
        <w:t>Distribution of gaze over the course of the trial depending on stimulus characteristics.</w:t>
      </w:r>
      <w:r w:rsidR="00762BD9">
        <w:t xml:space="preserve"> Each panel shows the average dwell time towards AOIs for a given stimulus feature (e.g., horizontal and vertical position) across five time-bins. Data is shown separately for attraction </w:t>
      </w:r>
      <w:r w:rsidR="00762BD9">
        <w:rPr>
          <w:b/>
          <w:bCs/>
        </w:rPr>
        <w:t>(a-f)</w:t>
      </w:r>
      <w:r w:rsidR="00762BD9">
        <w:t xml:space="preserve"> and compromise </w:t>
      </w:r>
      <w:r w:rsidR="00762BD9">
        <w:rPr>
          <w:b/>
          <w:bCs/>
        </w:rPr>
        <w:t>(g-l)</w:t>
      </w:r>
      <w:r w:rsidR="00762BD9">
        <w:t xml:space="preserve"> trials.</w:t>
      </w:r>
    </w:p>
    <w:p w14:paraId="16EDCBE4" w14:textId="77777777" w:rsidR="00423699" w:rsidRDefault="00423699" w:rsidP="00423699">
      <w:pPr>
        <w:pStyle w:val="Heading2"/>
      </w:pPr>
    </w:p>
    <w:p w14:paraId="5581EFA0" w14:textId="7494E17B" w:rsidR="002536DE" w:rsidRDefault="00423699" w:rsidP="00423699">
      <w:pPr>
        <w:pStyle w:val="Heading2"/>
      </w:pPr>
      <w:r>
        <w:t>Supplementary Note 1</w:t>
      </w:r>
    </w:p>
    <w:p w14:paraId="58FCD3FE" w14:textId="77777777" w:rsidR="006C3876" w:rsidRDefault="00762BD9">
      <w:pPr>
        <w:pStyle w:val="Heading3"/>
        <w:framePr w:wrap="around"/>
      </w:pPr>
      <w:bookmarkStart w:id="3" w:name="regression-analyses-of-gaze-behaviour"/>
      <w:r>
        <w:t>Regression analyses of gaze behaviour</w:t>
      </w:r>
    </w:p>
    <w:p w14:paraId="765D935B" w14:textId="1078C256" w:rsidR="006C3876" w:rsidRDefault="00762BD9">
      <w:pPr>
        <w:pStyle w:val="FirstParagraph"/>
      </w:pPr>
      <w:r>
        <w:t>We performed two linear mixed effects regressions of total dwell time towards an AOI in each trial, separate for attraction and compromise trials (</w:t>
      </w:r>
      <w:r w:rsidR="009A4C6E">
        <w:t>Supplementary</w:t>
      </w:r>
      <w:r>
        <w:t xml:space="preserve"> Fig. </w:t>
      </w:r>
      <w:hyperlink w:anchor="fig:dwell-data-timebinned">
        <w:r w:rsidR="001D4EB6">
          <w:rPr>
            <w:rStyle w:val="Hyperlink"/>
          </w:rPr>
          <w:t>1</w:t>
        </w:r>
      </w:hyperlink>
      <w:r>
        <w:t xml:space="preserve">). In the first ("full trial") model, the dependent variable was total dwell time towards an AOI across the full trial. This model used the following predictors: Vertical position (row, centred: -0.5 = top row, +0.5, bottom row), horizontal position (column, centred: -1 = left, 0 = centre, +1 = right), attribute (dummy coding probability attribute </w:t>
      </w:r>
      <m:oMath>
        <m:r>
          <w:rPr>
            <w:rFonts w:ascii="Cambria Math" w:hAnsi="Cambria Math"/>
          </w:rPr>
          <m:t>p</m:t>
        </m:r>
      </m:oMath>
      <w:r>
        <w:t xml:space="preserve">), within dimension attribute rank (centred, -1 = worst, 0 = intermediate, +1 = best on attribute), target (dummy coded), decoy (dummy coded) and a dummy coded predictor for the ultimately chosen alternative. For the second model, we partitioned the dwell-data into five equally sized </w:t>
      </w:r>
      <w:r>
        <w:lastRenderedPageBreak/>
        <w:t xml:space="preserve">time-bins. The dependent variable in this model then was total dwell time towards an AOI within a time-bin. This model included the same predictors as the "full trial" model. Crucially, it also included interaction terms for each predictor with the time-bin variable, and time-bin as additional predictor. Both models included random intercepts and slopes for each participant. Bayesian posterior distributions of the regression weights were estimated using the </w:t>
      </w:r>
      <w:proofErr w:type="spellStart"/>
      <w:r>
        <w:t>bambi</w:t>
      </w:r>
      <w:proofErr w:type="spellEnd"/>
      <w:r>
        <w:t xml:space="preserve"> Python library</w:t>
      </w:r>
      <w:hyperlink w:anchor="ref-yarkoni2016BambiSimpleInterface">
        <w:r w:rsidR="009F3809">
          <w:rPr>
            <w:rStyle w:val="Hyperlink"/>
            <w:vertAlign w:val="superscript"/>
          </w:rPr>
          <w:t>1</w:t>
        </w:r>
      </w:hyperlink>
      <w:r>
        <w:t>, with default priors</w:t>
      </w:r>
      <w:hyperlink w:anchor="X021d25f66a2d43c1524dc2aa5de5f875f12f5ea">
        <w:r w:rsidR="009F3809">
          <w:rPr>
            <w:rStyle w:val="Hyperlink"/>
            <w:vertAlign w:val="superscript"/>
          </w:rPr>
          <w:t>2</w:t>
        </w:r>
      </w:hyperlink>
      <w:r>
        <w:t>, sampling four chains with 2000 samples each, after a tuning phase of 500 samples. Convergence was diagnosed visually and by means of the Gelman-Rubin statistic (</w:t>
      </w:r>
      <m:oMath>
        <m:r>
          <m:rPr>
            <m:sty m:val="p"/>
          </m:rPr>
          <w:rPr>
            <w:rFonts w:ascii="Cambria Math" w:hAnsi="Cambria Math"/>
          </w:rPr>
          <m:t>|</m:t>
        </m:r>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0.05</m:t>
        </m:r>
      </m:oMath>
      <w:r>
        <w:t xml:space="preserve"> for all chains).</w:t>
      </w:r>
    </w:p>
    <w:p w14:paraId="7EEB1353" w14:textId="4F928D05" w:rsidR="006C3876" w:rsidRDefault="00762BD9">
      <w:pPr>
        <w:pStyle w:val="BodyText"/>
      </w:pPr>
      <w:r>
        <w:t xml:space="preserve">Regression weight estimates are shown in </w:t>
      </w:r>
      <w:r w:rsidR="009A4C6E">
        <w:t>Supplementary</w:t>
      </w:r>
      <w:r>
        <w:t xml:space="preserve"> Fig. </w:t>
      </w:r>
      <w:hyperlink w:anchor="fig:dwell-regression-weights">
        <w:r w:rsidR="00EF1C65">
          <w:rPr>
            <w:rStyle w:val="Hyperlink"/>
          </w:rPr>
          <w:t>2</w:t>
        </w:r>
      </w:hyperlink>
      <w:r>
        <w:t>. Across the trial, we find strong effects of position on dwell time, so that dwell times towards the top and left were longer. Significant negative interaction effects of the row and column predictors with time showed that these effects diminish across the trial. We also find a gaze-cascade effect</w:t>
      </w:r>
      <w:hyperlink w:anchor="ref-shimojo2003GazeBiasBoth">
        <w:r w:rsidR="00B82E83">
          <w:rPr>
            <w:rStyle w:val="Hyperlink"/>
            <w:vertAlign w:val="superscript"/>
          </w:rPr>
          <w:t>3,4</w:t>
        </w:r>
      </w:hyperlink>
      <w:r>
        <w:t xml:space="preserve">, where dwell times to AOIs belonging to the ultimately chosen alternative are longer across the trial (and increasingly so throughout the trial, indicated by the positive interaction term with time). Dwell times to decoys decreased significantly during the trial, and across the full trial, dwell times to decoys were shorter than other alternatives. Similarly, dwell times towards probability attributes </w:t>
      </w:r>
      <w:bookmarkStart w:id="4" w:name="_GoBack"/>
      <w:r w:rsidRPr="00D311CA">
        <w:rPr>
          <w:i/>
        </w:rPr>
        <w:t>p</w:t>
      </w:r>
      <w:bookmarkEnd w:id="4"/>
      <w:r>
        <w:t xml:space="preserve"> shortened across the trial. Across the full trial, however, dwell times towards probability AOIs were not shorter than those to outcome AOIs. Finally, dwell times to target alternatives were longer across the trial in both compromise and attraction trials. In addition, this effect increased throughout the trial in compromise, but not in attraction trials. Note that these effects are independent of the effect of choice, as choice is a separate predictor in the model. We could not find an association between the attribute rank (being the worst, best, or intermediate item on an attribute) and dwell time.</w:t>
      </w:r>
    </w:p>
    <w:p w14:paraId="1B514E5E" w14:textId="77777777" w:rsidR="006C3876" w:rsidRDefault="00762BD9" w:rsidP="00F90C35">
      <w:pPr>
        <w:pStyle w:val="CaptionedFigure"/>
        <w:jc w:val="center"/>
      </w:pPr>
      <w:bookmarkStart w:id="5" w:name="fig:dwell-regression-weights"/>
      <w:r>
        <w:rPr>
          <w:noProof/>
        </w:rPr>
        <w:lastRenderedPageBreak/>
        <w:drawing>
          <wp:inline distT="0" distB="0" distL="0" distR="0" wp14:anchorId="240BEE39" wp14:editId="78BED260">
            <wp:extent cx="3251200" cy="2171700"/>
            <wp:effectExtent l="0" t="0" r="0" b="0"/>
            <wp:docPr id="7" name="Picture" descr="Figure 7: Weight estimates from regression analyses on absolute dwell times. We performed two mixed-effects regression analyses of dwell time towards each AOI onto stimulus properties: (a, c) Regressing the total dwell time towards an AOI over a full trial onto AOI column, row, attribute rank (best, middle or worst value on the attribute), two dummy predictors coding alternative, attribute (probability or outcome) and whether the AOI belonged to the subsequently chosen alternative. (b, d) Second, we binned dwell times in each trial into five time-bins and added an interaction term with time-bin for each predictor. The panels show the interaction term weights. Analyses were carried out separately for attraction (a, b) and compromise (c, d) trials. Regression models had random intercepts and slopes across participants. Points and intervals mark posterior mean estimates and associated HDI_{95} (coloured green if the interval excluded 0)."/>
            <wp:cNvGraphicFramePr/>
            <a:graphic xmlns:a="http://schemas.openxmlformats.org/drawingml/2006/main">
              <a:graphicData uri="http://schemas.openxmlformats.org/drawingml/2006/picture">
                <pic:pic xmlns:pic="http://schemas.openxmlformats.org/drawingml/2006/picture">
                  <pic:nvPicPr>
                    <pic:cNvPr id="0" name="Picture" descr="../figures/S_dwell-regression_weights.pdf"/>
                    <pic:cNvPicPr>
                      <a:picLocks noChangeAspect="1" noChangeArrowheads="1"/>
                    </pic:cNvPicPr>
                  </pic:nvPicPr>
                  <pic:blipFill>
                    <a:blip r:embed="rId8"/>
                    <a:stretch>
                      <a:fillRect/>
                    </a:stretch>
                  </pic:blipFill>
                  <pic:spPr bwMode="auto">
                    <a:xfrm>
                      <a:off x="0" y="0"/>
                      <a:ext cx="3251200" cy="2171700"/>
                    </a:xfrm>
                    <a:prstGeom prst="rect">
                      <a:avLst/>
                    </a:prstGeom>
                    <a:noFill/>
                    <a:ln w="9525">
                      <a:noFill/>
                      <a:headEnd/>
                      <a:tailEnd/>
                    </a:ln>
                  </pic:spPr>
                </pic:pic>
              </a:graphicData>
            </a:graphic>
          </wp:inline>
        </w:drawing>
      </w:r>
      <w:bookmarkEnd w:id="5"/>
    </w:p>
    <w:p w14:paraId="19381F54" w14:textId="058A25FC" w:rsidR="006C3876" w:rsidRDefault="00F90C35">
      <w:pPr>
        <w:pStyle w:val="ImageCaption"/>
      </w:pPr>
      <w:r>
        <w:t xml:space="preserve">Supplementary </w:t>
      </w:r>
      <w:r w:rsidR="00762BD9">
        <w:t xml:space="preserve">Figure </w:t>
      </w:r>
      <w:r>
        <w:t>2</w:t>
      </w:r>
      <w:r w:rsidR="00762BD9">
        <w:t xml:space="preserve">: </w:t>
      </w:r>
      <w:r w:rsidR="00762BD9">
        <w:rPr>
          <w:b/>
          <w:bCs/>
        </w:rPr>
        <w:t>Weight estimates from regression analyses on absolute dwell times.</w:t>
      </w:r>
      <w:r w:rsidR="00762BD9">
        <w:t xml:space="preserve"> We performed two mixed-effects regression analyses of dwell time towards each AOI onto stimulus properties: </w:t>
      </w:r>
      <w:r w:rsidR="00762BD9">
        <w:rPr>
          <w:b/>
          <w:bCs/>
        </w:rPr>
        <w:t>(a, c)</w:t>
      </w:r>
      <w:r w:rsidR="00762BD9">
        <w:t xml:space="preserve"> Regressing the total dwell time towards an AOI over a full trial onto AOI column, row, attribute rank (best, middle or worst value on the attribute), two dummy predictors coding alternative, attribute (probability or outcome) and whether the AOI belonged to the subsequently chosen alternative. </w:t>
      </w:r>
      <w:r w:rsidR="00762BD9">
        <w:rPr>
          <w:b/>
          <w:bCs/>
        </w:rPr>
        <w:t>(b, d)</w:t>
      </w:r>
      <w:r w:rsidR="00762BD9">
        <w:t xml:space="preserve"> Second, we binned dwell times in each trial into five time-bins and added an interaction term with time-bin for each predictor. The panels show the interaction term weights. Analyses were carried out separately for attraction </w:t>
      </w:r>
      <w:r w:rsidR="00762BD9">
        <w:rPr>
          <w:b/>
          <w:bCs/>
        </w:rPr>
        <w:t>(a, b)</w:t>
      </w:r>
      <w:r w:rsidR="00762BD9">
        <w:t xml:space="preserve"> and compromise </w:t>
      </w:r>
      <w:r w:rsidR="00762BD9">
        <w:rPr>
          <w:b/>
          <w:bCs/>
        </w:rPr>
        <w:t>(c, d)</w:t>
      </w:r>
      <w:r w:rsidR="00762BD9">
        <w:t xml:space="preserve"> trials. Regression models had random intercepts and slopes across participants. Points and intervals mark posterior mean estimates and associated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rsidR="00762BD9">
        <w:t xml:space="preserve"> (coloured green if the interval excluded 0).</w:t>
      </w:r>
    </w:p>
    <w:p w14:paraId="1FDFD8BD" w14:textId="77777777" w:rsidR="00315CFC" w:rsidRDefault="00315CFC">
      <w:pPr>
        <w:pStyle w:val="ImageCaption"/>
      </w:pPr>
    </w:p>
    <w:p w14:paraId="19168F51" w14:textId="77777777" w:rsidR="006C3876" w:rsidRDefault="00762BD9">
      <w:pPr>
        <w:pStyle w:val="Heading3"/>
        <w:framePr w:wrap="around"/>
      </w:pPr>
      <w:bookmarkStart w:id="6" w:name="direction-of-information-search"/>
      <w:bookmarkEnd w:id="3"/>
      <w:r>
        <w:t>Direction of information search</w:t>
      </w:r>
    </w:p>
    <w:p w14:paraId="1184D9F0" w14:textId="77777777" w:rsidR="006C3876" w:rsidRDefault="00762BD9">
      <w:pPr>
        <w:pStyle w:val="FirstParagraph"/>
      </w:pPr>
      <w:r>
        <w:t xml:space="preserve">We further analysed participants’ direction of information search. Therefore, we counted the number of vertical (transitions within the same alternative), horizontal (within the same row, between alternatives) and diagonal (between rows and alternatives) transitions. On average, participants made over 7 horizontal transitions in attraction (mean </w:t>
      </w:r>
      <m:oMath>
        <m:r>
          <m:rPr>
            <m:sty m:val="p"/>
          </m:rPr>
          <w:rPr>
            <w:rFonts w:ascii="Cambria Math" w:hAnsi="Cambria Math"/>
          </w:rPr>
          <m:t>±</m:t>
        </m:r>
      </m:oMath>
      <w:r>
        <w:t xml:space="preserve"> s.d. = 7.28 </w:t>
      </w:r>
      <m:oMath>
        <m:r>
          <m:rPr>
            <m:sty m:val="p"/>
          </m:rPr>
          <w:rPr>
            <w:rFonts w:ascii="Cambria Math" w:hAnsi="Cambria Math"/>
          </w:rPr>
          <m:t>±</m:t>
        </m:r>
      </m:oMath>
      <w:r>
        <w:t xml:space="preserve"> 2.36) and compromise (mean </w:t>
      </w:r>
      <m:oMath>
        <m:r>
          <m:rPr>
            <m:sty m:val="p"/>
          </m:rPr>
          <w:rPr>
            <w:rFonts w:ascii="Cambria Math" w:hAnsi="Cambria Math"/>
          </w:rPr>
          <m:t>±</m:t>
        </m:r>
      </m:oMath>
      <w:r>
        <w:t xml:space="preserve"> s.d. = 7.29 </w:t>
      </w:r>
      <m:oMath>
        <m:r>
          <m:rPr>
            <m:sty m:val="p"/>
          </m:rPr>
          <w:rPr>
            <w:rFonts w:ascii="Cambria Math" w:hAnsi="Cambria Math"/>
          </w:rPr>
          <m:t>±</m:t>
        </m:r>
      </m:oMath>
      <w:r>
        <w:t xml:space="preserve"> 2.63) trials, with no meaningful difference between effects. Participants made, however, more vertical transitions in compromise trials (mean </w:t>
      </w:r>
      <m:oMath>
        <m:r>
          <m:rPr>
            <m:sty m:val="p"/>
          </m:rPr>
          <w:rPr>
            <w:rFonts w:ascii="Cambria Math" w:hAnsi="Cambria Math"/>
          </w:rPr>
          <m:t>±</m:t>
        </m:r>
      </m:oMath>
      <w:r>
        <w:t xml:space="preserve"> s.d. = 7.55 </w:t>
      </w:r>
      <m:oMath>
        <m:r>
          <m:rPr>
            <m:sty m:val="p"/>
          </m:rPr>
          <w:rPr>
            <w:rFonts w:ascii="Cambria Math" w:hAnsi="Cambria Math"/>
          </w:rPr>
          <m:t>±</m:t>
        </m:r>
      </m:oMath>
      <w:r>
        <w:t xml:space="preserve"> 3.11) than attraction trials (mean </w:t>
      </w:r>
      <m:oMath>
        <m:r>
          <m:rPr>
            <m:sty m:val="p"/>
          </m:rPr>
          <w:rPr>
            <w:rFonts w:ascii="Cambria Math" w:hAnsi="Cambria Math"/>
          </w:rPr>
          <m:t>±</m:t>
        </m:r>
      </m:oMath>
      <w:r>
        <w:t xml:space="preserve"> s.d. = 7.17 </w:t>
      </w:r>
      <m:oMath>
        <m:r>
          <m:rPr>
            <m:sty m:val="p"/>
          </m:rPr>
          <w:rPr>
            <w:rFonts w:ascii="Cambria Math" w:hAnsi="Cambria Math"/>
          </w:rPr>
          <m:t>±</m:t>
        </m:r>
      </m:oMath>
      <w:r>
        <w:t xml:space="preserve"> 3.06; mean difference = 0.39,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[0.11, 0.64], </w:t>
      </w:r>
      <m:oMath>
        <m:r>
          <w:rPr>
            <w:rFonts w:ascii="Cambria Math" w:hAnsi="Cambria Math"/>
          </w:rPr>
          <m:t>d</m:t>
        </m:r>
      </m:oMath>
      <w:r>
        <w:t xml:space="preserve"> = 0.49,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[0.13, 0.82]). The number </w:t>
      </w:r>
      <w:r>
        <w:lastRenderedPageBreak/>
        <w:t xml:space="preserve">of diagonal transitions was lower overall, but higher in attraction (mean </w:t>
      </w:r>
      <m:oMath>
        <m:r>
          <m:rPr>
            <m:sty m:val="p"/>
          </m:rPr>
          <w:rPr>
            <w:rFonts w:ascii="Cambria Math" w:hAnsi="Cambria Math"/>
          </w:rPr>
          <m:t>±</m:t>
        </m:r>
      </m:oMath>
      <w:r>
        <w:t xml:space="preserve"> s.d. = 2.88 </w:t>
      </w:r>
      <m:oMath>
        <m:r>
          <m:rPr>
            <m:sty m:val="p"/>
          </m:rPr>
          <w:rPr>
            <w:rFonts w:ascii="Cambria Math" w:hAnsi="Cambria Math"/>
          </w:rPr>
          <m:t>±</m:t>
        </m:r>
      </m:oMath>
      <w:r>
        <w:t xml:space="preserve"> 1.18) than compromise trials (mean </w:t>
      </w:r>
      <m:oMath>
        <m:r>
          <m:rPr>
            <m:sty m:val="p"/>
          </m:rPr>
          <w:rPr>
            <w:rFonts w:ascii="Cambria Math" w:hAnsi="Cambria Math"/>
          </w:rPr>
          <m:t>±</m:t>
        </m:r>
      </m:oMath>
      <w:r>
        <w:t xml:space="preserve"> s.d. = 2.72 </w:t>
      </w:r>
      <m:oMath>
        <m:r>
          <m:rPr>
            <m:sty m:val="p"/>
          </m:rPr>
          <w:rPr>
            <w:rFonts w:ascii="Cambria Math" w:hAnsi="Cambria Math"/>
          </w:rPr>
          <m:t>±</m:t>
        </m:r>
      </m:oMath>
      <w:r>
        <w:t xml:space="preserve"> 1.31; mean difference = 0.19,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[0.06, 0.32], </w:t>
      </w:r>
      <m:oMath>
        <m:r>
          <w:rPr>
            <w:rFonts w:ascii="Cambria Math" w:hAnsi="Cambria Math"/>
          </w:rPr>
          <m:t>d</m:t>
        </m:r>
      </m:oMath>
      <w:r>
        <w:t xml:space="preserve"> = 0.62,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[0.14, 1.17]).</w:t>
      </w:r>
    </w:p>
    <w:p w14:paraId="30A998EA" w14:textId="50773D4D" w:rsidR="006C3876" w:rsidRDefault="00762BD9">
      <w:pPr>
        <w:pStyle w:val="BodyText"/>
      </w:pPr>
      <w:r>
        <w:t>While vertical transitions always translate to transitions "within alternative", horizontal transitions are not necessarily always "within attribute", since the attribute positions of each alternative were random in the task. We therefore recoded transitions as "within alternative", "within attribute" and "between alternatives and attributes" and computed the Payne Index</w:t>
      </w:r>
      <w:hyperlink w:anchor="ref-payne1976TaskComplexityContingent">
        <w:r w:rsidR="009974C1">
          <w:rPr>
            <w:rStyle w:val="Hyperlink"/>
            <w:vertAlign w:val="superscript"/>
          </w:rPr>
          <w:t>5</w:t>
        </w:r>
      </w:hyperlink>
      <w:r>
        <w:t xml:space="preserve"> for each trial as:</w:t>
      </w:r>
    </w:p>
    <w:p w14:paraId="4716D2F5" w14:textId="42F2F4AF" w:rsidR="00D61DEE" w:rsidRPr="0059081F" w:rsidRDefault="00794D63" w:rsidP="0059081F">
      <w:pPr>
        <w:pStyle w:val="BodyText"/>
        <w:rPr>
          <w:rFonts w:eastAsiaTheme="minorEastAsia"/>
        </w:rPr>
      </w:pPr>
      <m:oMathPara>
        <m:oMath>
          <m:eqArr>
            <m:eqArrPr>
              <m:maxDist m:val="1"/>
              <m:ctrlPr>
                <w:rPr>
                  <w:rFonts w:ascii="Cambria Math" w:hAnsi="Cambria Math"/>
                  <w:i/>
                </w:rPr>
              </m:ctrlPr>
            </m:eqArrPr>
            <m:e>
              <m:r>
                <m:rPr>
                  <m:nor/>
                </m:rPr>
                <m:t>Payne Index</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m:rPr>
                          <m:nor/>
                        </m:rPr>
                        <m:t>within alt.</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within att.</m:t>
                      </m:r>
                    </m:sub>
                  </m:sSub>
                </m:num>
                <m:den>
                  <m:sSub>
                    <m:sSubPr>
                      <m:ctrlPr>
                        <w:rPr>
                          <w:rFonts w:ascii="Cambria Math" w:hAnsi="Cambria Math"/>
                        </w:rPr>
                      </m:ctrlPr>
                    </m:sSubPr>
                    <m:e>
                      <m:r>
                        <w:rPr>
                          <w:rFonts w:ascii="Cambria Math" w:hAnsi="Cambria Math"/>
                        </w:rPr>
                        <m:t>N</m:t>
                      </m:r>
                    </m:e>
                    <m:sub>
                      <m:r>
                        <m:rPr>
                          <m:nor/>
                        </m:rPr>
                        <m:t>within alt.</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nor/>
                        </m:rPr>
                        <m:t>within att.</m:t>
                      </m:r>
                    </m:sub>
                  </m:sSub>
                </m:den>
              </m:f>
              <m:r>
                <w:rPr>
                  <w:rFonts w:ascii="Cambria Math" w:hAnsi="Cambria Math"/>
                </w:rPr>
                <m:t>#</m:t>
              </m:r>
              <m:d>
                <m:dPr>
                  <m:ctrlPr>
                    <w:rPr>
                      <w:rFonts w:ascii="Cambria Math" w:hAnsi="Cambria Math"/>
                      <w:i/>
                    </w:rPr>
                  </m:ctrlPr>
                </m:dPr>
                <m:e>
                  <m:r>
                    <w:rPr>
                      <w:rFonts w:ascii="Cambria Math" w:hAnsi="Cambria Math"/>
                    </w:rPr>
                    <m:t>18</m:t>
                  </m:r>
                </m:e>
              </m:d>
            </m:e>
          </m:eqArr>
        </m:oMath>
      </m:oMathPara>
    </w:p>
    <w:p w14:paraId="26DE067C" w14:textId="0BB815AD" w:rsidR="003D49E9" w:rsidRDefault="00762BD9" w:rsidP="002C22B4">
      <w:pPr>
        <w:pStyle w:val="FirstParagraph"/>
      </w:pPr>
      <w:r>
        <w:t xml:space="preserve">A more positive value on the index indicates more processing within alternatives, whereas more negative values indicate more processing between alternatives, within the same attribute dimension. Overall, the average Payne Index was slightly positive for both attraction (mean </w:t>
      </w:r>
      <m:oMath>
        <m:r>
          <m:rPr>
            <m:sty m:val="p"/>
          </m:rPr>
          <w:rPr>
            <w:rFonts w:ascii="Cambria Math" w:hAnsi="Cambria Math"/>
          </w:rPr>
          <m:t>±</m:t>
        </m:r>
      </m:oMath>
      <w:r>
        <w:t xml:space="preserve"> s.d. = 0.10 </w:t>
      </w:r>
      <m:oMath>
        <m:r>
          <m:rPr>
            <m:sty m:val="p"/>
          </m:rPr>
          <w:rPr>
            <w:rFonts w:ascii="Cambria Math" w:hAnsi="Cambria Math"/>
          </w:rPr>
          <m:t>±</m:t>
        </m:r>
      </m:oMath>
      <w:r>
        <w:t xml:space="preserve"> 0.16) and compromise trials (mean </w:t>
      </w:r>
      <m:oMath>
        <m:r>
          <m:rPr>
            <m:sty m:val="p"/>
          </m:rPr>
          <w:rPr>
            <w:rFonts w:ascii="Cambria Math" w:hAnsi="Cambria Math"/>
          </w:rPr>
          <m:t>±</m:t>
        </m:r>
      </m:oMath>
      <w:r>
        <w:t xml:space="preserve"> s.d. = 0.14 </w:t>
      </w:r>
      <m:oMath>
        <m:r>
          <m:rPr>
            <m:sty m:val="p"/>
          </m:rPr>
          <w:rPr>
            <w:rFonts w:ascii="Cambria Math" w:hAnsi="Cambria Math"/>
          </w:rPr>
          <m:t>±</m:t>
        </m:r>
      </m:oMath>
      <w:r>
        <w:t xml:space="preserve"> 0.18), suggesting a mixture of within-alternative and within-attribute processing, with slightly more processing within alternatives. It was, however, lower in attraction trials (mean difference = 0.04,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[0.01, 0.06], </w:t>
      </w:r>
      <m:oMath>
        <m:r>
          <w:rPr>
            <w:rFonts w:ascii="Cambria Math" w:hAnsi="Cambria Math"/>
          </w:rPr>
          <m:t>d</m:t>
        </m:r>
      </m:oMath>
      <w:r>
        <w:t xml:space="preserve"> = 0.51,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[0.16, 0.87]), implying comparably more processing between alternatives in attraction trials.</w:t>
      </w:r>
      <w:bookmarkStart w:id="7" w:name="tab:gla-estimates"/>
      <w:r w:rsidR="003D49E9">
        <w:br w:type="page"/>
      </w:r>
    </w:p>
    <w:tbl>
      <w:tblPr>
        <w:tblStyle w:val="Table"/>
        <w:tblW w:w="2712" w:type="pct"/>
        <w:jc w:val="center"/>
        <w:tblLook w:val="0020" w:firstRow="1" w:lastRow="0" w:firstColumn="0" w:lastColumn="0" w:noHBand="0" w:noVBand="0"/>
      </w:tblPr>
      <w:tblGrid>
        <w:gridCol w:w="370"/>
        <w:gridCol w:w="736"/>
        <w:gridCol w:w="636"/>
        <w:gridCol w:w="636"/>
        <w:gridCol w:w="656"/>
        <w:gridCol w:w="656"/>
        <w:gridCol w:w="656"/>
        <w:gridCol w:w="756"/>
      </w:tblGrid>
      <w:tr w:rsidR="006C3876" w14:paraId="16F317A1" w14:textId="77777777" w:rsidTr="003D49E9">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1143195" w14:textId="77777777" w:rsidR="006C3876" w:rsidRDefault="006C3876"/>
        </w:tc>
        <w:tc>
          <w:tcPr>
            <w:tcW w:w="0" w:type="auto"/>
          </w:tcPr>
          <w:p w14:paraId="7EBEE4A3" w14:textId="77777777" w:rsidR="006C3876" w:rsidRDefault="00762BD9">
            <w:pPr>
              <w:pStyle w:val="Compact"/>
            </w:pPr>
            <w:r>
              <w:t>mean</w:t>
            </w:r>
          </w:p>
        </w:tc>
        <w:tc>
          <w:tcPr>
            <w:tcW w:w="0" w:type="auto"/>
          </w:tcPr>
          <w:p w14:paraId="7C56344D" w14:textId="77777777" w:rsidR="006C3876" w:rsidRDefault="00762BD9">
            <w:pPr>
              <w:pStyle w:val="Compact"/>
            </w:pPr>
            <w:r>
              <w:t>SD</w:t>
            </w:r>
          </w:p>
        </w:tc>
        <w:tc>
          <w:tcPr>
            <w:tcW w:w="0" w:type="auto"/>
          </w:tcPr>
          <w:p w14:paraId="122179B8" w14:textId="77777777" w:rsidR="006C3876" w:rsidRDefault="00762BD9">
            <w:pPr>
              <w:pStyle w:val="Compact"/>
            </w:pPr>
            <w:r>
              <w:t>min</w:t>
            </w:r>
          </w:p>
        </w:tc>
        <w:tc>
          <w:tcPr>
            <w:tcW w:w="0" w:type="auto"/>
          </w:tcPr>
          <w:p w14:paraId="2947322E" w14:textId="77777777" w:rsidR="006C3876" w:rsidRDefault="00762BD9">
            <w:pPr>
              <w:pStyle w:val="Compact"/>
            </w:pPr>
            <w:r>
              <w:t>25%</w:t>
            </w:r>
          </w:p>
        </w:tc>
        <w:tc>
          <w:tcPr>
            <w:tcW w:w="0" w:type="auto"/>
          </w:tcPr>
          <w:p w14:paraId="2B5CDA3E" w14:textId="77777777" w:rsidR="006C3876" w:rsidRDefault="00762BD9">
            <w:pPr>
              <w:pStyle w:val="Compact"/>
            </w:pPr>
            <w:r>
              <w:t>50%</w:t>
            </w:r>
          </w:p>
        </w:tc>
        <w:tc>
          <w:tcPr>
            <w:tcW w:w="0" w:type="auto"/>
          </w:tcPr>
          <w:p w14:paraId="242D3399" w14:textId="77777777" w:rsidR="006C3876" w:rsidRDefault="00762BD9">
            <w:pPr>
              <w:pStyle w:val="Compact"/>
            </w:pPr>
            <w:r>
              <w:t>75%</w:t>
            </w:r>
          </w:p>
        </w:tc>
        <w:tc>
          <w:tcPr>
            <w:tcW w:w="0" w:type="auto"/>
          </w:tcPr>
          <w:p w14:paraId="75213B76" w14:textId="77777777" w:rsidR="006C3876" w:rsidRDefault="00762BD9">
            <w:pPr>
              <w:pStyle w:val="Compact"/>
            </w:pPr>
            <w:r>
              <w:t>max</w:t>
            </w:r>
          </w:p>
        </w:tc>
      </w:tr>
      <w:tr w:rsidR="006C3876" w14:paraId="26C738A8" w14:textId="77777777" w:rsidTr="003D49E9">
        <w:trPr>
          <w:jc w:val="center"/>
        </w:trPr>
        <w:tc>
          <w:tcPr>
            <w:tcW w:w="0" w:type="auto"/>
          </w:tcPr>
          <w:p w14:paraId="06DE3569" w14:textId="77777777" w:rsidR="006C3876" w:rsidRDefault="00762BD9">
            <w:pPr>
              <w:pStyle w:val="Compact"/>
            </w:pPr>
            <m:oMathPara>
              <m:oMath>
                <m:r>
                  <w:rPr>
                    <w:rFonts w:ascii="Cambria Math" w:hAnsi="Cambria Math"/>
                  </w:rPr>
                  <m:t>α</m:t>
                </m:r>
              </m:oMath>
            </m:oMathPara>
          </w:p>
        </w:tc>
        <w:tc>
          <w:tcPr>
            <w:tcW w:w="0" w:type="auto"/>
          </w:tcPr>
          <w:p w14:paraId="15B3C048" w14:textId="77777777" w:rsidR="006C3876" w:rsidRDefault="00762BD9">
            <w:pPr>
              <w:pStyle w:val="Compact"/>
            </w:pPr>
            <w:r>
              <w:t>0.47</w:t>
            </w:r>
          </w:p>
        </w:tc>
        <w:tc>
          <w:tcPr>
            <w:tcW w:w="0" w:type="auto"/>
          </w:tcPr>
          <w:p w14:paraId="2BE45A68" w14:textId="77777777" w:rsidR="006C3876" w:rsidRDefault="00762BD9">
            <w:pPr>
              <w:pStyle w:val="Compact"/>
            </w:pPr>
            <w:r>
              <w:t>0.35</w:t>
            </w:r>
          </w:p>
        </w:tc>
        <w:tc>
          <w:tcPr>
            <w:tcW w:w="0" w:type="auto"/>
          </w:tcPr>
          <w:p w14:paraId="726D0FDC" w14:textId="77777777" w:rsidR="006C3876" w:rsidRDefault="00762BD9">
            <w:pPr>
              <w:pStyle w:val="Compact"/>
            </w:pPr>
            <w:r>
              <w:t>0.05</w:t>
            </w:r>
          </w:p>
        </w:tc>
        <w:tc>
          <w:tcPr>
            <w:tcW w:w="0" w:type="auto"/>
          </w:tcPr>
          <w:p w14:paraId="5D066115" w14:textId="77777777" w:rsidR="006C3876" w:rsidRDefault="00762BD9">
            <w:pPr>
              <w:pStyle w:val="Compact"/>
            </w:pPr>
            <w:r>
              <w:t>0.25</w:t>
            </w:r>
          </w:p>
        </w:tc>
        <w:tc>
          <w:tcPr>
            <w:tcW w:w="0" w:type="auto"/>
          </w:tcPr>
          <w:p w14:paraId="58C74DB3" w14:textId="77777777" w:rsidR="006C3876" w:rsidRDefault="00762BD9">
            <w:pPr>
              <w:pStyle w:val="Compact"/>
            </w:pPr>
            <w:r>
              <w:t>0.37</w:t>
            </w:r>
          </w:p>
        </w:tc>
        <w:tc>
          <w:tcPr>
            <w:tcW w:w="0" w:type="auto"/>
          </w:tcPr>
          <w:p w14:paraId="70FCBB85" w14:textId="77777777" w:rsidR="006C3876" w:rsidRDefault="00762BD9">
            <w:pPr>
              <w:pStyle w:val="Compact"/>
            </w:pPr>
            <w:r>
              <w:t>0.61</w:t>
            </w:r>
          </w:p>
        </w:tc>
        <w:tc>
          <w:tcPr>
            <w:tcW w:w="0" w:type="auto"/>
          </w:tcPr>
          <w:p w14:paraId="2AB2C1F2" w14:textId="77777777" w:rsidR="006C3876" w:rsidRDefault="00762BD9">
            <w:pPr>
              <w:pStyle w:val="Compact"/>
            </w:pPr>
            <w:r>
              <w:t>1.67</w:t>
            </w:r>
          </w:p>
        </w:tc>
      </w:tr>
      <w:tr w:rsidR="006C3876" w14:paraId="0C493F9B" w14:textId="77777777" w:rsidTr="003D49E9">
        <w:trPr>
          <w:jc w:val="center"/>
        </w:trPr>
        <w:tc>
          <w:tcPr>
            <w:tcW w:w="0" w:type="auto"/>
          </w:tcPr>
          <w:p w14:paraId="43D55368" w14:textId="77777777" w:rsidR="006C3876" w:rsidRDefault="00762BD9">
            <w:pPr>
              <w:pStyle w:val="Compact"/>
            </w:pPr>
            <m:oMathPara>
              <m:oMath>
                <m:r>
                  <w:rPr>
                    <w:rFonts w:ascii="Cambria Math" w:hAnsi="Cambria Math"/>
                  </w:rPr>
                  <m:t>β</m:t>
                </m:r>
              </m:oMath>
            </m:oMathPara>
          </w:p>
        </w:tc>
        <w:tc>
          <w:tcPr>
            <w:tcW w:w="0" w:type="auto"/>
          </w:tcPr>
          <w:p w14:paraId="69ED9678" w14:textId="77777777" w:rsidR="006C3876" w:rsidRDefault="00762BD9">
            <w:pPr>
              <w:pStyle w:val="Compact"/>
            </w:pPr>
            <w:r>
              <w:t>6.81</w:t>
            </w:r>
          </w:p>
        </w:tc>
        <w:tc>
          <w:tcPr>
            <w:tcW w:w="0" w:type="auto"/>
          </w:tcPr>
          <w:p w14:paraId="5AB263B1" w14:textId="77777777" w:rsidR="006C3876" w:rsidRDefault="00762BD9">
            <w:pPr>
              <w:pStyle w:val="Compact"/>
            </w:pPr>
            <w:r>
              <w:t>9.87</w:t>
            </w:r>
          </w:p>
        </w:tc>
        <w:tc>
          <w:tcPr>
            <w:tcW w:w="0" w:type="auto"/>
          </w:tcPr>
          <w:p w14:paraId="08A75EF0" w14:textId="77777777" w:rsidR="006C3876" w:rsidRDefault="00762BD9">
            <w:pPr>
              <w:pStyle w:val="Compact"/>
            </w:pPr>
            <w:r>
              <w:t>0.04</w:t>
            </w:r>
          </w:p>
        </w:tc>
        <w:tc>
          <w:tcPr>
            <w:tcW w:w="0" w:type="auto"/>
          </w:tcPr>
          <w:p w14:paraId="17F1C44E" w14:textId="77777777" w:rsidR="006C3876" w:rsidRDefault="00762BD9">
            <w:pPr>
              <w:pStyle w:val="Compact"/>
            </w:pPr>
            <w:r>
              <w:t>1.13</w:t>
            </w:r>
          </w:p>
        </w:tc>
        <w:tc>
          <w:tcPr>
            <w:tcW w:w="0" w:type="auto"/>
          </w:tcPr>
          <w:p w14:paraId="310490C5" w14:textId="77777777" w:rsidR="006C3876" w:rsidRDefault="00762BD9">
            <w:pPr>
              <w:pStyle w:val="Compact"/>
            </w:pPr>
            <w:r>
              <w:t>3.25</w:t>
            </w:r>
          </w:p>
        </w:tc>
        <w:tc>
          <w:tcPr>
            <w:tcW w:w="0" w:type="auto"/>
          </w:tcPr>
          <w:p w14:paraId="1732A465" w14:textId="77777777" w:rsidR="006C3876" w:rsidRDefault="00762BD9">
            <w:pPr>
              <w:pStyle w:val="Compact"/>
            </w:pPr>
            <w:r>
              <w:t>8.04</w:t>
            </w:r>
          </w:p>
        </w:tc>
        <w:tc>
          <w:tcPr>
            <w:tcW w:w="0" w:type="auto"/>
          </w:tcPr>
          <w:p w14:paraId="0CD96D78" w14:textId="77777777" w:rsidR="006C3876" w:rsidRDefault="00762BD9">
            <w:pPr>
              <w:pStyle w:val="Compact"/>
            </w:pPr>
            <w:r>
              <w:t>49.74</w:t>
            </w:r>
          </w:p>
        </w:tc>
      </w:tr>
      <w:tr w:rsidR="006C3876" w14:paraId="083E43F3" w14:textId="77777777" w:rsidTr="003D49E9">
        <w:trPr>
          <w:jc w:val="center"/>
        </w:trPr>
        <w:tc>
          <w:tcPr>
            <w:tcW w:w="0" w:type="auto"/>
          </w:tcPr>
          <w:p w14:paraId="7119DAD2" w14:textId="77777777" w:rsidR="006C3876" w:rsidRDefault="00762BD9">
            <w:pPr>
              <w:pStyle w:val="Compact"/>
            </w:pPr>
            <m:oMathPara>
              <m:oMath>
                <m:r>
                  <w:rPr>
                    <w:rFonts w:ascii="Cambria Math" w:hAnsi="Cambria Math"/>
                  </w:rPr>
                  <m:t>γ</m:t>
                </m:r>
              </m:oMath>
            </m:oMathPara>
          </w:p>
        </w:tc>
        <w:tc>
          <w:tcPr>
            <w:tcW w:w="0" w:type="auto"/>
          </w:tcPr>
          <w:p w14:paraId="07ECAF5E" w14:textId="77777777" w:rsidR="006C3876" w:rsidRDefault="00762BD9">
            <w:pPr>
              <w:pStyle w:val="Compact"/>
            </w:pPr>
            <w:r>
              <w:t>0.81</w:t>
            </w:r>
          </w:p>
        </w:tc>
        <w:tc>
          <w:tcPr>
            <w:tcW w:w="0" w:type="auto"/>
          </w:tcPr>
          <w:p w14:paraId="1E104D0B" w14:textId="77777777" w:rsidR="006C3876" w:rsidRDefault="00762BD9">
            <w:pPr>
              <w:pStyle w:val="Compact"/>
            </w:pPr>
            <w:r>
              <w:t>0.25</w:t>
            </w:r>
          </w:p>
        </w:tc>
        <w:tc>
          <w:tcPr>
            <w:tcW w:w="0" w:type="auto"/>
          </w:tcPr>
          <w:p w14:paraId="726852B2" w14:textId="77777777" w:rsidR="006C3876" w:rsidRDefault="00762BD9">
            <w:pPr>
              <w:pStyle w:val="Compact"/>
            </w:pPr>
            <w:r>
              <w:t>0.22</w:t>
            </w:r>
          </w:p>
        </w:tc>
        <w:tc>
          <w:tcPr>
            <w:tcW w:w="0" w:type="auto"/>
          </w:tcPr>
          <w:p w14:paraId="27395D3E" w14:textId="77777777" w:rsidR="006C3876" w:rsidRDefault="00762BD9">
            <w:pPr>
              <w:pStyle w:val="Compact"/>
            </w:pPr>
            <w:r>
              <w:t>0.58</w:t>
            </w:r>
          </w:p>
        </w:tc>
        <w:tc>
          <w:tcPr>
            <w:tcW w:w="0" w:type="auto"/>
          </w:tcPr>
          <w:p w14:paraId="5EBAE0A0" w14:textId="77777777" w:rsidR="006C3876" w:rsidRDefault="00762BD9">
            <w:pPr>
              <w:pStyle w:val="Compact"/>
            </w:pPr>
            <w:r>
              <w:t>1.0</w:t>
            </w:r>
          </w:p>
        </w:tc>
        <w:tc>
          <w:tcPr>
            <w:tcW w:w="0" w:type="auto"/>
          </w:tcPr>
          <w:p w14:paraId="42483071" w14:textId="77777777" w:rsidR="006C3876" w:rsidRDefault="00762BD9">
            <w:pPr>
              <w:pStyle w:val="Compact"/>
            </w:pPr>
            <w:r>
              <w:t>1.0</w:t>
            </w:r>
          </w:p>
        </w:tc>
        <w:tc>
          <w:tcPr>
            <w:tcW w:w="0" w:type="auto"/>
          </w:tcPr>
          <w:p w14:paraId="6677427B" w14:textId="77777777" w:rsidR="006C3876" w:rsidRDefault="00762BD9">
            <w:pPr>
              <w:pStyle w:val="Compact"/>
            </w:pPr>
            <w:r>
              <w:t>1.0</w:t>
            </w:r>
          </w:p>
        </w:tc>
      </w:tr>
      <w:tr w:rsidR="006C3876" w14:paraId="78D83BE0" w14:textId="77777777" w:rsidTr="003D49E9">
        <w:trPr>
          <w:jc w:val="center"/>
        </w:trPr>
        <w:tc>
          <w:tcPr>
            <w:tcW w:w="0" w:type="auto"/>
          </w:tcPr>
          <w:p w14:paraId="57C17DE5" w14:textId="77777777" w:rsidR="006C3876" w:rsidRDefault="00762BD9">
            <w:pPr>
              <w:pStyle w:val="Compact"/>
            </w:pPr>
            <m:oMathPara>
              <m:oMath>
                <m:r>
                  <w:rPr>
                    <w:rFonts w:ascii="Cambria Math" w:hAnsi="Cambria Math"/>
                  </w:rPr>
                  <m:t>λ</m:t>
                </m:r>
              </m:oMath>
            </m:oMathPara>
          </w:p>
        </w:tc>
        <w:tc>
          <w:tcPr>
            <w:tcW w:w="0" w:type="auto"/>
          </w:tcPr>
          <w:p w14:paraId="35079202" w14:textId="77777777" w:rsidR="006C3876" w:rsidRDefault="00762BD9">
            <w:pPr>
              <w:pStyle w:val="Compact"/>
            </w:pPr>
            <w:r>
              <w:t>0.29</w:t>
            </w:r>
          </w:p>
        </w:tc>
        <w:tc>
          <w:tcPr>
            <w:tcW w:w="0" w:type="auto"/>
          </w:tcPr>
          <w:p w14:paraId="7E792C11" w14:textId="77777777" w:rsidR="006C3876" w:rsidRDefault="00762BD9">
            <w:pPr>
              <w:pStyle w:val="Compact"/>
            </w:pPr>
            <w:r>
              <w:t>0.2</w:t>
            </w:r>
          </w:p>
        </w:tc>
        <w:tc>
          <w:tcPr>
            <w:tcW w:w="0" w:type="auto"/>
          </w:tcPr>
          <w:p w14:paraId="099C841C" w14:textId="77777777" w:rsidR="006C3876" w:rsidRDefault="00762BD9">
            <w:pPr>
              <w:pStyle w:val="Compact"/>
            </w:pPr>
            <w:r>
              <w:t>0.08</w:t>
            </w:r>
          </w:p>
        </w:tc>
        <w:tc>
          <w:tcPr>
            <w:tcW w:w="0" w:type="auto"/>
          </w:tcPr>
          <w:p w14:paraId="5484EA6E" w14:textId="77777777" w:rsidR="006C3876" w:rsidRDefault="00762BD9">
            <w:pPr>
              <w:pStyle w:val="Compact"/>
            </w:pPr>
            <w:r>
              <w:t>0.14</w:t>
            </w:r>
          </w:p>
        </w:tc>
        <w:tc>
          <w:tcPr>
            <w:tcW w:w="0" w:type="auto"/>
          </w:tcPr>
          <w:p w14:paraId="0A226A03" w14:textId="77777777" w:rsidR="006C3876" w:rsidRDefault="00762BD9">
            <w:pPr>
              <w:pStyle w:val="Compact"/>
            </w:pPr>
            <w:r>
              <w:t>0.23</w:t>
            </w:r>
          </w:p>
        </w:tc>
        <w:tc>
          <w:tcPr>
            <w:tcW w:w="0" w:type="auto"/>
          </w:tcPr>
          <w:p w14:paraId="6549A5B7" w14:textId="77777777" w:rsidR="006C3876" w:rsidRDefault="00762BD9">
            <w:pPr>
              <w:pStyle w:val="Compact"/>
            </w:pPr>
            <w:r>
              <w:t>0.46</w:t>
            </w:r>
          </w:p>
        </w:tc>
        <w:tc>
          <w:tcPr>
            <w:tcW w:w="0" w:type="auto"/>
          </w:tcPr>
          <w:p w14:paraId="55675943" w14:textId="77777777" w:rsidR="006C3876" w:rsidRDefault="00762BD9">
            <w:pPr>
              <w:pStyle w:val="Compact"/>
            </w:pPr>
            <w:r>
              <w:t>0.65</w:t>
            </w:r>
          </w:p>
        </w:tc>
      </w:tr>
      <w:tr w:rsidR="006C3876" w14:paraId="58F430E9" w14:textId="77777777" w:rsidTr="003D49E9">
        <w:trPr>
          <w:jc w:val="center"/>
        </w:trPr>
        <w:tc>
          <w:tcPr>
            <w:tcW w:w="0" w:type="auto"/>
          </w:tcPr>
          <w:p w14:paraId="1A7DE6BB" w14:textId="77777777" w:rsidR="006C3876" w:rsidRDefault="00762BD9">
            <w:pPr>
              <w:pStyle w:val="Compact"/>
            </w:pPr>
            <m:oMathPara>
              <m:oMath>
                <m:r>
                  <w:rPr>
                    <w:rFonts w:ascii="Cambria Math" w:hAnsi="Cambria Math"/>
                  </w:rPr>
                  <m:t>θ</m:t>
                </m:r>
              </m:oMath>
            </m:oMathPara>
          </w:p>
        </w:tc>
        <w:tc>
          <w:tcPr>
            <w:tcW w:w="0" w:type="auto"/>
          </w:tcPr>
          <w:p w14:paraId="6B094C34" w14:textId="77777777" w:rsidR="006C3876" w:rsidRDefault="00762BD9">
            <w:pPr>
              <w:pStyle w:val="Compact"/>
            </w:pPr>
            <w:r>
              <w:t>0.69</w:t>
            </w:r>
          </w:p>
        </w:tc>
        <w:tc>
          <w:tcPr>
            <w:tcW w:w="0" w:type="auto"/>
          </w:tcPr>
          <w:p w14:paraId="5EBD508A" w14:textId="77777777" w:rsidR="006C3876" w:rsidRDefault="00762BD9">
            <w:pPr>
              <w:pStyle w:val="Compact"/>
            </w:pPr>
            <w:r>
              <w:t>0.18</w:t>
            </w:r>
          </w:p>
        </w:tc>
        <w:tc>
          <w:tcPr>
            <w:tcW w:w="0" w:type="auto"/>
          </w:tcPr>
          <w:p w14:paraId="1FC79C78" w14:textId="77777777" w:rsidR="006C3876" w:rsidRDefault="00762BD9">
            <w:pPr>
              <w:pStyle w:val="Compact"/>
            </w:pPr>
            <w:r>
              <w:t>0.13</w:t>
            </w:r>
          </w:p>
        </w:tc>
        <w:tc>
          <w:tcPr>
            <w:tcW w:w="0" w:type="auto"/>
          </w:tcPr>
          <w:p w14:paraId="47CA755F" w14:textId="77777777" w:rsidR="006C3876" w:rsidRDefault="00762BD9">
            <w:pPr>
              <w:pStyle w:val="Compact"/>
            </w:pPr>
            <w:r>
              <w:t>0.63</w:t>
            </w:r>
          </w:p>
        </w:tc>
        <w:tc>
          <w:tcPr>
            <w:tcW w:w="0" w:type="auto"/>
          </w:tcPr>
          <w:p w14:paraId="3D0585D1" w14:textId="77777777" w:rsidR="006C3876" w:rsidRDefault="00762BD9">
            <w:pPr>
              <w:pStyle w:val="Compact"/>
            </w:pPr>
            <w:r>
              <w:t>0.72</w:t>
            </w:r>
          </w:p>
        </w:tc>
        <w:tc>
          <w:tcPr>
            <w:tcW w:w="0" w:type="auto"/>
          </w:tcPr>
          <w:p w14:paraId="17EB87A2" w14:textId="77777777" w:rsidR="006C3876" w:rsidRDefault="00762BD9">
            <w:pPr>
              <w:pStyle w:val="Compact"/>
            </w:pPr>
            <w:r>
              <w:t>0.83</w:t>
            </w:r>
          </w:p>
        </w:tc>
        <w:tc>
          <w:tcPr>
            <w:tcW w:w="0" w:type="auto"/>
          </w:tcPr>
          <w:p w14:paraId="41BF0A1F" w14:textId="77777777" w:rsidR="006C3876" w:rsidRDefault="00762BD9">
            <w:pPr>
              <w:pStyle w:val="Compact"/>
            </w:pPr>
            <w:r>
              <w:t>0.95</w:t>
            </w:r>
          </w:p>
        </w:tc>
      </w:tr>
    </w:tbl>
    <w:p w14:paraId="707E85DB" w14:textId="0A52D2CA" w:rsidR="003D49E9" w:rsidRDefault="003D49E9" w:rsidP="003D49E9">
      <w:pPr>
        <w:pStyle w:val="TableCaption"/>
      </w:pPr>
      <w:bookmarkStart w:id="8" w:name="fig:gla-estimates"/>
      <w:bookmarkEnd w:id="7"/>
      <w:r>
        <w:t xml:space="preserve">Supplementary Table 1: </w:t>
      </w:r>
      <w:r>
        <w:rPr>
          <w:b/>
          <w:bCs/>
        </w:rPr>
        <w:t>Summary of GLA estimates.</w:t>
      </w:r>
      <w:r>
        <w:t xml:space="preserve"> </w:t>
      </w:r>
      <m:oMath>
        <m:r>
          <w:rPr>
            <w:rFonts w:ascii="Cambria Math" w:hAnsi="Cambria Math"/>
          </w:rPr>
          <m:t>α</m:t>
        </m:r>
      </m:oMath>
      <w:r>
        <w:t xml:space="preserve"> is the utility parameter. </w:t>
      </w:r>
      <m:oMath>
        <m:r>
          <w:rPr>
            <w:rFonts w:ascii="Cambria Math" w:hAnsi="Cambria Math"/>
          </w:rPr>
          <m:t>β</m:t>
        </m:r>
      </m:oMath>
      <w:r>
        <w:t xml:space="preserve"> is the inverse temperature parameter of the choice rule (0 = random choice). </w:t>
      </w:r>
      <m:oMath>
        <m:r>
          <w:rPr>
            <w:rFonts w:ascii="Cambria Math" w:hAnsi="Cambria Math"/>
          </w:rPr>
          <m:t>γ</m:t>
        </m:r>
      </m:oMath>
      <w:r>
        <w:t xml:space="preserve"> is the probability weighting parameter (1 = objective probability weighting). </w:t>
      </w:r>
      <m:oMath>
        <m:r>
          <w:rPr>
            <w:rFonts w:ascii="Cambria Math" w:hAnsi="Cambria Math"/>
          </w:rPr>
          <m:t>λ</m:t>
        </m:r>
      </m:oMath>
      <w:r>
        <w:t xml:space="preserve"> is the leak parameter (0 = perfect memory, 1 = full leak of all previous </w:t>
      </w:r>
      <w:proofErr w:type="gramStart"/>
      <w:r>
        <w:t>information).</w:t>
      </w:r>
      <w:proofErr w:type="gramEnd"/>
      <w:r>
        <w:t xml:space="preserve"> </w:t>
      </w:r>
      <m:oMath>
        <m:r>
          <w:rPr>
            <w:rFonts w:ascii="Cambria Math" w:hAnsi="Cambria Math"/>
          </w:rPr>
          <m:t>θ</m:t>
        </m:r>
      </m:oMath>
      <w:r>
        <w:t xml:space="preserve"> is the gaze-discount parameter (1 = no gaze-discount, 0 = maximum gaze-discount).</w:t>
      </w:r>
      <w:r>
        <w:br w:type="page"/>
      </w:r>
    </w:p>
    <w:p w14:paraId="2B0538D5" w14:textId="5C8EE1EF" w:rsidR="006C3876" w:rsidRDefault="00762BD9" w:rsidP="00401A9D">
      <w:pPr>
        <w:pStyle w:val="CaptionedFigure"/>
        <w:jc w:val="center"/>
      </w:pPr>
      <w:r>
        <w:rPr>
          <w:noProof/>
        </w:rPr>
        <w:lastRenderedPageBreak/>
        <w:drawing>
          <wp:inline distT="0" distB="0" distL="0" distR="0" wp14:anchorId="4B99B821" wp14:editId="6339A6F9">
            <wp:extent cx="5969000" cy="5969000"/>
            <wp:effectExtent l="0" t="0" r="0" b="0"/>
            <wp:docPr id="8" name="Picture" descr="Figure 8: GLA maximum likelihood estimates and relationships between parameters. \alpha is the utility parameter. \beta is the inverse temperature parameter of the choice rule (0 = random choice). \gamma is the probability weighting parameter (1 = linear weighting). \lambda is the leak parameter (0 = perfect memory, 1 = full leak of all previous information). \theta is the gaze-discount parameter (1 = no gaze-discount, 0 = maximum gaze-discount)."/>
            <wp:cNvGraphicFramePr/>
            <a:graphic xmlns:a="http://schemas.openxmlformats.org/drawingml/2006/main">
              <a:graphicData uri="http://schemas.openxmlformats.org/drawingml/2006/picture">
                <pic:pic xmlns:pic="http://schemas.openxmlformats.org/drawingml/2006/picture">
                  <pic:nvPicPr>
                    <pic:cNvPr id="0" name="Picture" descr="../figures/S_GLA-estimates.pdf"/>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bookmarkEnd w:id="8"/>
    </w:p>
    <w:p w14:paraId="06CD148E" w14:textId="663E3B1B" w:rsidR="00332B2A" w:rsidRDefault="00E11409" w:rsidP="00332B2A">
      <w:pPr>
        <w:pStyle w:val="ImageCaption"/>
      </w:pPr>
      <w:r>
        <w:t xml:space="preserve">Supplementary </w:t>
      </w:r>
      <w:r w:rsidR="00762BD9">
        <w:t xml:space="preserve">Figure </w:t>
      </w:r>
      <w:r>
        <w:t>3</w:t>
      </w:r>
      <w:r w:rsidR="00762BD9">
        <w:t xml:space="preserve">: </w:t>
      </w:r>
      <w:r w:rsidR="00762BD9">
        <w:rPr>
          <w:b/>
          <w:bCs/>
        </w:rPr>
        <w:t>GLA maximum likelihood estimates and relationships between parameters.</w:t>
      </w:r>
      <w:r w:rsidR="00762BD9">
        <w:t xml:space="preserve"> </w:t>
      </w:r>
      <m:oMath>
        <m:r>
          <w:rPr>
            <w:rFonts w:ascii="Cambria Math" w:hAnsi="Cambria Math"/>
          </w:rPr>
          <m:t>α</m:t>
        </m:r>
      </m:oMath>
      <w:r w:rsidR="00762BD9">
        <w:t xml:space="preserve"> is the utility parameter. </w:t>
      </w:r>
      <m:oMath>
        <m:r>
          <w:rPr>
            <w:rFonts w:ascii="Cambria Math" w:hAnsi="Cambria Math"/>
          </w:rPr>
          <m:t>β</m:t>
        </m:r>
      </m:oMath>
      <w:r w:rsidR="00762BD9">
        <w:t xml:space="preserve"> is the inverse temperature parameter of the choice rule (0 = random choice). </w:t>
      </w:r>
      <m:oMath>
        <m:r>
          <w:rPr>
            <w:rFonts w:ascii="Cambria Math" w:hAnsi="Cambria Math"/>
          </w:rPr>
          <m:t>γ</m:t>
        </m:r>
      </m:oMath>
      <w:r w:rsidR="00762BD9">
        <w:t xml:space="preserve"> is the probability weighting parameter (1 = linear weighting). </w:t>
      </w:r>
      <m:oMath>
        <m:r>
          <w:rPr>
            <w:rFonts w:ascii="Cambria Math" w:hAnsi="Cambria Math"/>
          </w:rPr>
          <m:t>λ</m:t>
        </m:r>
      </m:oMath>
      <w:r w:rsidR="00762BD9">
        <w:t xml:space="preserve"> is the leak parameter (0 = perfect memory, 1 = full leak of all previous information). </w:t>
      </w:r>
      <m:oMath>
        <m:r>
          <w:rPr>
            <w:rFonts w:ascii="Cambria Math" w:hAnsi="Cambria Math"/>
          </w:rPr>
          <m:t>θ</m:t>
        </m:r>
      </m:oMath>
      <w:r w:rsidR="00762BD9">
        <w:t xml:space="preserve"> is the gaze-discount parameter (1 = no gaze-discount, 0 = maximum gaze-discount).</w:t>
      </w:r>
      <w:r w:rsidR="00332B2A">
        <w:br w:type="page"/>
      </w:r>
    </w:p>
    <w:p w14:paraId="05224BE5" w14:textId="77777777" w:rsidR="006C3876" w:rsidRDefault="00762BD9" w:rsidP="00401A9D">
      <w:pPr>
        <w:pStyle w:val="CaptionedFigure"/>
        <w:jc w:val="center"/>
      </w:pPr>
      <w:bookmarkStart w:id="9" w:name="fig:model-pred-probs"/>
      <w:r>
        <w:rPr>
          <w:noProof/>
        </w:rPr>
        <w:lastRenderedPageBreak/>
        <w:drawing>
          <wp:inline distT="0" distB="0" distL="0" distR="0" wp14:anchorId="35C78842" wp14:editId="42C311BC">
            <wp:extent cx="5969000" cy="2441332"/>
            <wp:effectExtent l="0" t="0" r="0" b="0"/>
            <wp:docPr id="9" name="Picture" descr="Figure 9: Model-predicted choice probabilities. Each panel shows distributions of participant-level mean model-predicted choice probabilities for the target, competitor, decoy and ultimately chosen alternative. Predictions for attraction and compromise trials are displayed separately in the top (a-f) and bottom rows (g-l). Predictions were computed using individual maximum likelihood estimates. The hybrid model (f, l) was derived from the switchboard analysis and combines an alternative-wise gaze-discount with a distance-dependent inhibition mechanism. Violin plots show kernel density estimates of distributions of individual values. Box plots mark lower and upper quartiles and median. Whiskers extend from first and last datum within 1.5 times the interquartile range from lower and upper quartiles, respectively. Values outside this range are indicated by open circles."/>
            <wp:cNvGraphicFramePr/>
            <a:graphic xmlns:a="http://schemas.openxmlformats.org/drawingml/2006/main">
              <a:graphicData uri="http://schemas.openxmlformats.org/drawingml/2006/picture">
                <pic:pic xmlns:pic="http://schemas.openxmlformats.org/drawingml/2006/picture">
                  <pic:nvPicPr>
                    <pic:cNvPr id="0" name="Picture" descr="../figures/S_model-predicted-choiceprobs.pdf"/>
                    <pic:cNvPicPr>
                      <a:picLocks noChangeAspect="1" noChangeArrowheads="1"/>
                    </pic:cNvPicPr>
                  </pic:nvPicPr>
                  <pic:blipFill>
                    <a:blip r:embed="rId10"/>
                    <a:stretch>
                      <a:fillRect/>
                    </a:stretch>
                  </pic:blipFill>
                  <pic:spPr bwMode="auto">
                    <a:xfrm>
                      <a:off x="0" y="0"/>
                      <a:ext cx="5969000" cy="2441332"/>
                    </a:xfrm>
                    <a:prstGeom prst="rect">
                      <a:avLst/>
                    </a:prstGeom>
                    <a:noFill/>
                    <a:ln w="9525">
                      <a:noFill/>
                      <a:headEnd/>
                      <a:tailEnd/>
                    </a:ln>
                  </pic:spPr>
                </pic:pic>
              </a:graphicData>
            </a:graphic>
          </wp:inline>
        </w:drawing>
      </w:r>
      <w:bookmarkEnd w:id="9"/>
    </w:p>
    <w:p w14:paraId="26DA96DF" w14:textId="55A4CEA3" w:rsidR="00647A16" w:rsidRDefault="005302E5" w:rsidP="00647A16">
      <w:pPr>
        <w:pStyle w:val="ImageCaption"/>
      </w:pPr>
      <w:r>
        <w:t>Supplementary Figure 4</w:t>
      </w:r>
      <w:r w:rsidR="00762BD9">
        <w:t xml:space="preserve">: </w:t>
      </w:r>
      <w:r w:rsidR="00762BD9">
        <w:rPr>
          <w:b/>
          <w:bCs/>
        </w:rPr>
        <w:t>Model-predicted choice probabilities.</w:t>
      </w:r>
      <w:r w:rsidR="00762BD9">
        <w:t xml:space="preserve"> Each panel shows distributions of participant-level mean model-predicted choice probabilities for the target, competitor, decoy and ultimately chosen alternative. Predictions for attraction and compromise trials are displayed separately in the top </w:t>
      </w:r>
      <w:r w:rsidR="00762BD9">
        <w:rPr>
          <w:b/>
          <w:bCs/>
        </w:rPr>
        <w:t>(a-f)</w:t>
      </w:r>
      <w:r w:rsidR="00762BD9">
        <w:t xml:space="preserve"> and bottom rows </w:t>
      </w:r>
      <w:r w:rsidR="00762BD9">
        <w:rPr>
          <w:b/>
          <w:bCs/>
        </w:rPr>
        <w:t>(g-l)</w:t>
      </w:r>
      <w:r w:rsidR="00762BD9">
        <w:t xml:space="preserve">. Predictions were computed using individual maximum likelihood estimates. The hybrid model </w:t>
      </w:r>
      <w:r w:rsidR="00762BD9">
        <w:rPr>
          <w:b/>
          <w:bCs/>
        </w:rPr>
        <w:t>(f, l)</w:t>
      </w:r>
      <w:r w:rsidR="00762BD9">
        <w:t xml:space="preserve"> was derived from the switchboard analysis and combines an alternative-wise gaze-discount with a distance-dependent inhibition mechanism. Violin plots show kernel density estimates of distributions of individual values. Box plots mark lower and upper quartiles and median. Whiskers extend from first and last datum within 1.5 times the interquartile range from lower and upper quartiles, respectively. Values outside this range are indicated by open circles.</w:t>
      </w:r>
      <w:r w:rsidR="00647A16">
        <w:br w:type="page"/>
      </w:r>
    </w:p>
    <w:p w14:paraId="45A2EE54" w14:textId="77777777" w:rsidR="006C3876" w:rsidRDefault="00762BD9" w:rsidP="00BC2EB8">
      <w:pPr>
        <w:pStyle w:val="CaptionedFigure"/>
        <w:jc w:val="center"/>
      </w:pPr>
      <w:bookmarkStart w:id="10" w:name="fig:dbic-rst"/>
      <w:r>
        <w:rPr>
          <w:noProof/>
        </w:rPr>
        <w:lastRenderedPageBreak/>
        <w:drawing>
          <wp:inline distT="0" distB="0" distL="0" distR="0" wp14:anchorId="508C3742" wp14:editId="2E30B046">
            <wp:extent cx="3251200" cy="1638300"/>
            <wp:effectExtent l="0" t="0" r="0" b="0"/>
            <wp:docPr id="10" name="Picture" descr="Figure 10: Relative model fits between GLA and MDFT in relation to RST. Relative model fits of MDFT (indicated by BIC difference between GLA and MDFT) tended to be higher for participants with higher RST in attraction trials (left panel; slope = 0.04, HDI_{95} = [-0.01, 0.09] increase in RST per 100 unit increase in BIC difference, 93.6% of posterior mass above 0), but not compromise trials (right panel), even though 7 out of 9 participants with attraction RST above 0.7 were better described by GLA overall (participants left of dashed vertical line)."/>
            <wp:cNvGraphicFramePr/>
            <a:graphic xmlns:a="http://schemas.openxmlformats.org/drawingml/2006/main">
              <a:graphicData uri="http://schemas.openxmlformats.org/drawingml/2006/picture">
                <pic:pic xmlns:pic="http://schemas.openxmlformats.org/drawingml/2006/picture">
                  <pic:nvPicPr>
                    <pic:cNvPr id="0" name="Picture" descr="../figures/S_GLA-vs-MDFT_dBIC_RST.pdf"/>
                    <pic:cNvPicPr>
                      <a:picLocks noChangeAspect="1" noChangeArrowheads="1"/>
                    </pic:cNvPicPr>
                  </pic:nvPicPr>
                  <pic:blipFill>
                    <a:blip r:embed="rId11"/>
                    <a:stretch>
                      <a:fillRect/>
                    </a:stretch>
                  </pic:blipFill>
                  <pic:spPr bwMode="auto">
                    <a:xfrm>
                      <a:off x="0" y="0"/>
                      <a:ext cx="3251200" cy="1638300"/>
                    </a:xfrm>
                    <a:prstGeom prst="rect">
                      <a:avLst/>
                    </a:prstGeom>
                    <a:noFill/>
                    <a:ln w="9525">
                      <a:noFill/>
                      <a:headEnd/>
                      <a:tailEnd/>
                    </a:ln>
                  </pic:spPr>
                </pic:pic>
              </a:graphicData>
            </a:graphic>
          </wp:inline>
        </w:drawing>
      </w:r>
      <w:bookmarkEnd w:id="10"/>
    </w:p>
    <w:p w14:paraId="597326CF" w14:textId="77777777" w:rsidR="00CA6DA3" w:rsidRDefault="00756F68" w:rsidP="00BA24BD">
      <w:pPr>
        <w:pStyle w:val="ImageCaption"/>
        <w:sectPr w:rsidR="00CA6DA3" w:rsidSect="00762BD9">
          <w:headerReference w:type="even" r:id="rId12"/>
          <w:headerReference w:type="default" r:id="rId13"/>
          <w:footerReference w:type="even" r:id="rId14"/>
          <w:footerReference w:type="default" r:id="rId15"/>
          <w:headerReference w:type="first" r:id="rId16"/>
          <w:pgSz w:w="12240" w:h="15840"/>
          <w:pgMar w:top="1417" w:right="1417" w:bottom="1134" w:left="1417" w:header="720" w:footer="720" w:gutter="0"/>
          <w:lnNumType w:countBy="1" w:restart="continuous"/>
          <w:cols w:space="720"/>
          <w:docGrid w:linePitch="326"/>
        </w:sectPr>
      </w:pPr>
      <w:r>
        <w:t>Supplementary Figure 5</w:t>
      </w:r>
      <w:r w:rsidR="00762BD9">
        <w:t xml:space="preserve">: </w:t>
      </w:r>
      <w:r w:rsidR="00762BD9">
        <w:rPr>
          <w:b/>
          <w:bCs/>
        </w:rPr>
        <w:t>Relative model fits between GLA and MDFT in relation to RST</w:t>
      </w:r>
      <w:r w:rsidR="00762BD9">
        <w:t>. Relative model fits of MDFT (indicated by BIC difference between GLA and MDFT) tended to be higher for participants with higher RST in attraction trials (left panel; slope = 0.04,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rsidR="00762BD9">
        <w:t xml:space="preserve"> = [-0.01, 0.09] increase in RST per 100 unit increase in BIC difference, 93.6% of posterior mass above 0), but not compromise trials (right panel), even though 7 out of 9 participants with attraction RST above 0.7 were better described by GLA overall (participants left of dashed vertical line).</w:t>
      </w:r>
    </w:p>
    <w:tbl>
      <w:tblPr>
        <w:tblStyle w:val="TableGrid"/>
        <w:tblW w:w="0" w:type="auto"/>
        <w:tblLayout w:type="fixed"/>
        <w:tblLook w:val="04A0" w:firstRow="1" w:lastRow="0" w:firstColumn="1" w:lastColumn="0" w:noHBand="0" w:noVBand="1"/>
      </w:tblPr>
      <w:tblGrid>
        <w:gridCol w:w="1179"/>
        <w:gridCol w:w="2699"/>
        <w:gridCol w:w="1343"/>
        <w:gridCol w:w="1356"/>
        <w:gridCol w:w="2686"/>
        <w:gridCol w:w="13"/>
        <w:gridCol w:w="2700"/>
        <w:gridCol w:w="441"/>
      </w:tblGrid>
      <w:tr w:rsidR="00283EA1" w:rsidRPr="00F16EDB" w14:paraId="1151EBE4" w14:textId="77777777" w:rsidTr="005B2CDE">
        <w:trPr>
          <w:trHeight w:val="90"/>
        </w:trPr>
        <w:tc>
          <w:tcPr>
            <w:tcW w:w="1179" w:type="dxa"/>
          </w:tcPr>
          <w:p w14:paraId="42E087A9" w14:textId="77777777" w:rsidR="00283EA1" w:rsidRPr="00F16EDB" w:rsidRDefault="00283EA1" w:rsidP="005B2CDE">
            <w:pPr>
              <w:pStyle w:val="BodyText"/>
              <w:spacing w:line="240" w:lineRule="auto"/>
              <w:ind w:firstLine="0"/>
              <w:rPr>
                <w:b/>
                <w:sz w:val="15"/>
                <w:szCs w:val="15"/>
                <w:lang w:val="en-GB"/>
              </w:rPr>
            </w:pPr>
            <w:bookmarkStart w:id="11" w:name="switchboard-analysis-overview"/>
            <w:bookmarkEnd w:id="2"/>
            <w:bookmarkEnd w:id="6"/>
            <w:r w:rsidRPr="00F16EDB">
              <w:rPr>
                <w:b/>
                <w:sz w:val="15"/>
                <w:szCs w:val="15"/>
                <w:lang w:val="en-GB"/>
              </w:rPr>
              <w:lastRenderedPageBreak/>
              <w:t>Switch</w:t>
            </w:r>
          </w:p>
        </w:tc>
        <w:tc>
          <w:tcPr>
            <w:tcW w:w="8084" w:type="dxa"/>
            <w:gridSpan w:val="4"/>
          </w:tcPr>
          <w:p w14:paraId="3AC140C7"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Gaze-independent levels</w:t>
            </w:r>
          </w:p>
        </w:tc>
        <w:tc>
          <w:tcPr>
            <w:tcW w:w="2713" w:type="dxa"/>
            <w:gridSpan w:val="2"/>
            <w:shd w:val="clear" w:color="auto" w:fill="C6D9F1" w:themeFill="text2" w:themeFillTint="33"/>
          </w:tcPr>
          <w:p w14:paraId="22DED8BA"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Gaze-dependent levels</w:t>
            </w:r>
          </w:p>
        </w:tc>
        <w:tc>
          <w:tcPr>
            <w:tcW w:w="441" w:type="dxa"/>
          </w:tcPr>
          <w:p w14:paraId="5A2D2784" w14:textId="77777777" w:rsidR="00283EA1" w:rsidRPr="00F16EDB" w:rsidRDefault="00283EA1" w:rsidP="005B2CDE">
            <w:pPr>
              <w:pStyle w:val="BodyText"/>
              <w:spacing w:line="240" w:lineRule="auto"/>
              <w:ind w:firstLine="0"/>
              <w:jc w:val="center"/>
              <w:rPr>
                <w:b/>
                <w:sz w:val="15"/>
                <w:szCs w:val="15"/>
                <w:lang w:val="en-GB"/>
              </w:rPr>
            </w:pPr>
            <w:r w:rsidRPr="00F16EDB">
              <w:rPr>
                <w:b/>
                <w:sz w:val="15"/>
                <w:szCs w:val="15"/>
                <w:lang w:val="en-GB"/>
              </w:rPr>
              <w:t>N</w:t>
            </w:r>
          </w:p>
        </w:tc>
      </w:tr>
      <w:tr w:rsidR="00283EA1" w:rsidRPr="00F16EDB" w14:paraId="034F7840" w14:textId="77777777" w:rsidTr="005B2CDE">
        <w:trPr>
          <w:trHeight w:val="402"/>
        </w:trPr>
        <w:tc>
          <w:tcPr>
            <w:tcW w:w="1179" w:type="dxa"/>
          </w:tcPr>
          <w:p w14:paraId="0ED343C0"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Attribute integration</w:t>
            </w:r>
          </w:p>
        </w:tc>
        <w:tc>
          <w:tcPr>
            <w:tcW w:w="4042" w:type="dxa"/>
            <w:gridSpan w:val="2"/>
          </w:tcPr>
          <w:p w14:paraId="59DADFE2" w14:textId="02087A27" w:rsidR="00283EA1" w:rsidRPr="00FB547B" w:rsidRDefault="00283EA1" w:rsidP="005B2CDE">
            <w:pPr>
              <w:pStyle w:val="BodyText"/>
              <w:spacing w:line="240" w:lineRule="auto"/>
              <w:ind w:firstLine="0"/>
              <w:rPr>
                <w:sz w:val="15"/>
                <w:szCs w:val="15"/>
                <w:lang w:val="en-GB"/>
              </w:rPr>
            </w:pPr>
            <w:r w:rsidRPr="00F16EDB">
              <w:rPr>
                <w:b/>
                <w:sz w:val="15"/>
                <w:szCs w:val="15"/>
                <w:lang w:val="en-GB"/>
              </w:rPr>
              <w:t>× Multiplicative</w:t>
            </w:r>
            <w:r w:rsidRPr="00F16EDB">
              <w:rPr>
                <w:sz w:val="15"/>
                <w:szCs w:val="15"/>
                <w:lang w:val="en-GB"/>
              </w:rPr>
              <w:br/>
              <w:t>Outcomes and probabilities combine multiplicatively into expected utilities</w:t>
            </w:r>
            <w:r w:rsidR="00FB547B" w:rsidRPr="00FB547B">
              <w:rPr>
                <w:sz w:val="15"/>
                <w:szCs w:val="15"/>
                <w:vertAlign w:val="superscript"/>
                <w:lang w:val="en-GB"/>
              </w:rPr>
              <w:t>6,7</w:t>
            </w:r>
            <w:r w:rsidR="00FB547B">
              <w:rPr>
                <w:sz w:val="15"/>
                <w:szCs w:val="15"/>
                <w:lang w:val="en-GB"/>
              </w:rPr>
              <w:t>.</w:t>
            </w:r>
          </w:p>
        </w:tc>
        <w:tc>
          <w:tcPr>
            <w:tcW w:w="4042" w:type="dxa"/>
            <w:gridSpan w:val="2"/>
          </w:tcPr>
          <w:p w14:paraId="3CCBD7B7" w14:textId="503E5324" w:rsidR="00283EA1" w:rsidRPr="00FB547B" w:rsidRDefault="00283EA1" w:rsidP="005B2CDE">
            <w:pPr>
              <w:pStyle w:val="BodyText"/>
              <w:spacing w:line="240" w:lineRule="auto"/>
              <w:ind w:firstLine="0"/>
              <w:rPr>
                <w:sz w:val="15"/>
                <w:szCs w:val="15"/>
                <w:lang w:val="en-GB"/>
              </w:rPr>
            </w:pPr>
            <w:r w:rsidRPr="00F16EDB">
              <w:rPr>
                <w:b/>
                <w:sz w:val="15"/>
                <w:szCs w:val="15"/>
                <w:lang w:val="en-GB"/>
              </w:rPr>
              <w:t>+ Weighted additive</w:t>
            </w:r>
            <w:r w:rsidRPr="00F16EDB">
              <w:rPr>
                <w:sz w:val="15"/>
                <w:szCs w:val="15"/>
                <w:lang w:val="en-GB"/>
              </w:rPr>
              <w:br/>
              <w:t>Outcomes and probabilities are normalized, weighted and added</w:t>
            </w:r>
            <w:r w:rsidR="00FB547B" w:rsidRPr="00FB547B">
              <w:rPr>
                <w:sz w:val="15"/>
                <w:szCs w:val="15"/>
                <w:vertAlign w:val="superscript"/>
                <w:lang w:val="en-GB"/>
              </w:rPr>
              <w:t>8</w:t>
            </w:r>
            <w:r w:rsidR="00FB547B">
              <w:rPr>
                <w:sz w:val="15"/>
                <w:szCs w:val="15"/>
                <w:lang w:val="en-GB"/>
              </w:rPr>
              <w:t>.</w:t>
            </w:r>
          </w:p>
        </w:tc>
        <w:tc>
          <w:tcPr>
            <w:tcW w:w="2713" w:type="dxa"/>
            <w:gridSpan w:val="2"/>
            <w:shd w:val="clear" w:color="auto" w:fill="auto"/>
          </w:tcPr>
          <w:p w14:paraId="731F4F8F" w14:textId="77777777" w:rsidR="00283EA1" w:rsidRPr="00F16EDB" w:rsidRDefault="00283EA1" w:rsidP="005B2CDE">
            <w:pPr>
              <w:pStyle w:val="BodyText"/>
              <w:spacing w:line="240" w:lineRule="auto"/>
              <w:ind w:firstLine="0"/>
              <w:rPr>
                <w:i/>
                <w:sz w:val="15"/>
                <w:szCs w:val="15"/>
                <w:lang w:val="en-GB"/>
              </w:rPr>
            </w:pPr>
            <w:proofErr w:type="spellStart"/>
            <w:r w:rsidRPr="00F16EDB">
              <w:rPr>
                <w:i/>
                <w:sz w:val="15"/>
                <w:szCs w:val="15"/>
                <w:lang w:val="en-GB"/>
              </w:rPr>
              <w:t>n.a</w:t>
            </w:r>
            <w:proofErr w:type="spellEnd"/>
            <w:r w:rsidRPr="00F16EDB">
              <w:rPr>
                <w:i/>
                <w:sz w:val="15"/>
                <w:szCs w:val="15"/>
                <w:lang w:val="en-GB"/>
              </w:rPr>
              <w:t>.</w:t>
            </w:r>
          </w:p>
        </w:tc>
        <w:tc>
          <w:tcPr>
            <w:tcW w:w="441" w:type="dxa"/>
          </w:tcPr>
          <w:p w14:paraId="133C171D"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2</w:t>
            </w:r>
          </w:p>
        </w:tc>
      </w:tr>
      <w:tr w:rsidR="00283EA1" w:rsidRPr="00F16EDB" w14:paraId="73FE594F" w14:textId="77777777" w:rsidTr="005B2CDE">
        <w:trPr>
          <w:trHeight w:val="176"/>
        </w:trPr>
        <w:tc>
          <w:tcPr>
            <w:tcW w:w="1179" w:type="dxa"/>
          </w:tcPr>
          <w:p w14:paraId="1AC4D205"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Comparison</w:t>
            </w:r>
          </w:p>
        </w:tc>
        <w:tc>
          <w:tcPr>
            <w:tcW w:w="4042" w:type="dxa"/>
            <w:gridSpan w:val="2"/>
          </w:tcPr>
          <w:p w14:paraId="0BB9C816" w14:textId="51FEB65A" w:rsidR="00283EA1" w:rsidRPr="00F16EDB" w:rsidRDefault="00283EA1" w:rsidP="005B2CDE">
            <w:pPr>
              <w:pStyle w:val="BodyText"/>
              <w:spacing w:line="240" w:lineRule="auto"/>
              <w:ind w:firstLine="0"/>
              <w:rPr>
                <w:sz w:val="15"/>
                <w:szCs w:val="15"/>
                <w:lang w:val="en-GB"/>
              </w:rPr>
            </w:pPr>
            <w:r w:rsidRPr="00F16EDB">
              <w:rPr>
                <w:b/>
                <w:sz w:val="15"/>
                <w:szCs w:val="15"/>
                <w:lang w:val="en-GB"/>
              </w:rPr>
              <w:t>Independent</w:t>
            </w:r>
            <w:r w:rsidRPr="00F16EDB">
              <w:rPr>
                <w:sz w:val="15"/>
                <w:szCs w:val="15"/>
                <w:lang w:val="en-GB"/>
              </w:rPr>
              <w:br/>
              <w:t>Accumulation of absolute item values per alternative</w:t>
            </w:r>
            <w:r w:rsidR="00FB547B" w:rsidRPr="00FB547B">
              <w:rPr>
                <w:sz w:val="15"/>
                <w:szCs w:val="15"/>
                <w:vertAlign w:val="superscript"/>
                <w:lang w:val="en-GB"/>
              </w:rPr>
              <w:t>7,9</w:t>
            </w:r>
            <w:r w:rsidR="00FB547B">
              <w:rPr>
                <w:sz w:val="15"/>
                <w:szCs w:val="15"/>
                <w:lang w:val="en-GB"/>
              </w:rPr>
              <w:t>.</w:t>
            </w:r>
          </w:p>
        </w:tc>
        <w:tc>
          <w:tcPr>
            <w:tcW w:w="4042" w:type="dxa"/>
            <w:gridSpan w:val="2"/>
          </w:tcPr>
          <w:p w14:paraId="713DBC4C" w14:textId="14E20E8E" w:rsidR="00283EA1" w:rsidRPr="00F16EDB" w:rsidRDefault="00283EA1" w:rsidP="005B2CDE">
            <w:pPr>
              <w:pStyle w:val="BodyText"/>
              <w:spacing w:line="240" w:lineRule="auto"/>
              <w:ind w:firstLine="0"/>
              <w:rPr>
                <w:sz w:val="15"/>
                <w:szCs w:val="15"/>
                <w:lang w:val="en-GB"/>
              </w:rPr>
            </w:pPr>
            <w:r w:rsidRPr="00F16EDB">
              <w:rPr>
                <w:b/>
                <w:sz w:val="15"/>
                <w:szCs w:val="15"/>
                <w:lang w:val="en-GB"/>
              </w:rPr>
              <w:t>Comparative</w:t>
            </w:r>
            <w:r w:rsidRPr="00F16EDB">
              <w:rPr>
                <w:b/>
                <w:sz w:val="15"/>
                <w:szCs w:val="15"/>
                <w:lang w:val="en-GB"/>
              </w:rPr>
              <w:br/>
            </w:r>
            <w:r w:rsidRPr="00F16EDB">
              <w:rPr>
                <w:sz w:val="15"/>
                <w:szCs w:val="15"/>
                <w:lang w:val="en-GB"/>
              </w:rPr>
              <w:t>Accumulation of relative values per alternative</w:t>
            </w:r>
            <w:r w:rsidR="00FB547B" w:rsidRPr="00FB547B">
              <w:rPr>
                <w:sz w:val="15"/>
                <w:szCs w:val="15"/>
                <w:vertAlign w:val="superscript"/>
                <w:lang w:val="en-GB"/>
              </w:rPr>
              <w:t>10</w:t>
            </w:r>
            <w:r w:rsidR="00FB547B">
              <w:rPr>
                <w:sz w:val="15"/>
                <w:szCs w:val="15"/>
                <w:lang w:val="en-GB"/>
              </w:rPr>
              <w:t>.</w:t>
            </w:r>
          </w:p>
        </w:tc>
        <w:tc>
          <w:tcPr>
            <w:tcW w:w="2713" w:type="dxa"/>
            <w:gridSpan w:val="2"/>
            <w:shd w:val="clear" w:color="auto" w:fill="auto"/>
          </w:tcPr>
          <w:p w14:paraId="686D9450" w14:textId="77777777" w:rsidR="00283EA1" w:rsidRPr="00F16EDB" w:rsidRDefault="00283EA1" w:rsidP="005B2CDE">
            <w:pPr>
              <w:pStyle w:val="BodyText"/>
              <w:spacing w:line="240" w:lineRule="auto"/>
              <w:ind w:firstLine="0"/>
              <w:rPr>
                <w:i/>
                <w:sz w:val="15"/>
                <w:szCs w:val="15"/>
                <w:lang w:val="en-GB"/>
              </w:rPr>
            </w:pPr>
            <w:proofErr w:type="spellStart"/>
            <w:r w:rsidRPr="00F16EDB">
              <w:rPr>
                <w:i/>
                <w:sz w:val="15"/>
                <w:szCs w:val="15"/>
                <w:lang w:val="en-GB"/>
              </w:rPr>
              <w:t>n.a</w:t>
            </w:r>
            <w:proofErr w:type="spellEnd"/>
            <w:r w:rsidRPr="00F16EDB">
              <w:rPr>
                <w:i/>
                <w:sz w:val="15"/>
                <w:szCs w:val="15"/>
                <w:lang w:val="en-GB"/>
              </w:rPr>
              <w:t>.</w:t>
            </w:r>
          </w:p>
        </w:tc>
        <w:tc>
          <w:tcPr>
            <w:tcW w:w="441" w:type="dxa"/>
          </w:tcPr>
          <w:p w14:paraId="4EDF9FB2"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2</w:t>
            </w:r>
          </w:p>
        </w:tc>
      </w:tr>
      <w:tr w:rsidR="00283EA1" w:rsidRPr="00F16EDB" w14:paraId="524A9CC8" w14:textId="77777777" w:rsidTr="005B2CDE">
        <w:trPr>
          <w:trHeight w:val="90"/>
        </w:trPr>
        <w:tc>
          <w:tcPr>
            <w:tcW w:w="1179" w:type="dxa"/>
          </w:tcPr>
          <w:p w14:paraId="7FB5303E"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Attribute-wise gaze-discount</w:t>
            </w:r>
          </w:p>
        </w:tc>
        <w:tc>
          <w:tcPr>
            <w:tcW w:w="8084" w:type="dxa"/>
            <w:gridSpan w:val="4"/>
          </w:tcPr>
          <w:p w14:paraId="6508C729" w14:textId="77777777" w:rsidR="00283EA1" w:rsidRPr="00F16EDB" w:rsidRDefault="00283EA1" w:rsidP="005B2CDE">
            <w:pPr>
              <w:pStyle w:val="BodyText"/>
              <w:spacing w:line="240" w:lineRule="auto"/>
              <w:ind w:firstLine="0"/>
              <w:rPr>
                <w:sz w:val="15"/>
                <w:szCs w:val="15"/>
                <w:lang w:val="en-GB"/>
              </w:rPr>
            </w:pPr>
            <w:r w:rsidRPr="00F16EDB">
              <w:rPr>
                <w:b/>
                <w:sz w:val="15"/>
                <w:szCs w:val="15"/>
                <w:lang w:val="en-GB"/>
              </w:rPr>
              <w:t>False</w:t>
            </w:r>
            <w:r w:rsidRPr="00F16EDB">
              <w:rPr>
                <w:sz w:val="15"/>
                <w:szCs w:val="15"/>
                <w:lang w:val="en-GB"/>
              </w:rPr>
              <w:br/>
              <w:t>Fixated and non-fixated alternatives are processed equally.</w:t>
            </w:r>
          </w:p>
        </w:tc>
        <w:tc>
          <w:tcPr>
            <w:tcW w:w="2713" w:type="dxa"/>
            <w:gridSpan w:val="2"/>
            <w:shd w:val="clear" w:color="auto" w:fill="C6D9F1" w:themeFill="text2" w:themeFillTint="33"/>
          </w:tcPr>
          <w:p w14:paraId="1CCD6DDA" w14:textId="02846DF7" w:rsidR="00283EA1" w:rsidRPr="00BE3536" w:rsidRDefault="00283EA1" w:rsidP="005B2CDE">
            <w:pPr>
              <w:pStyle w:val="BodyText"/>
              <w:spacing w:line="240" w:lineRule="auto"/>
              <w:ind w:firstLine="0"/>
              <w:rPr>
                <w:sz w:val="15"/>
                <w:szCs w:val="15"/>
                <w:lang w:val="en-GB"/>
              </w:rPr>
            </w:pPr>
            <w:r w:rsidRPr="00F16EDB">
              <w:rPr>
                <w:b/>
                <w:sz w:val="15"/>
                <w:szCs w:val="15"/>
                <w:lang w:val="en-GB"/>
              </w:rPr>
              <w:t>True</w:t>
            </w:r>
            <w:r w:rsidRPr="00F16EDB">
              <w:rPr>
                <w:sz w:val="15"/>
                <w:szCs w:val="15"/>
                <w:lang w:val="en-GB"/>
              </w:rPr>
              <w:br/>
              <w:t>Non-fixated alternatives’ values are discounted by a parameter θ</w:t>
            </w:r>
            <w:r w:rsidR="00BE3536" w:rsidRPr="00BE3536">
              <w:rPr>
                <w:sz w:val="15"/>
                <w:szCs w:val="15"/>
                <w:vertAlign w:val="superscript"/>
                <w:lang w:val="en-GB"/>
              </w:rPr>
              <w:t>11</w:t>
            </w:r>
            <w:r w:rsidR="00BE3536">
              <w:rPr>
                <w:sz w:val="15"/>
                <w:szCs w:val="15"/>
                <w:lang w:val="en-GB"/>
              </w:rPr>
              <w:t>.</w:t>
            </w:r>
          </w:p>
        </w:tc>
        <w:tc>
          <w:tcPr>
            <w:tcW w:w="441" w:type="dxa"/>
          </w:tcPr>
          <w:p w14:paraId="0FFC04A3"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2</w:t>
            </w:r>
          </w:p>
        </w:tc>
      </w:tr>
      <w:tr w:rsidR="00283EA1" w:rsidRPr="00F16EDB" w14:paraId="5E0BD2D6" w14:textId="77777777" w:rsidTr="005B2CDE">
        <w:trPr>
          <w:trHeight w:val="90"/>
        </w:trPr>
        <w:tc>
          <w:tcPr>
            <w:tcW w:w="1179" w:type="dxa"/>
          </w:tcPr>
          <w:p w14:paraId="136D8E02"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Alternative-wise gaze-discount</w:t>
            </w:r>
          </w:p>
        </w:tc>
        <w:tc>
          <w:tcPr>
            <w:tcW w:w="8084" w:type="dxa"/>
            <w:gridSpan w:val="4"/>
          </w:tcPr>
          <w:p w14:paraId="6CEDA509" w14:textId="77777777" w:rsidR="00283EA1" w:rsidRPr="00F16EDB" w:rsidRDefault="00283EA1" w:rsidP="005B2CDE">
            <w:pPr>
              <w:pStyle w:val="BodyText"/>
              <w:spacing w:line="240" w:lineRule="auto"/>
              <w:ind w:firstLine="0"/>
              <w:rPr>
                <w:sz w:val="15"/>
                <w:szCs w:val="15"/>
                <w:lang w:val="en-GB"/>
              </w:rPr>
            </w:pPr>
            <w:r w:rsidRPr="00F16EDB">
              <w:rPr>
                <w:b/>
                <w:sz w:val="15"/>
                <w:szCs w:val="15"/>
                <w:lang w:val="en-GB"/>
              </w:rPr>
              <w:t>False</w:t>
            </w:r>
            <w:r w:rsidRPr="00F16EDB">
              <w:rPr>
                <w:sz w:val="15"/>
                <w:szCs w:val="15"/>
                <w:lang w:val="en-GB"/>
              </w:rPr>
              <w:br/>
              <w:t>Fixated and non-fixated attributes are processed equally.</w:t>
            </w:r>
          </w:p>
        </w:tc>
        <w:tc>
          <w:tcPr>
            <w:tcW w:w="2713" w:type="dxa"/>
            <w:gridSpan w:val="2"/>
            <w:shd w:val="clear" w:color="auto" w:fill="C6D9F1" w:themeFill="text2" w:themeFillTint="33"/>
          </w:tcPr>
          <w:p w14:paraId="73E140F4" w14:textId="455295F0" w:rsidR="00283EA1" w:rsidRPr="00F16EDB" w:rsidRDefault="00283EA1" w:rsidP="005B2CDE">
            <w:pPr>
              <w:pStyle w:val="BodyText"/>
              <w:spacing w:line="240" w:lineRule="auto"/>
              <w:ind w:firstLine="0"/>
              <w:rPr>
                <w:sz w:val="15"/>
                <w:szCs w:val="15"/>
                <w:lang w:val="en-GB"/>
              </w:rPr>
            </w:pPr>
            <w:r w:rsidRPr="00F16EDB">
              <w:rPr>
                <w:b/>
                <w:sz w:val="15"/>
                <w:szCs w:val="15"/>
                <w:lang w:val="en-GB"/>
              </w:rPr>
              <w:t>True</w:t>
            </w:r>
            <w:r w:rsidRPr="00F16EDB">
              <w:rPr>
                <w:sz w:val="15"/>
                <w:szCs w:val="15"/>
                <w:lang w:val="en-GB"/>
              </w:rPr>
              <w:br/>
              <w:t>Attributes on the non-fixated dimension are discounted by a parameter η</w:t>
            </w:r>
            <w:r w:rsidR="00BE3536" w:rsidRPr="00BE3536">
              <w:rPr>
                <w:sz w:val="15"/>
                <w:szCs w:val="15"/>
                <w:vertAlign w:val="superscript"/>
                <w:lang w:val="en-GB"/>
              </w:rPr>
              <w:t>12.13</w:t>
            </w:r>
            <w:r w:rsidR="00BE3536">
              <w:rPr>
                <w:sz w:val="15"/>
                <w:szCs w:val="15"/>
                <w:lang w:val="en-GB"/>
              </w:rPr>
              <w:t>.</w:t>
            </w:r>
          </w:p>
        </w:tc>
        <w:tc>
          <w:tcPr>
            <w:tcW w:w="441" w:type="dxa"/>
          </w:tcPr>
          <w:p w14:paraId="2385C60E"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2</w:t>
            </w:r>
          </w:p>
        </w:tc>
      </w:tr>
      <w:tr w:rsidR="00283EA1" w:rsidRPr="00F16EDB" w14:paraId="55A0725A" w14:textId="77777777" w:rsidTr="005B2CDE">
        <w:trPr>
          <w:trHeight w:val="90"/>
        </w:trPr>
        <w:tc>
          <w:tcPr>
            <w:tcW w:w="1179" w:type="dxa"/>
          </w:tcPr>
          <w:p w14:paraId="06A44E16"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Accumulation leak</w:t>
            </w:r>
          </w:p>
        </w:tc>
        <w:tc>
          <w:tcPr>
            <w:tcW w:w="4042" w:type="dxa"/>
            <w:gridSpan w:val="2"/>
          </w:tcPr>
          <w:p w14:paraId="68545C82" w14:textId="77777777" w:rsidR="00283EA1" w:rsidRPr="00F16EDB" w:rsidRDefault="00283EA1" w:rsidP="005B2CDE">
            <w:pPr>
              <w:pStyle w:val="BodyText"/>
              <w:spacing w:line="240" w:lineRule="auto"/>
              <w:ind w:firstLine="0"/>
              <w:rPr>
                <w:sz w:val="15"/>
                <w:szCs w:val="15"/>
                <w:lang w:val="en-GB"/>
              </w:rPr>
            </w:pPr>
            <w:r w:rsidRPr="00F16EDB">
              <w:rPr>
                <w:b/>
                <w:sz w:val="15"/>
                <w:szCs w:val="15"/>
                <w:lang w:val="en-GB"/>
              </w:rPr>
              <w:t>None</w:t>
            </w:r>
            <w:r w:rsidRPr="00F16EDB">
              <w:rPr>
                <w:sz w:val="15"/>
                <w:szCs w:val="15"/>
                <w:lang w:val="en-GB"/>
              </w:rPr>
              <w:br/>
              <w:t>Perfect integration over fixations.</w:t>
            </w:r>
          </w:p>
        </w:tc>
        <w:tc>
          <w:tcPr>
            <w:tcW w:w="4042" w:type="dxa"/>
            <w:gridSpan w:val="2"/>
          </w:tcPr>
          <w:p w14:paraId="076DE21D" w14:textId="13BDACBA" w:rsidR="00283EA1" w:rsidRPr="00F16EDB" w:rsidRDefault="00283EA1" w:rsidP="005B2CDE">
            <w:pPr>
              <w:pStyle w:val="BodyText"/>
              <w:spacing w:line="240" w:lineRule="auto"/>
              <w:ind w:firstLine="0"/>
              <w:rPr>
                <w:sz w:val="15"/>
                <w:szCs w:val="15"/>
                <w:lang w:val="en-GB"/>
              </w:rPr>
            </w:pPr>
            <w:r w:rsidRPr="00F16EDB">
              <w:rPr>
                <w:b/>
                <w:sz w:val="15"/>
                <w:szCs w:val="15"/>
                <w:lang w:val="en-GB"/>
              </w:rPr>
              <w:t>Constant</w:t>
            </w:r>
            <w:r w:rsidRPr="00F16EDB">
              <w:rPr>
                <w:sz w:val="15"/>
                <w:szCs w:val="15"/>
                <w:lang w:val="en-GB"/>
              </w:rPr>
              <w:br/>
              <w:t>With each fixation, accumulators leak information proportional to their current value, controlled by parameter λ</w:t>
            </w:r>
            <w:r w:rsidR="00C85ED7" w:rsidRPr="00C85ED7">
              <w:rPr>
                <w:sz w:val="15"/>
                <w:szCs w:val="15"/>
                <w:vertAlign w:val="superscript"/>
                <w:lang w:val="en-GB"/>
              </w:rPr>
              <w:t>10,14</w:t>
            </w:r>
            <w:r w:rsidR="00C85ED7">
              <w:rPr>
                <w:sz w:val="15"/>
                <w:szCs w:val="15"/>
                <w:lang w:val="en-GB"/>
              </w:rPr>
              <w:t>.</w:t>
            </w:r>
          </w:p>
        </w:tc>
        <w:tc>
          <w:tcPr>
            <w:tcW w:w="2713" w:type="dxa"/>
            <w:gridSpan w:val="2"/>
            <w:shd w:val="clear" w:color="auto" w:fill="C6D9F1" w:themeFill="text2" w:themeFillTint="33"/>
          </w:tcPr>
          <w:p w14:paraId="1D8821D1" w14:textId="2676C11E" w:rsidR="00283EA1" w:rsidRPr="00F16EDB" w:rsidRDefault="00283EA1" w:rsidP="005B2CDE">
            <w:pPr>
              <w:pStyle w:val="BodyText"/>
              <w:spacing w:line="240" w:lineRule="auto"/>
              <w:ind w:firstLine="0"/>
              <w:rPr>
                <w:sz w:val="15"/>
                <w:szCs w:val="15"/>
                <w:lang w:val="en-GB"/>
              </w:rPr>
            </w:pPr>
            <w:r w:rsidRPr="00F16EDB">
              <w:rPr>
                <w:b/>
                <w:sz w:val="15"/>
                <w:szCs w:val="15"/>
                <w:lang w:val="en-GB"/>
              </w:rPr>
              <w:t>Gaze-dependent</w:t>
            </w:r>
            <w:r w:rsidRPr="00F16EDB">
              <w:rPr>
                <w:b/>
                <w:sz w:val="15"/>
                <w:szCs w:val="15"/>
                <w:lang w:val="en-GB"/>
              </w:rPr>
              <w:br/>
            </w:r>
            <w:r w:rsidRPr="00F16EDB">
              <w:rPr>
                <w:sz w:val="15"/>
                <w:szCs w:val="15"/>
                <w:lang w:val="en-GB"/>
              </w:rPr>
              <w:t>With each fixation, accumulators of non-fixated alternatives leak information, as in Constant leak</w:t>
            </w:r>
            <w:r w:rsidR="00F77E75" w:rsidRPr="00F77E75">
              <w:rPr>
                <w:sz w:val="15"/>
                <w:szCs w:val="15"/>
                <w:vertAlign w:val="superscript"/>
                <w:lang w:val="en-GB"/>
              </w:rPr>
              <w:t>15</w:t>
            </w:r>
            <w:r w:rsidR="00F77E75">
              <w:rPr>
                <w:sz w:val="15"/>
                <w:szCs w:val="15"/>
                <w:lang w:val="en-GB"/>
              </w:rPr>
              <w:t>.</w:t>
            </w:r>
          </w:p>
        </w:tc>
        <w:tc>
          <w:tcPr>
            <w:tcW w:w="441" w:type="dxa"/>
          </w:tcPr>
          <w:p w14:paraId="0A861A02"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3</w:t>
            </w:r>
          </w:p>
        </w:tc>
      </w:tr>
      <w:tr w:rsidR="00283EA1" w:rsidRPr="00F16EDB" w14:paraId="55BD5B68" w14:textId="77777777" w:rsidTr="005B2CDE">
        <w:trPr>
          <w:trHeight w:val="1423"/>
        </w:trPr>
        <w:tc>
          <w:tcPr>
            <w:tcW w:w="1179" w:type="dxa"/>
          </w:tcPr>
          <w:p w14:paraId="074FC64F"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Accumulator inhibition</w:t>
            </w:r>
          </w:p>
        </w:tc>
        <w:tc>
          <w:tcPr>
            <w:tcW w:w="2699" w:type="dxa"/>
          </w:tcPr>
          <w:p w14:paraId="1A776F7C" w14:textId="77777777" w:rsidR="00283EA1" w:rsidRPr="00F16EDB" w:rsidRDefault="00283EA1" w:rsidP="005B2CDE">
            <w:pPr>
              <w:pStyle w:val="BodyText"/>
              <w:spacing w:line="240" w:lineRule="auto"/>
              <w:ind w:firstLine="0"/>
              <w:rPr>
                <w:sz w:val="15"/>
                <w:szCs w:val="15"/>
                <w:lang w:val="en-GB"/>
              </w:rPr>
            </w:pPr>
            <w:r w:rsidRPr="00F16EDB">
              <w:rPr>
                <w:b/>
                <w:sz w:val="15"/>
                <w:szCs w:val="15"/>
                <w:lang w:val="en-GB"/>
              </w:rPr>
              <w:t>None</w:t>
            </w:r>
            <w:r w:rsidRPr="00F16EDB">
              <w:rPr>
                <w:b/>
                <w:sz w:val="15"/>
                <w:szCs w:val="15"/>
                <w:lang w:val="en-GB"/>
              </w:rPr>
              <w:br/>
            </w:r>
            <w:r w:rsidRPr="00F16EDB">
              <w:rPr>
                <w:sz w:val="15"/>
                <w:szCs w:val="15"/>
                <w:lang w:val="en-GB"/>
              </w:rPr>
              <w:t>No inhibition between accumulators.</w:t>
            </w:r>
          </w:p>
        </w:tc>
        <w:tc>
          <w:tcPr>
            <w:tcW w:w="2699" w:type="dxa"/>
            <w:gridSpan w:val="2"/>
          </w:tcPr>
          <w:p w14:paraId="72FCB705" w14:textId="2D19E6A3" w:rsidR="00283EA1" w:rsidRPr="00F16EDB" w:rsidRDefault="00283EA1" w:rsidP="005B2CDE">
            <w:pPr>
              <w:pStyle w:val="BodyText"/>
              <w:spacing w:line="240" w:lineRule="auto"/>
              <w:ind w:firstLine="0"/>
              <w:rPr>
                <w:sz w:val="15"/>
                <w:szCs w:val="15"/>
                <w:lang w:val="en-GB"/>
              </w:rPr>
            </w:pPr>
            <w:r w:rsidRPr="00F16EDB">
              <w:rPr>
                <w:b/>
                <w:sz w:val="15"/>
                <w:szCs w:val="15"/>
                <w:lang w:val="en-GB"/>
              </w:rPr>
              <w:t>Constant</w:t>
            </w:r>
            <w:r w:rsidRPr="00F16EDB">
              <w:rPr>
                <w:sz w:val="15"/>
                <w:szCs w:val="15"/>
                <w:lang w:val="en-GB"/>
              </w:rPr>
              <w:br/>
              <w:t>Accumulators inhibit each other proportional to their current value, controlled by parameter φ</w:t>
            </w:r>
            <w:r w:rsidR="00BE67CF" w:rsidRPr="00BE67CF">
              <w:rPr>
                <w:sz w:val="15"/>
                <w:szCs w:val="15"/>
                <w:vertAlign w:val="superscript"/>
                <w:lang w:val="en-GB"/>
              </w:rPr>
              <w:t>1</w:t>
            </w:r>
            <w:r w:rsidR="00B41E74">
              <w:rPr>
                <w:sz w:val="15"/>
                <w:szCs w:val="15"/>
                <w:vertAlign w:val="superscript"/>
                <w:lang w:val="en-GB"/>
              </w:rPr>
              <w:t>6</w:t>
            </w:r>
            <w:r w:rsidR="00BE67CF">
              <w:rPr>
                <w:sz w:val="15"/>
                <w:szCs w:val="15"/>
                <w:lang w:val="en-GB"/>
              </w:rPr>
              <w:t>.</w:t>
            </w:r>
          </w:p>
        </w:tc>
        <w:tc>
          <w:tcPr>
            <w:tcW w:w="2699" w:type="dxa"/>
            <w:gridSpan w:val="2"/>
          </w:tcPr>
          <w:p w14:paraId="640625E3" w14:textId="0DABE716" w:rsidR="00283EA1" w:rsidRPr="00F16EDB" w:rsidRDefault="00283EA1" w:rsidP="005B2CDE">
            <w:pPr>
              <w:pStyle w:val="BodyText"/>
              <w:spacing w:line="240" w:lineRule="auto"/>
              <w:ind w:firstLine="0"/>
              <w:rPr>
                <w:sz w:val="15"/>
                <w:szCs w:val="15"/>
                <w:lang w:val="en-GB"/>
              </w:rPr>
            </w:pPr>
            <w:r w:rsidRPr="00F16EDB">
              <w:rPr>
                <w:b/>
                <w:sz w:val="15"/>
                <w:szCs w:val="15"/>
                <w:lang w:val="en-GB"/>
              </w:rPr>
              <w:t>Distance-dependent</w:t>
            </w:r>
            <w:r w:rsidRPr="00F16EDB">
              <w:rPr>
                <w:sz w:val="15"/>
                <w:szCs w:val="15"/>
                <w:lang w:val="en-GB"/>
              </w:rPr>
              <w:br/>
              <w:t xml:space="preserve">Inhibition between accumulators depends on pairwise distance between alternatives in attribute space. Parameters </w:t>
            </w:r>
            <w:proofErr w:type="spellStart"/>
            <w:r w:rsidRPr="00F16EDB">
              <w:rPr>
                <w:i/>
                <w:sz w:val="15"/>
                <w:szCs w:val="15"/>
                <w:lang w:val="en-GB"/>
              </w:rPr>
              <w:t>w</w:t>
            </w:r>
            <w:r w:rsidRPr="00F16EDB">
              <w:rPr>
                <w:i/>
                <w:sz w:val="15"/>
                <w:szCs w:val="15"/>
                <w:vertAlign w:val="subscript"/>
                <w:lang w:val="en-GB"/>
              </w:rPr>
              <w:t>d</w:t>
            </w:r>
            <w:proofErr w:type="spellEnd"/>
            <w:r w:rsidRPr="00F16EDB">
              <w:rPr>
                <w:sz w:val="15"/>
                <w:szCs w:val="15"/>
                <w:lang w:val="en-GB"/>
              </w:rPr>
              <w:t xml:space="preserve"> and φ</w:t>
            </w:r>
            <w:r w:rsidR="00B41E74" w:rsidRPr="00B41E74">
              <w:rPr>
                <w:sz w:val="15"/>
                <w:szCs w:val="15"/>
                <w:vertAlign w:val="superscript"/>
                <w:lang w:val="en-GB"/>
              </w:rPr>
              <w:t>10</w:t>
            </w:r>
            <w:r w:rsidR="00B41E74">
              <w:rPr>
                <w:sz w:val="15"/>
                <w:szCs w:val="15"/>
                <w:lang w:val="en-GB"/>
              </w:rPr>
              <w:t>.</w:t>
            </w:r>
          </w:p>
        </w:tc>
        <w:tc>
          <w:tcPr>
            <w:tcW w:w="2700" w:type="dxa"/>
            <w:shd w:val="clear" w:color="auto" w:fill="C6D9F1" w:themeFill="text2" w:themeFillTint="33"/>
          </w:tcPr>
          <w:p w14:paraId="5AE86508" w14:textId="77777777" w:rsidR="00283EA1" w:rsidRPr="00F16EDB" w:rsidRDefault="00283EA1" w:rsidP="005B2CDE">
            <w:pPr>
              <w:pStyle w:val="BodyText"/>
              <w:spacing w:line="240" w:lineRule="auto"/>
              <w:ind w:firstLine="0"/>
              <w:rPr>
                <w:sz w:val="15"/>
                <w:szCs w:val="15"/>
                <w:lang w:val="en-GB"/>
              </w:rPr>
            </w:pPr>
            <w:r w:rsidRPr="00F16EDB">
              <w:rPr>
                <w:b/>
                <w:sz w:val="15"/>
                <w:szCs w:val="15"/>
                <w:lang w:val="en-GB"/>
              </w:rPr>
              <w:t>Gaze-dependent</w:t>
            </w:r>
            <w:r w:rsidRPr="00F16EDB">
              <w:rPr>
                <w:sz w:val="15"/>
                <w:szCs w:val="15"/>
                <w:lang w:val="en-GB"/>
              </w:rPr>
              <w:br/>
              <w:t>With each fixation, accumulators of non-fixated alternatives are inhibited, proportional to the currently fixated items’ accumulator value. Controlled by parameter φ.</w:t>
            </w:r>
          </w:p>
        </w:tc>
        <w:tc>
          <w:tcPr>
            <w:tcW w:w="441" w:type="dxa"/>
          </w:tcPr>
          <w:p w14:paraId="2078CF81"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4</w:t>
            </w:r>
          </w:p>
        </w:tc>
      </w:tr>
      <w:tr w:rsidR="00283EA1" w:rsidRPr="00F16EDB" w14:paraId="15F9D3A8" w14:textId="77777777" w:rsidTr="005B2CDE">
        <w:trPr>
          <w:trHeight w:val="90"/>
        </w:trPr>
        <w:tc>
          <w:tcPr>
            <w:tcW w:w="1179" w:type="dxa"/>
          </w:tcPr>
          <w:p w14:paraId="5C6892ED" w14:textId="77777777" w:rsidR="00283EA1" w:rsidRPr="00F16EDB" w:rsidRDefault="00283EA1" w:rsidP="005B2CDE">
            <w:pPr>
              <w:pStyle w:val="BodyText"/>
              <w:spacing w:line="240" w:lineRule="auto"/>
              <w:ind w:firstLine="0"/>
              <w:rPr>
                <w:b/>
                <w:sz w:val="15"/>
                <w:szCs w:val="15"/>
                <w:lang w:val="en-GB"/>
              </w:rPr>
            </w:pPr>
            <w:r w:rsidRPr="00F16EDB">
              <w:rPr>
                <w:b/>
                <w:sz w:val="15"/>
                <w:szCs w:val="15"/>
                <w:lang w:val="en-GB"/>
              </w:rPr>
              <w:t>Total variants</w:t>
            </w:r>
          </w:p>
        </w:tc>
        <w:tc>
          <w:tcPr>
            <w:tcW w:w="10797" w:type="dxa"/>
            <w:gridSpan w:val="6"/>
          </w:tcPr>
          <w:p w14:paraId="32D96863" w14:textId="77777777" w:rsidR="00283EA1" w:rsidRPr="00F16EDB" w:rsidRDefault="00283EA1" w:rsidP="005B2CDE">
            <w:pPr>
              <w:pStyle w:val="BodyText"/>
              <w:spacing w:line="240" w:lineRule="auto"/>
              <w:ind w:firstLine="0"/>
              <w:rPr>
                <w:sz w:val="15"/>
                <w:szCs w:val="15"/>
                <w:lang w:val="en-GB"/>
              </w:rPr>
            </w:pPr>
          </w:p>
        </w:tc>
        <w:tc>
          <w:tcPr>
            <w:tcW w:w="441" w:type="dxa"/>
          </w:tcPr>
          <w:p w14:paraId="59867315" w14:textId="77777777" w:rsidR="00283EA1" w:rsidRPr="00F16EDB" w:rsidRDefault="00283EA1" w:rsidP="005B2CDE">
            <w:pPr>
              <w:pStyle w:val="BodyText"/>
              <w:spacing w:line="240" w:lineRule="auto"/>
              <w:ind w:firstLine="0"/>
              <w:jc w:val="center"/>
              <w:rPr>
                <w:sz w:val="15"/>
                <w:szCs w:val="15"/>
                <w:lang w:val="en-GB"/>
              </w:rPr>
            </w:pPr>
            <w:r w:rsidRPr="00F16EDB">
              <w:rPr>
                <w:sz w:val="15"/>
                <w:szCs w:val="15"/>
                <w:lang w:val="en-GB"/>
              </w:rPr>
              <w:t>192</w:t>
            </w:r>
          </w:p>
        </w:tc>
      </w:tr>
    </w:tbl>
    <w:p w14:paraId="4C5576FE" w14:textId="177B5B28" w:rsidR="00536EC0" w:rsidRDefault="00283EA1" w:rsidP="00283EA1">
      <w:pPr>
        <w:pStyle w:val="BodyText"/>
      </w:pPr>
      <w:r w:rsidRPr="00F16EDB">
        <w:rPr>
          <w:b/>
          <w:sz w:val="15"/>
          <w:szCs w:val="15"/>
          <w:lang w:val="en-GB"/>
        </w:rPr>
        <w:t xml:space="preserve">Supplementary Table 2. Overview of the nodes and switch-levels used in the switchboard analysis. </w:t>
      </w:r>
      <w:r w:rsidRPr="00F16EDB">
        <w:rPr>
          <w:sz w:val="15"/>
          <w:szCs w:val="15"/>
          <w:lang w:val="en-GB"/>
        </w:rPr>
        <w:t>Switch levels that depend on gaze-data are shaded blue. Note that due to the model ﬁtting procedure, where model predicted choice probabilities are derived from a soft-max function over the ﬁnal accumulator values, the comparison switch levels independent and comparative are not distinguishable for a subset of the model space, reducing the total number of unique variants to 160.</w:t>
      </w:r>
    </w:p>
    <w:p w14:paraId="1D430729" w14:textId="41B15D4F" w:rsidR="00536EC0" w:rsidRDefault="00536EC0">
      <w:pPr>
        <w:spacing w:before="0" w:after="200" w:line="240" w:lineRule="auto"/>
        <w:sectPr w:rsidR="00536EC0" w:rsidSect="001A1E6F">
          <w:pgSz w:w="15840" w:h="12240" w:orient="landscape"/>
          <w:pgMar w:top="1417" w:right="1134" w:bottom="1417" w:left="1417" w:header="720" w:footer="720" w:gutter="0"/>
          <w:lnNumType w:countBy="1" w:restart="continuous"/>
          <w:cols w:space="720"/>
          <w:docGrid w:linePitch="326"/>
        </w:sectPr>
      </w:pPr>
    </w:p>
    <w:tbl>
      <w:tblPr>
        <w:tblStyle w:val="Table"/>
        <w:tblW w:w="4583" w:type="pct"/>
        <w:jc w:val="center"/>
        <w:tblLook w:val="0020" w:firstRow="1" w:lastRow="0" w:firstColumn="0" w:lastColumn="0" w:noHBand="0" w:noVBand="0"/>
      </w:tblPr>
      <w:tblGrid>
        <w:gridCol w:w="778"/>
        <w:gridCol w:w="793"/>
        <w:gridCol w:w="802"/>
        <w:gridCol w:w="1070"/>
        <w:gridCol w:w="1244"/>
        <w:gridCol w:w="1576"/>
        <w:gridCol w:w="1483"/>
        <w:gridCol w:w="876"/>
      </w:tblGrid>
      <w:tr w:rsidR="006C3876" w14:paraId="17407BDA" w14:textId="77777777" w:rsidTr="00E91AC5">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36D1A54C" w14:textId="77777777" w:rsidR="006C3876" w:rsidRDefault="00762BD9">
            <w:pPr>
              <w:pStyle w:val="Compact"/>
              <w:jc w:val="center"/>
            </w:pPr>
            <w:bookmarkStart w:id="12" w:name="tab:switchboard-best-agg"/>
            <w:bookmarkEnd w:id="11"/>
            <w:r>
              <w:rPr>
                <w:b/>
                <w:bCs/>
              </w:rPr>
              <w:lastRenderedPageBreak/>
              <w:t>Rank</w:t>
            </w:r>
          </w:p>
        </w:tc>
        <w:tc>
          <w:tcPr>
            <w:tcW w:w="0" w:type="auto"/>
          </w:tcPr>
          <w:p w14:paraId="23BF150D" w14:textId="77777777" w:rsidR="006C3876" w:rsidRDefault="00762BD9">
            <w:pPr>
              <w:pStyle w:val="Compact"/>
              <w:jc w:val="center"/>
            </w:pPr>
            <m:oMathPara>
              <m:oMath>
                <m:r>
                  <m:rPr>
                    <m:sty m:val="b"/>
                  </m:rPr>
                  <w:rPr>
                    <w:rFonts w:ascii="Cambria Math" w:hAnsi="Cambria Math"/>
                  </w:rPr>
                  <m:t>G</m:t>
                </m:r>
                <m:sSub>
                  <m:sSubPr>
                    <m:ctrlPr>
                      <w:rPr>
                        <w:rFonts w:ascii="Cambria Math" w:hAnsi="Cambria Math"/>
                      </w:rPr>
                    </m:ctrlPr>
                  </m:sSubPr>
                  <m:e>
                    <m:r>
                      <m:rPr>
                        <m:sty m:val="b"/>
                      </m:rPr>
                      <w:rPr>
                        <w:rFonts w:ascii="Cambria Math" w:hAnsi="Cambria Math"/>
                      </w:rPr>
                      <m:t>D</m:t>
                    </m:r>
                  </m:e>
                  <m:sub>
                    <m:r>
                      <m:rPr>
                        <m:sty m:val="b"/>
                      </m:rPr>
                      <w:rPr>
                        <w:rFonts w:ascii="Cambria Math" w:hAnsi="Cambria Math"/>
                      </w:rPr>
                      <m:t>Alt</m:t>
                    </m:r>
                  </m:sub>
                </m:sSub>
              </m:oMath>
            </m:oMathPara>
          </w:p>
        </w:tc>
        <w:tc>
          <w:tcPr>
            <w:tcW w:w="0" w:type="auto"/>
          </w:tcPr>
          <w:p w14:paraId="74974F4A" w14:textId="77777777" w:rsidR="006C3876" w:rsidRDefault="00762BD9">
            <w:pPr>
              <w:pStyle w:val="Compact"/>
              <w:jc w:val="center"/>
            </w:pPr>
            <m:oMathPara>
              <m:oMath>
                <m:r>
                  <m:rPr>
                    <m:sty m:val="b"/>
                  </m:rPr>
                  <w:rPr>
                    <w:rFonts w:ascii="Cambria Math" w:hAnsi="Cambria Math"/>
                  </w:rPr>
                  <m:t>G</m:t>
                </m:r>
                <m:sSub>
                  <m:sSubPr>
                    <m:ctrlPr>
                      <w:rPr>
                        <w:rFonts w:ascii="Cambria Math" w:hAnsi="Cambria Math"/>
                      </w:rPr>
                    </m:ctrlPr>
                  </m:sSubPr>
                  <m:e>
                    <m:r>
                      <m:rPr>
                        <m:sty m:val="b"/>
                      </m:rPr>
                      <w:rPr>
                        <w:rFonts w:ascii="Cambria Math" w:hAnsi="Cambria Math"/>
                      </w:rPr>
                      <m:t>D</m:t>
                    </m:r>
                  </m:e>
                  <m:sub>
                    <m:r>
                      <m:rPr>
                        <m:sty m:val="b"/>
                      </m:rPr>
                      <w:rPr>
                        <w:rFonts w:ascii="Cambria Math" w:hAnsi="Cambria Math"/>
                      </w:rPr>
                      <m:t>Att</m:t>
                    </m:r>
                  </m:sub>
                </m:sSub>
              </m:oMath>
            </m:oMathPara>
          </w:p>
        </w:tc>
        <w:tc>
          <w:tcPr>
            <w:tcW w:w="0" w:type="auto"/>
          </w:tcPr>
          <w:p w14:paraId="6BC9B33B" w14:textId="77777777" w:rsidR="006C3876" w:rsidRDefault="00762BD9">
            <w:pPr>
              <w:pStyle w:val="Compact"/>
              <w:jc w:val="center"/>
            </w:pPr>
            <w:r>
              <w:rPr>
                <w:b/>
                <w:bCs/>
              </w:rPr>
              <w:t>Leak</w:t>
            </w:r>
          </w:p>
        </w:tc>
        <w:tc>
          <w:tcPr>
            <w:tcW w:w="0" w:type="auto"/>
          </w:tcPr>
          <w:p w14:paraId="33EDC742" w14:textId="77777777" w:rsidR="006C3876" w:rsidRDefault="00762BD9">
            <w:pPr>
              <w:pStyle w:val="Compact"/>
              <w:jc w:val="center"/>
            </w:pPr>
            <w:r>
              <w:rPr>
                <w:b/>
                <w:bCs/>
              </w:rPr>
              <w:t>Inhibition</w:t>
            </w:r>
          </w:p>
        </w:tc>
        <w:tc>
          <w:tcPr>
            <w:tcW w:w="0" w:type="auto"/>
          </w:tcPr>
          <w:p w14:paraId="44020D50" w14:textId="77777777" w:rsidR="006C3876" w:rsidRDefault="00762BD9">
            <w:pPr>
              <w:pStyle w:val="Compact"/>
              <w:jc w:val="center"/>
            </w:pPr>
            <w:r>
              <w:rPr>
                <w:b/>
                <w:bCs/>
              </w:rPr>
              <w:t>Integration</w:t>
            </w:r>
          </w:p>
        </w:tc>
        <w:tc>
          <w:tcPr>
            <w:tcW w:w="0" w:type="auto"/>
          </w:tcPr>
          <w:p w14:paraId="1DC583D7" w14:textId="77777777" w:rsidR="006C3876" w:rsidRDefault="00762BD9">
            <w:pPr>
              <w:pStyle w:val="Compact"/>
              <w:jc w:val="center"/>
            </w:pPr>
            <w:r>
              <w:rPr>
                <w:b/>
                <w:bCs/>
              </w:rPr>
              <w:t>Comparison</w:t>
            </w:r>
          </w:p>
        </w:tc>
        <w:tc>
          <w:tcPr>
            <w:tcW w:w="0" w:type="auto"/>
          </w:tcPr>
          <w:p w14:paraId="3D5F9769" w14:textId="77777777" w:rsidR="006C3876" w:rsidRDefault="00762BD9">
            <w:pPr>
              <w:pStyle w:val="Compact"/>
              <w:jc w:val="center"/>
            </w:pPr>
            <w:r>
              <w:rPr>
                <w:b/>
                <w:bCs/>
              </w:rPr>
              <w:t>BIC</w:t>
            </w:r>
          </w:p>
        </w:tc>
      </w:tr>
      <w:tr w:rsidR="006C3876" w14:paraId="51254DDA" w14:textId="77777777" w:rsidTr="005E6D27">
        <w:trPr>
          <w:jc w:val="center"/>
        </w:trPr>
        <w:tc>
          <w:tcPr>
            <w:tcW w:w="0" w:type="auto"/>
          </w:tcPr>
          <w:p w14:paraId="1FDC1278" w14:textId="77777777" w:rsidR="006C3876" w:rsidRDefault="00762BD9">
            <w:pPr>
              <w:pStyle w:val="Compact"/>
              <w:jc w:val="center"/>
            </w:pPr>
            <w:r>
              <w:t>1</w:t>
            </w:r>
          </w:p>
        </w:tc>
        <w:tc>
          <w:tcPr>
            <w:tcW w:w="0" w:type="auto"/>
            <w:shd w:val="clear" w:color="auto" w:fill="C6D9F1" w:themeFill="text2" w:themeFillTint="33"/>
          </w:tcPr>
          <w:p w14:paraId="58BD48E1" w14:textId="77777777" w:rsidR="006C3876" w:rsidRDefault="00762BD9">
            <w:pPr>
              <w:pStyle w:val="Compact"/>
              <w:jc w:val="center"/>
            </w:pPr>
            <w:r>
              <w:rPr>
                <w:b/>
                <w:bCs/>
              </w:rPr>
              <w:t>Yes</w:t>
            </w:r>
          </w:p>
        </w:tc>
        <w:tc>
          <w:tcPr>
            <w:tcW w:w="0" w:type="auto"/>
          </w:tcPr>
          <w:p w14:paraId="70A1BDEC" w14:textId="77777777" w:rsidR="006C3876" w:rsidRDefault="00762BD9">
            <w:pPr>
              <w:pStyle w:val="Compact"/>
              <w:jc w:val="center"/>
            </w:pPr>
            <w:r>
              <w:t>No</w:t>
            </w:r>
          </w:p>
        </w:tc>
        <w:tc>
          <w:tcPr>
            <w:tcW w:w="0" w:type="auto"/>
          </w:tcPr>
          <w:p w14:paraId="07FFECF1" w14:textId="77777777" w:rsidR="006C3876" w:rsidRDefault="00762BD9">
            <w:pPr>
              <w:pStyle w:val="Compact"/>
              <w:jc w:val="center"/>
            </w:pPr>
            <w:r>
              <w:t>Constant</w:t>
            </w:r>
          </w:p>
        </w:tc>
        <w:tc>
          <w:tcPr>
            <w:tcW w:w="0" w:type="auto"/>
          </w:tcPr>
          <w:p w14:paraId="003183BD" w14:textId="77777777" w:rsidR="006C3876" w:rsidRDefault="00762BD9">
            <w:pPr>
              <w:pStyle w:val="Compact"/>
              <w:jc w:val="center"/>
            </w:pPr>
            <w:r>
              <w:t>None</w:t>
            </w:r>
          </w:p>
        </w:tc>
        <w:tc>
          <w:tcPr>
            <w:tcW w:w="0" w:type="auto"/>
          </w:tcPr>
          <w:p w14:paraId="0697A741" w14:textId="77777777" w:rsidR="006C3876" w:rsidRDefault="00762BD9">
            <w:pPr>
              <w:pStyle w:val="Compact"/>
              <w:jc w:val="center"/>
            </w:pPr>
            <w:r>
              <w:t>Multiplicative</w:t>
            </w:r>
          </w:p>
        </w:tc>
        <w:tc>
          <w:tcPr>
            <w:tcW w:w="0" w:type="auto"/>
          </w:tcPr>
          <w:p w14:paraId="02F827EF" w14:textId="77777777" w:rsidR="006C3876" w:rsidRDefault="00762BD9">
            <w:pPr>
              <w:pStyle w:val="Compact"/>
              <w:jc w:val="center"/>
            </w:pPr>
            <w:r>
              <w:rPr>
                <w:i/>
                <w:iCs/>
              </w:rPr>
              <w:t>n.d.</w:t>
            </w:r>
          </w:p>
        </w:tc>
        <w:tc>
          <w:tcPr>
            <w:tcW w:w="0" w:type="auto"/>
          </w:tcPr>
          <w:p w14:paraId="0520A9F8" w14:textId="77777777" w:rsidR="006C3876" w:rsidRDefault="00762BD9">
            <w:pPr>
              <w:pStyle w:val="Compact"/>
              <w:jc w:val="center"/>
            </w:pPr>
            <w:r>
              <w:t>232.08</w:t>
            </w:r>
          </w:p>
        </w:tc>
      </w:tr>
      <w:tr w:rsidR="006C3876" w14:paraId="7AAFD2A2" w14:textId="77777777" w:rsidTr="005E6D27">
        <w:trPr>
          <w:jc w:val="center"/>
        </w:trPr>
        <w:tc>
          <w:tcPr>
            <w:tcW w:w="0" w:type="auto"/>
          </w:tcPr>
          <w:p w14:paraId="1F288E3D" w14:textId="77777777" w:rsidR="006C3876" w:rsidRDefault="00762BD9">
            <w:pPr>
              <w:pStyle w:val="Compact"/>
              <w:jc w:val="center"/>
            </w:pPr>
            <w:r>
              <w:t>2</w:t>
            </w:r>
          </w:p>
        </w:tc>
        <w:tc>
          <w:tcPr>
            <w:tcW w:w="0" w:type="auto"/>
          </w:tcPr>
          <w:p w14:paraId="71E58CF4" w14:textId="77777777" w:rsidR="006C3876" w:rsidRDefault="00762BD9">
            <w:pPr>
              <w:pStyle w:val="Compact"/>
              <w:jc w:val="center"/>
            </w:pPr>
            <w:r>
              <w:t>No</w:t>
            </w:r>
          </w:p>
        </w:tc>
        <w:tc>
          <w:tcPr>
            <w:tcW w:w="0" w:type="auto"/>
          </w:tcPr>
          <w:p w14:paraId="0E5D61D5" w14:textId="77777777" w:rsidR="006C3876" w:rsidRDefault="00762BD9">
            <w:pPr>
              <w:pStyle w:val="Compact"/>
              <w:jc w:val="center"/>
            </w:pPr>
            <w:r>
              <w:t>No</w:t>
            </w:r>
          </w:p>
        </w:tc>
        <w:tc>
          <w:tcPr>
            <w:tcW w:w="0" w:type="auto"/>
          </w:tcPr>
          <w:p w14:paraId="2F7EDF27" w14:textId="77777777" w:rsidR="006C3876" w:rsidRDefault="00762BD9">
            <w:pPr>
              <w:pStyle w:val="Compact"/>
              <w:jc w:val="center"/>
            </w:pPr>
            <w:r>
              <w:t>Constant</w:t>
            </w:r>
          </w:p>
        </w:tc>
        <w:tc>
          <w:tcPr>
            <w:tcW w:w="0" w:type="auto"/>
            <w:shd w:val="clear" w:color="auto" w:fill="C6D9F1" w:themeFill="text2" w:themeFillTint="33"/>
          </w:tcPr>
          <w:p w14:paraId="3143AC8B" w14:textId="77777777" w:rsidR="006C3876" w:rsidRDefault="00762BD9">
            <w:pPr>
              <w:pStyle w:val="Compact"/>
              <w:jc w:val="center"/>
            </w:pPr>
            <w:r>
              <w:rPr>
                <w:b/>
                <w:bCs/>
              </w:rPr>
              <w:t>Gaze</w:t>
            </w:r>
          </w:p>
        </w:tc>
        <w:tc>
          <w:tcPr>
            <w:tcW w:w="0" w:type="auto"/>
          </w:tcPr>
          <w:p w14:paraId="0C3F0E04" w14:textId="77777777" w:rsidR="006C3876" w:rsidRDefault="00762BD9">
            <w:pPr>
              <w:pStyle w:val="Compact"/>
              <w:jc w:val="center"/>
            </w:pPr>
            <w:r>
              <w:t>Multiplicative</w:t>
            </w:r>
          </w:p>
        </w:tc>
        <w:tc>
          <w:tcPr>
            <w:tcW w:w="0" w:type="auto"/>
          </w:tcPr>
          <w:p w14:paraId="6A0967CC" w14:textId="77777777" w:rsidR="006C3876" w:rsidRDefault="00762BD9">
            <w:pPr>
              <w:pStyle w:val="Compact"/>
              <w:jc w:val="center"/>
            </w:pPr>
            <w:r>
              <w:t>Independent</w:t>
            </w:r>
          </w:p>
        </w:tc>
        <w:tc>
          <w:tcPr>
            <w:tcW w:w="0" w:type="auto"/>
          </w:tcPr>
          <w:p w14:paraId="05DFEDBB" w14:textId="77777777" w:rsidR="006C3876" w:rsidRDefault="00762BD9">
            <w:pPr>
              <w:pStyle w:val="Compact"/>
              <w:jc w:val="center"/>
            </w:pPr>
            <w:r>
              <w:t>235.94</w:t>
            </w:r>
          </w:p>
        </w:tc>
      </w:tr>
      <w:tr w:rsidR="006C3876" w14:paraId="72703388" w14:textId="77777777" w:rsidTr="005E6D27">
        <w:trPr>
          <w:jc w:val="center"/>
        </w:trPr>
        <w:tc>
          <w:tcPr>
            <w:tcW w:w="0" w:type="auto"/>
          </w:tcPr>
          <w:p w14:paraId="4630776E" w14:textId="77777777" w:rsidR="006C3876" w:rsidRDefault="00762BD9">
            <w:pPr>
              <w:pStyle w:val="Compact"/>
              <w:jc w:val="center"/>
            </w:pPr>
            <w:r>
              <w:t>3</w:t>
            </w:r>
          </w:p>
        </w:tc>
        <w:tc>
          <w:tcPr>
            <w:tcW w:w="0" w:type="auto"/>
            <w:shd w:val="clear" w:color="auto" w:fill="C6D9F1" w:themeFill="text2" w:themeFillTint="33"/>
          </w:tcPr>
          <w:p w14:paraId="4C628410" w14:textId="77777777" w:rsidR="006C3876" w:rsidRDefault="00762BD9">
            <w:pPr>
              <w:pStyle w:val="Compact"/>
              <w:jc w:val="center"/>
            </w:pPr>
            <w:r>
              <w:rPr>
                <w:b/>
                <w:bCs/>
              </w:rPr>
              <w:t>Yes</w:t>
            </w:r>
          </w:p>
        </w:tc>
        <w:tc>
          <w:tcPr>
            <w:tcW w:w="0" w:type="auto"/>
          </w:tcPr>
          <w:p w14:paraId="7A713020" w14:textId="77777777" w:rsidR="006C3876" w:rsidRDefault="00762BD9">
            <w:pPr>
              <w:pStyle w:val="Compact"/>
              <w:jc w:val="center"/>
            </w:pPr>
            <w:r>
              <w:t>No</w:t>
            </w:r>
          </w:p>
        </w:tc>
        <w:tc>
          <w:tcPr>
            <w:tcW w:w="0" w:type="auto"/>
          </w:tcPr>
          <w:p w14:paraId="6350456B" w14:textId="77777777" w:rsidR="006C3876" w:rsidRDefault="00762BD9">
            <w:pPr>
              <w:pStyle w:val="Compact"/>
              <w:jc w:val="center"/>
            </w:pPr>
            <w:r>
              <w:t>Constant</w:t>
            </w:r>
          </w:p>
        </w:tc>
        <w:tc>
          <w:tcPr>
            <w:tcW w:w="0" w:type="auto"/>
            <w:shd w:val="clear" w:color="auto" w:fill="C6D9F1" w:themeFill="text2" w:themeFillTint="33"/>
          </w:tcPr>
          <w:p w14:paraId="1983F536" w14:textId="77777777" w:rsidR="006C3876" w:rsidRDefault="00762BD9">
            <w:pPr>
              <w:pStyle w:val="Compact"/>
              <w:jc w:val="center"/>
            </w:pPr>
            <w:r>
              <w:rPr>
                <w:b/>
                <w:bCs/>
              </w:rPr>
              <w:t>Gaze</w:t>
            </w:r>
          </w:p>
        </w:tc>
        <w:tc>
          <w:tcPr>
            <w:tcW w:w="0" w:type="auto"/>
          </w:tcPr>
          <w:p w14:paraId="7662DC33" w14:textId="77777777" w:rsidR="006C3876" w:rsidRDefault="00762BD9">
            <w:pPr>
              <w:pStyle w:val="Compact"/>
              <w:jc w:val="center"/>
            </w:pPr>
            <w:r>
              <w:t>Multiplicative</w:t>
            </w:r>
          </w:p>
        </w:tc>
        <w:tc>
          <w:tcPr>
            <w:tcW w:w="0" w:type="auto"/>
          </w:tcPr>
          <w:p w14:paraId="49A68A96" w14:textId="77777777" w:rsidR="006C3876" w:rsidRDefault="00762BD9">
            <w:pPr>
              <w:pStyle w:val="Compact"/>
              <w:jc w:val="center"/>
            </w:pPr>
            <w:r>
              <w:t>Comparative</w:t>
            </w:r>
          </w:p>
        </w:tc>
        <w:tc>
          <w:tcPr>
            <w:tcW w:w="0" w:type="auto"/>
          </w:tcPr>
          <w:p w14:paraId="151F724A" w14:textId="77777777" w:rsidR="006C3876" w:rsidRDefault="00762BD9">
            <w:pPr>
              <w:pStyle w:val="Compact"/>
              <w:jc w:val="center"/>
            </w:pPr>
            <w:r>
              <w:t>236.75</w:t>
            </w:r>
          </w:p>
        </w:tc>
      </w:tr>
      <w:tr w:rsidR="006C3876" w14:paraId="6F90694A" w14:textId="77777777" w:rsidTr="005E6D27">
        <w:trPr>
          <w:jc w:val="center"/>
        </w:trPr>
        <w:tc>
          <w:tcPr>
            <w:tcW w:w="0" w:type="auto"/>
          </w:tcPr>
          <w:p w14:paraId="5575E084" w14:textId="77777777" w:rsidR="006C3876" w:rsidRDefault="00762BD9">
            <w:pPr>
              <w:pStyle w:val="Compact"/>
              <w:jc w:val="center"/>
            </w:pPr>
            <w:r>
              <w:t>4</w:t>
            </w:r>
          </w:p>
        </w:tc>
        <w:tc>
          <w:tcPr>
            <w:tcW w:w="0" w:type="auto"/>
            <w:shd w:val="clear" w:color="auto" w:fill="C6D9F1" w:themeFill="text2" w:themeFillTint="33"/>
          </w:tcPr>
          <w:p w14:paraId="26330863" w14:textId="77777777" w:rsidR="006C3876" w:rsidRDefault="00762BD9">
            <w:pPr>
              <w:pStyle w:val="Compact"/>
              <w:jc w:val="center"/>
            </w:pPr>
            <w:r>
              <w:rPr>
                <w:b/>
                <w:bCs/>
              </w:rPr>
              <w:t>Yes</w:t>
            </w:r>
          </w:p>
        </w:tc>
        <w:tc>
          <w:tcPr>
            <w:tcW w:w="0" w:type="auto"/>
            <w:shd w:val="clear" w:color="auto" w:fill="C6D9F1" w:themeFill="text2" w:themeFillTint="33"/>
          </w:tcPr>
          <w:p w14:paraId="0ED58F0A" w14:textId="77777777" w:rsidR="006C3876" w:rsidRDefault="00762BD9">
            <w:pPr>
              <w:pStyle w:val="Compact"/>
              <w:jc w:val="center"/>
            </w:pPr>
            <w:r>
              <w:rPr>
                <w:b/>
                <w:bCs/>
              </w:rPr>
              <w:t>Yes</w:t>
            </w:r>
          </w:p>
        </w:tc>
        <w:tc>
          <w:tcPr>
            <w:tcW w:w="0" w:type="auto"/>
          </w:tcPr>
          <w:p w14:paraId="31DD3AA4" w14:textId="77777777" w:rsidR="006C3876" w:rsidRDefault="00762BD9">
            <w:pPr>
              <w:pStyle w:val="Compact"/>
              <w:jc w:val="center"/>
            </w:pPr>
            <w:r>
              <w:t>Constant</w:t>
            </w:r>
          </w:p>
        </w:tc>
        <w:tc>
          <w:tcPr>
            <w:tcW w:w="0" w:type="auto"/>
          </w:tcPr>
          <w:p w14:paraId="0F1F6E69" w14:textId="77777777" w:rsidR="006C3876" w:rsidRDefault="00762BD9">
            <w:pPr>
              <w:pStyle w:val="Compact"/>
              <w:jc w:val="center"/>
            </w:pPr>
            <w:r>
              <w:t>None</w:t>
            </w:r>
          </w:p>
        </w:tc>
        <w:tc>
          <w:tcPr>
            <w:tcW w:w="0" w:type="auto"/>
          </w:tcPr>
          <w:p w14:paraId="43DB7AE6" w14:textId="77777777" w:rsidR="006C3876" w:rsidRDefault="00762BD9">
            <w:pPr>
              <w:pStyle w:val="Compact"/>
              <w:jc w:val="center"/>
            </w:pPr>
            <w:r>
              <w:t>Multiplicative</w:t>
            </w:r>
          </w:p>
        </w:tc>
        <w:tc>
          <w:tcPr>
            <w:tcW w:w="0" w:type="auto"/>
          </w:tcPr>
          <w:p w14:paraId="5606B1B4" w14:textId="77777777" w:rsidR="006C3876" w:rsidRDefault="00762BD9">
            <w:pPr>
              <w:pStyle w:val="Compact"/>
              <w:jc w:val="center"/>
            </w:pPr>
            <w:r>
              <w:rPr>
                <w:i/>
                <w:iCs/>
              </w:rPr>
              <w:t>n.d.</w:t>
            </w:r>
          </w:p>
        </w:tc>
        <w:tc>
          <w:tcPr>
            <w:tcW w:w="0" w:type="auto"/>
          </w:tcPr>
          <w:p w14:paraId="59DC32A9" w14:textId="77777777" w:rsidR="006C3876" w:rsidRDefault="00762BD9">
            <w:pPr>
              <w:pStyle w:val="Compact"/>
              <w:jc w:val="center"/>
            </w:pPr>
            <w:r>
              <w:t>237.21</w:t>
            </w:r>
          </w:p>
        </w:tc>
      </w:tr>
      <w:tr w:rsidR="006C3876" w14:paraId="70F3B878" w14:textId="77777777" w:rsidTr="005E6D27">
        <w:trPr>
          <w:jc w:val="center"/>
        </w:trPr>
        <w:tc>
          <w:tcPr>
            <w:tcW w:w="0" w:type="auto"/>
          </w:tcPr>
          <w:p w14:paraId="12242B4E" w14:textId="77777777" w:rsidR="006C3876" w:rsidRDefault="00762BD9">
            <w:pPr>
              <w:pStyle w:val="Compact"/>
              <w:jc w:val="center"/>
            </w:pPr>
            <w:r>
              <w:t>5</w:t>
            </w:r>
          </w:p>
        </w:tc>
        <w:tc>
          <w:tcPr>
            <w:tcW w:w="0" w:type="auto"/>
            <w:shd w:val="clear" w:color="auto" w:fill="C6D9F1" w:themeFill="text2" w:themeFillTint="33"/>
          </w:tcPr>
          <w:p w14:paraId="109E06B6" w14:textId="77777777" w:rsidR="006C3876" w:rsidRDefault="00762BD9">
            <w:pPr>
              <w:pStyle w:val="Compact"/>
              <w:jc w:val="center"/>
            </w:pPr>
            <w:r>
              <w:rPr>
                <w:b/>
                <w:bCs/>
              </w:rPr>
              <w:t>Yes</w:t>
            </w:r>
          </w:p>
        </w:tc>
        <w:tc>
          <w:tcPr>
            <w:tcW w:w="0" w:type="auto"/>
          </w:tcPr>
          <w:p w14:paraId="19743083" w14:textId="77777777" w:rsidR="006C3876" w:rsidRDefault="00762BD9">
            <w:pPr>
              <w:pStyle w:val="Compact"/>
              <w:jc w:val="center"/>
            </w:pPr>
            <w:r>
              <w:t>No</w:t>
            </w:r>
          </w:p>
        </w:tc>
        <w:tc>
          <w:tcPr>
            <w:tcW w:w="0" w:type="auto"/>
          </w:tcPr>
          <w:p w14:paraId="1975D481" w14:textId="77777777" w:rsidR="006C3876" w:rsidRDefault="00762BD9">
            <w:pPr>
              <w:pStyle w:val="Compact"/>
              <w:jc w:val="center"/>
            </w:pPr>
            <w:r>
              <w:t>Constant</w:t>
            </w:r>
          </w:p>
        </w:tc>
        <w:tc>
          <w:tcPr>
            <w:tcW w:w="0" w:type="auto"/>
            <w:shd w:val="clear" w:color="auto" w:fill="C6D9F1" w:themeFill="text2" w:themeFillTint="33"/>
          </w:tcPr>
          <w:p w14:paraId="58661435" w14:textId="77777777" w:rsidR="006C3876" w:rsidRDefault="00762BD9">
            <w:pPr>
              <w:pStyle w:val="Compact"/>
              <w:jc w:val="center"/>
            </w:pPr>
            <w:r>
              <w:rPr>
                <w:b/>
                <w:bCs/>
              </w:rPr>
              <w:t>Gaze</w:t>
            </w:r>
          </w:p>
        </w:tc>
        <w:tc>
          <w:tcPr>
            <w:tcW w:w="0" w:type="auto"/>
          </w:tcPr>
          <w:p w14:paraId="5F2209B2" w14:textId="77777777" w:rsidR="006C3876" w:rsidRDefault="00762BD9">
            <w:pPr>
              <w:pStyle w:val="Compact"/>
              <w:jc w:val="center"/>
            </w:pPr>
            <w:r>
              <w:t>Multiplicative</w:t>
            </w:r>
          </w:p>
        </w:tc>
        <w:tc>
          <w:tcPr>
            <w:tcW w:w="0" w:type="auto"/>
          </w:tcPr>
          <w:p w14:paraId="37DAE6B4" w14:textId="77777777" w:rsidR="006C3876" w:rsidRDefault="00762BD9">
            <w:pPr>
              <w:pStyle w:val="Compact"/>
              <w:jc w:val="center"/>
            </w:pPr>
            <w:r>
              <w:t>Independent</w:t>
            </w:r>
          </w:p>
        </w:tc>
        <w:tc>
          <w:tcPr>
            <w:tcW w:w="0" w:type="auto"/>
          </w:tcPr>
          <w:p w14:paraId="63D15697" w14:textId="77777777" w:rsidR="006C3876" w:rsidRDefault="00762BD9">
            <w:pPr>
              <w:pStyle w:val="Compact"/>
              <w:jc w:val="center"/>
            </w:pPr>
            <w:r>
              <w:t>237.31</w:t>
            </w:r>
          </w:p>
        </w:tc>
      </w:tr>
      <w:tr w:rsidR="006C3876" w14:paraId="18DBB824" w14:textId="77777777" w:rsidTr="005E6D27">
        <w:trPr>
          <w:jc w:val="center"/>
        </w:trPr>
        <w:tc>
          <w:tcPr>
            <w:tcW w:w="0" w:type="auto"/>
          </w:tcPr>
          <w:p w14:paraId="50F8B6B9" w14:textId="77777777" w:rsidR="006C3876" w:rsidRDefault="00762BD9">
            <w:pPr>
              <w:pStyle w:val="Compact"/>
              <w:jc w:val="center"/>
            </w:pPr>
            <w:r>
              <w:t>6</w:t>
            </w:r>
          </w:p>
        </w:tc>
        <w:tc>
          <w:tcPr>
            <w:tcW w:w="0" w:type="auto"/>
            <w:shd w:val="clear" w:color="auto" w:fill="C6D9F1" w:themeFill="text2" w:themeFillTint="33"/>
          </w:tcPr>
          <w:p w14:paraId="7086BD08" w14:textId="77777777" w:rsidR="006C3876" w:rsidRDefault="00762BD9">
            <w:pPr>
              <w:pStyle w:val="Compact"/>
              <w:jc w:val="center"/>
            </w:pPr>
            <w:r>
              <w:rPr>
                <w:b/>
                <w:bCs/>
              </w:rPr>
              <w:t>Yes</w:t>
            </w:r>
          </w:p>
        </w:tc>
        <w:tc>
          <w:tcPr>
            <w:tcW w:w="0" w:type="auto"/>
          </w:tcPr>
          <w:p w14:paraId="7C0ED656" w14:textId="77777777" w:rsidR="006C3876" w:rsidRDefault="00762BD9">
            <w:pPr>
              <w:pStyle w:val="Compact"/>
              <w:jc w:val="center"/>
            </w:pPr>
            <w:r>
              <w:t>No</w:t>
            </w:r>
          </w:p>
        </w:tc>
        <w:tc>
          <w:tcPr>
            <w:tcW w:w="0" w:type="auto"/>
          </w:tcPr>
          <w:p w14:paraId="604199F3" w14:textId="77777777" w:rsidR="006C3876" w:rsidRDefault="00762BD9">
            <w:pPr>
              <w:pStyle w:val="Compact"/>
              <w:jc w:val="center"/>
            </w:pPr>
            <w:r>
              <w:t>Constant</w:t>
            </w:r>
          </w:p>
        </w:tc>
        <w:tc>
          <w:tcPr>
            <w:tcW w:w="0" w:type="auto"/>
          </w:tcPr>
          <w:p w14:paraId="4FBBF118" w14:textId="77777777" w:rsidR="006C3876" w:rsidRDefault="00762BD9">
            <w:pPr>
              <w:pStyle w:val="Compact"/>
              <w:jc w:val="center"/>
            </w:pPr>
            <w:r>
              <w:t>Constant</w:t>
            </w:r>
          </w:p>
        </w:tc>
        <w:tc>
          <w:tcPr>
            <w:tcW w:w="0" w:type="auto"/>
          </w:tcPr>
          <w:p w14:paraId="781CFC2F" w14:textId="77777777" w:rsidR="006C3876" w:rsidRDefault="00762BD9">
            <w:pPr>
              <w:pStyle w:val="Compact"/>
              <w:jc w:val="center"/>
            </w:pPr>
            <w:r>
              <w:t>Multiplicative</w:t>
            </w:r>
          </w:p>
        </w:tc>
        <w:tc>
          <w:tcPr>
            <w:tcW w:w="0" w:type="auto"/>
          </w:tcPr>
          <w:p w14:paraId="0B038872" w14:textId="77777777" w:rsidR="006C3876" w:rsidRDefault="00762BD9">
            <w:pPr>
              <w:pStyle w:val="Compact"/>
              <w:jc w:val="center"/>
            </w:pPr>
            <w:r>
              <w:rPr>
                <w:i/>
                <w:iCs/>
              </w:rPr>
              <w:t>n.d.</w:t>
            </w:r>
          </w:p>
        </w:tc>
        <w:tc>
          <w:tcPr>
            <w:tcW w:w="0" w:type="auto"/>
          </w:tcPr>
          <w:p w14:paraId="21962A26" w14:textId="77777777" w:rsidR="006C3876" w:rsidRDefault="00762BD9">
            <w:pPr>
              <w:pStyle w:val="Compact"/>
              <w:jc w:val="center"/>
            </w:pPr>
            <w:r>
              <w:t>237.40</w:t>
            </w:r>
          </w:p>
        </w:tc>
      </w:tr>
      <w:tr w:rsidR="006C3876" w14:paraId="7244CA00" w14:textId="77777777" w:rsidTr="005E6D27">
        <w:trPr>
          <w:jc w:val="center"/>
        </w:trPr>
        <w:tc>
          <w:tcPr>
            <w:tcW w:w="0" w:type="auto"/>
          </w:tcPr>
          <w:p w14:paraId="403409BB" w14:textId="77777777" w:rsidR="006C3876" w:rsidRDefault="00762BD9">
            <w:pPr>
              <w:pStyle w:val="Compact"/>
              <w:jc w:val="center"/>
            </w:pPr>
            <w:r>
              <w:t>7</w:t>
            </w:r>
          </w:p>
        </w:tc>
        <w:tc>
          <w:tcPr>
            <w:tcW w:w="0" w:type="auto"/>
            <w:shd w:val="clear" w:color="auto" w:fill="C6D9F1" w:themeFill="text2" w:themeFillTint="33"/>
          </w:tcPr>
          <w:p w14:paraId="27661DCE" w14:textId="77777777" w:rsidR="006C3876" w:rsidRDefault="00762BD9">
            <w:pPr>
              <w:pStyle w:val="Compact"/>
              <w:jc w:val="center"/>
            </w:pPr>
            <w:r>
              <w:rPr>
                <w:b/>
                <w:bCs/>
              </w:rPr>
              <w:t>Yes</w:t>
            </w:r>
          </w:p>
        </w:tc>
        <w:tc>
          <w:tcPr>
            <w:tcW w:w="0" w:type="auto"/>
          </w:tcPr>
          <w:p w14:paraId="13923DA2" w14:textId="77777777" w:rsidR="006C3876" w:rsidRDefault="00762BD9">
            <w:pPr>
              <w:pStyle w:val="Compact"/>
              <w:jc w:val="center"/>
            </w:pPr>
            <w:r>
              <w:t>No</w:t>
            </w:r>
          </w:p>
        </w:tc>
        <w:tc>
          <w:tcPr>
            <w:tcW w:w="0" w:type="auto"/>
            <w:shd w:val="clear" w:color="auto" w:fill="C6D9F1" w:themeFill="text2" w:themeFillTint="33"/>
          </w:tcPr>
          <w:p w14:paraId="6C532280" w14:textId="77777777" w:rsidR="006C3876" w:rsidRDefault="00762BD9">
            <w:pPr>
              <w:pStyle w:val="Compact"/>
              <w:jc w:val="center"/>
            </w:pPr>
            <w:r>
              <w:rPr>
                <w:b/>
                <w:bCs/>
              </w:rPr>
              <w:t>Gaze</w:t>
            </w:r>
          </w:p>
        </w:tc>
        <w:tc>
          <w:tcPr>
            <w:tcW w:w="0" w:type="auto"/>
          </w:tcPr>
          <w:p w14:paraId="4C5F809C" w14:textId="77777777" w:rsidR="006C3876" w:rsidRDefault="00762BD9">
            <w:pPr>
              <w:pStyle w:val="Compact"/>
              <w:jc w:val="center"/>
            </w:pPr>
            <w:r>
              <w:t>None</w:t>
            </w:r>
          </w:p>
        </w:tc>
        <w:tc>
          <w:tcPr>
            <w:tcW w:w="0" w:type="auto"/>
          </w:tcPr>
          <w:p w14:paraId="06D5C11C" w14:textId="77777777" w:rsidR="006C3876" w:rsidRDefault="00762BD9">
            <w:pPr>
              <w:pStyle w:val="Compact"/>
              <w:jc w:val="center"/>
            </w:pPr>
            <w:r>
              <w:t>Multiplicative</w:t>
            </w:r>
          </w:p>
        </w:tc>
        <w:tc>
          <w:tcPr>
            <w:tcW w:w="0" w:type="auto"/>
          </w:tcPr>
          <w:p w14:paraId="515DF9E1" w14:textId="77777777" w:rsidR="006C3876" w:rsidRDefault="00762BD9">
            <w:pPr>
              <w:pStyle w:val="Compact"/>
              <w:jc w:val="center"/>
            </w:pPr>
            <w:r>
              <w:t>Comparative</w:t>
            </w:r>
          </w:p>
        </w:tc>
        <w:tc>
          <w:tcPr>
            <w:tcW w:w="0" w:type="auto"/>
          </w:tcPr>
          <w:p w14:paraId="1D481B1C" w14:textId="77777777" w:rsidR="006C3876" w:rsidRDefault="00762BD9">
            <w:pPr>
              <w:pStyle w:val="Compact"/>
              <w:jc w:val="center"/>
            </w:pPr>
            <w:r>
              <w:t>238.41</w:t>
            </w:r>
          </w:p>
        </w:tc>
      </w:tr>
      <w:tr w:rsidR="006C3876" w14:paraId="31516A26" w14:textId="77777777" w:rsidTr="005E6D27">
        <w:trPr>
          <w:jc w:val="center"/>
        </w:trPr>
        <w:tc>
          <w:tcPr>
            <w:tcW w:w="0" w:type="auto"/>
          </w:tcPr>
          <w:p w14:paraId="5406511E" w14:textId="77777777" w:rsidR="006C3876" w:rsidRDefault="00762BD9">
            <w:pPr>
              <w:pStyle w:val="Compact"/>
              <w:jc w:val="center"/>
            </w:pPr>
            <w:r>
              <w:t>8</w:t>
            </w:r>
          </w:p>
        </w:tc>
        <w:tc>
          <w:tcPr>
            <w:tcW w:w="0" w:type="auto"/>
          </w:tcPr>
          <w:p w14:paraId="1162D420" w14:textId="77777777" w:rsidR="006C3876" w:rsidRDefault="00762BD9">
            <w:pPr>
              <w:pStyle w:val="Compact"/>
              <w:jc w:val="center"/>
            </w:pPr>
            <w:r>
              <w:t>No</w:t>
            </w:r>
          </w:p>
        </w:tc>
        <w:tc>
          <w:tcPr>
            <w:tcW w:w="0" w:type="auto"/>
            <w:shd w:val="clear" w:color="auto" w:fill="C6D9F1" w:themeFill="text2" w:themeFillTint="33"/>
          </w:tcPr>
          <w:p w14:paraId="17709C81" w14:textId="77777777" w:rsidR="006C3876" w:rsidRDefault="00762BD9">
            <w:pPr>
              <w:pStyle w:val="Compact"/>
              <w:jc w:val="center"/>
            </w:pPr>
            <w:r>
              <w:rPr>
                <w:b/>
                <w:bCs/>
              </w:rPr>
              <w:t>Yes</w:t>
            </w:r>
          </w:p>
        </w:tc>
        <w:tc>
          <w:tcPr>
            <w:tcW w:w="0" w:type="auto"/>
          </w:tcPr>
          <w:p w14:paraId="5630C246" w14:textId="77777777" w:rsidR="006C3876" w:rsidRDefault="00762BD9">
            <w:pPr>
              <w:pStyle w:val="Compact"/>
              <w:jc w:val="center"/>
            </w:pPr>
            <w:r>
              <w:t>Constant</w:t>
            </w:r>
          </w:p>
        </w:tc>
        <w:tc>
          <w:tcPr>
            <w:tcW w:w="0" w:type="auto"/>
            <w:shd w:val="clear" w:color="auto" w:fill="C6D9F1" w:themeFill="text2" w:themeFillTint="33"/>
          </w:tcPr>
          <w:p w14:paraId="2799E739" w14:textId="77777777" w:rsidR="006C3876" w:rsidRDefault="00762BD9">
            <w:pPr>
              <w:pStyle w:val="Compact"/>
              <w:jc w:val="center"/>
            </w:pPr>
            <w:r>
              <w:rPr>
                <w:b/>
                <w:bCs/>
              </w:rPr>
              <w:t>Gaze</w:t>
            </w:r>
          </w:p>
        </w:tc>
        <w:tc>
          <w:tcPr>
            <w:tcW w:w="0" w:type="auto"/>
          </w:tcPr>
          <w:p w14:paraId="56484FD8" w14:textId="77777777" w:rsidR="006C3876" w:rsidRDefault="00762BD9">
            <w:pPr>
              <w:pStyle w:val="Compact"/>
              <w:jc w:val="center"/>
            </w:pPr>
            <w:r>
              <w:t>Multiplicative</w:t>
            </w:r>
          </w:p>
        </w:tc>
        <w:tc>
          <w:tcPr>
            <w:tcW w:w="0" w:type="auto"/>
          </w:tcPr>
          <w:p w14:paraId="2F2BFF04" w14:textId="77777777" w:rsidR="006C3876" w:rsidRDefault="00762BD9">
            <w:pPr>
              <w:pStyle w:val="Compact"/>
              <w:jc w:val="center"/>
            </w:pPr>
            <w:r>
              <w:t>Independent</w:t>
            </w:r>
          </w:p>
        </w:tc>
        <w:tc>
          <w:tcPr>
            <w:tcW w:w="0" w:type="auto"/>
          </w:tcPr>
          <w:p w14:paraId="45E3055C" w14:textId="77777777" w:rsidR="006C3876" w:rsidRDefault="00762BD9">
            <w:pPr>
              <w:pStyle w:val="Compact"/>
              <w:jc w:val="center"/>
            </w:pPr>
            <w:r>
              <w:t>241.04</w:t>
            </w:r>
          </w:p>
        </w:tc>
      </w:tr>
      <w:tr w:rsidR="006C3876" w14:paraId="53240D36" w14:textId="77777777" w:rsidTr="005E6D27">
        <w:trPr>
          <w:jc w:val="center"/>
        </w:trPr>
        <w:tc>
          <w:tcPr>
            <w:tcW w:w="0" w:type="auto"/>
          </w:tcPr>
          <w:p w14:paraId="1B61F179" w14:textId="77777777" w:rsidR="006C3876" w:rsidRDefault="00762BD9">
            <w:pPr>
              <w:pStyle w:val="Compact"/>
              <w:jc w:val="center"/>
            </w:pPr>
            <w:r>
              <w:t>9</w:t>
            </w:r>
          </w:p>
        </w:tc>
        <w:tc>
          <w:tcPr>
            <w:tcW w:w="0" w:type="auto"/>
            <w:shd w:val="clear" w:color="auto" w:fill="C6D9F1" w:themeFill="text2" w:themeFillTint="33"/>
          </w:tcPr>
          <w:p w14:paraId="1779753E" w14:textId="77777777" w:rsidR="006C3876" w:rsidRDefault="00762BD9">
            <w:pPr>
              <w:pStyle w:val="Compact"/>
              <w:jc w:val="center"/>
            </w:pPr>
            <w:r>
              <w:rPr>
                <w:b/>
                <w:bCs/>
              </w:rPr>
              <w:t>Yes</w:t>
            </w:r>
          </w:p>
        </w:tc>
        <w:tc>
          <w:tcPr>
            <w:tcW w:w="0" w:type="auto"/>
          </w:tcPr>
          <w:p w14:paraId="29938D89" w14:textId="77777777" w:rsidR="006C3876" w:rsidRDefault="00762BD9">
            <w:pPr>
              <w:pStyle w:val="Compact"/>
              <w:jc w:val="center"/>
            </w:pPr>
            <w:r>
              <w:t>No</w:t>
            </w:r>
          </w:p>
        </w:tc>
        <w:tc>
          <w:tcPr>
            <w:tcW w:w="0" w:type="auto"/>
          </w:tcPr>
          <w:p w14:paraId="1CA99B96" w14:textId="77777777" w:rsidR="006C3876" w:rsidRDefault="00762BD9">
            <w:pPr>
              <w:pStyle w:val="Compact"/>
              <w:jc w:val="center"/>
            </w:pPr>
            <w:r>
              <w:t>Constant</w:t>
            </w:r>
          </w:p>
        </w:tc>
        <w:tc>
          <w:tcPr>
            <w:tcW w:w="0" w:type="auto"/>
          </w:tcPr>
          <w:p w14:paraId="31C282AA" w14:textId="77777777" w:rsidR="006C3876" w:rsidRDefault="00762BD9">
            <w:pPr>
              <w:pStyle w:val="Compact"/>
              <w:jc w:val="center"/>
            </w:pPr>
            <w:r>
              <w:t>Distance</w:t>
            </w:r>
          </w:p>
        </w:tc>
        <w:tc>
          <w:tcPr>
            <w:tcW w:w="0" w:type="auto"/>
          </w:tcPr>
          <w:p w14:paraId="0E1B7DF1" w14:textId="77777777" w:rsidR="006C3876" w:rsidRDefault="00762BD9">
            <w:pPr>
              <w:pStyle w:val="Compact"/>
              <w:jc w:val="center"/>
            </w:pPr>
            <w:r>
              <w:t>Multiplicative</w:t>
            </w:r>
          </w:p>
        </w:tc>
        <w:tc>
          <w:tcPr>
            <w:tcW w:w="0" w:type="auto"/>
          </w:tcPr>
          <w:p w14:paraId="4FBB3348" w14:textId="77777777" w:rsidR="006C3876" w:rsidRDefault="00762BD9">
            <w:pPr>
              <w:pStyle w:val="Compact"/>
              <w:jc w:val="center"/>
            </w:pPr>
            <w:r>
              <w:t>Comparative</w:t>
            </w:r>
          </w:p>
        </w:tc>
        <w:tc>
          <w:tcPr>
            <w:tcW w:w="0" w:type="auto"/>
          </w:tcPr>
          <w:p w14:paraId="5BAB3BDA" w14:textId="77777777" w:rsidR="006C3876" w:rsidRDefault="00762BD9">
            <w:pPr>
              <w:pStyle w:val="Compact"/>
              <w:jc w:val="center"/>
            </w:pPr>
            <w:r>
              <w:t>241.40</w:t>
            </w:r>
          </w:p>
        </w:tc>
      </w:tr>
      <w:tr w:rsidR="006C3876" w14:paraId="3AD217AE" w14:textId="77777777" w:rsidTr="005E6D27">
        <w:trPr>
          <w:jc w:val="center"/>
        </w:trPr>
        <w:tc>
          <w:tcPr>
            <w:tcW w:w="0" w:type="auto"/>
          </w:tcPr>
          <w:p w14:paraId="291BA37D" w14:textId="77777777" w:rsidR="006C3876" w:rsidRDefault="00762BD9">
            <w:pPr>
              <w:pStyle w:val="Compact"/>
              <w:jc w:val="center"/>
            </w:pPr>
            <w:r>
              <w:t>10</w:t>
            </w:r>
          </w:p>
        </w:tc>
        <w:tc>
          <w:tcPr>
            <w:tcW w:w="0" w:type="auto"/>
            <w:shd w:val="clear" w:color="auto" w:fill="C6D9F1" w:themeFill="text2" w:themeFillTint="33"/>
          </w:tcPr>
          <w:p w14:paraId="245BC834" w14:textId="77777777" w:rsidR="006C3876" w:rsidRDefault="00762BD9">
            <w:pPr>
              <w:pStyle w:val="Compact"/>
              <w:jc w:val="center"/>
            </w:pPr>
            <w:r>
              <w:rPr>
                <w:b/>
                <w:bCs/>
              </w:rPr>
              <w:t>Yes</w:t>
            </w:r>
          </w:p>
        </w:tc>
        <w:tc>
          <w:tcPr>
            <w:tcW w:w="0" w:type="auto"/>
            <w:shd w:val="clear" w:color="auto" w:fill="C6D9F1" w:themeFill="text2" w:themeFillTint="33"/>
          </w:tcPr>
          <w:p w14:paraId="701C4BE7" w14:textId="77777777" w:rsidR="006C3876" w:rsidRDefault="00762BD9">
            <w:pPr>
              <w:pStyle w:val="Compact"/>
              <w:jc w:val="center"/>
            </w:pPr>
            <w:r>
              <w:rPr>
                <w:b/>
                <w:bCs/>
              </w:rPr>
              <w:t>Yes</w:t>
            </w:r>
          </w:p>
        </w:tc>
        <w:tc>
          <w:tcPr>
            <w:tcW w:w="0" w:type="auto"/>
          </w:tcPr>
          <w:p w14:paraId="0898D508" w14:textId="77777777" w:rsidR="006C3876" w:rsidRDefault="00762BD9">
            <w:pPr>
              <w:pStyle w:val="Compact"/>
              <w:jc w:val="center"/>
            </w:pPr>
            <w:r>
              <w:t>Constant</w:t>
            </w:r>
          </w:p>
        </w:tc>
        <w:tc>
          <w:tcPr>
            <w:tcW w:w="0" w:type="auto"/>
            <w:shd w:val="clear" w:color="auto" w:fill="C6D9F1" w:themeFill="text2" w:themeFillTint="33"/>
          </w:tcPr>
          <w:p w14:paraId="6A314DF9" w14:textId="77777777" w:rsidR="006C3876" w:rsidRDefault="00762BD9">
            <w:pPr>
              <w:pStyle w:val="Compact"/>
              <w:jc w:val="center"/>
            </w:pPr>
            <w:r>
              <w:rPr>
                <w:b/>
                <w:bCs/>
              </w:rPr>
              <w:t>Gaze</w:t>
            </w:r>
          </w:p>
        </w:tc>
        <w:tc>
          <w:tcPr>
            <w:tcW w:w="0" w:type="auto"/>
          </w:tcPr>
          <w:p w14:paraId="008940E6" w14:textId="77777777" w:rsidR="006C3876" w:rsidRDefault="00762BD9">
            <w:pPr>
              <w:pStyle w:val="Compact"/>
              <w:jc w:val="center"/>
            </w:pPr>
            <w:r>
              <w:t>Multiplicative</w:t>
            </w:r>
          </w:p>
        </w:tc>
        <w:tc>
          <w:tcPr>
            <w:tcW w:w="0" w:type="auto"/>
          </w:tcPr>
          <w:p w14:paraId="2C8B5933" w14:textId="77777777" w:rsidR="006C3876" w:rsidRDefault="00762BD9">
            <w:pPr>
              <w:pStyle w:val="Compact"/>
              <w:jc w:val="center"/>
            </w:pPr>
            <w:r>
              <w:t>Comparative</w:t>
            </w:r>
          </w:p>
        </w:tc>
        <w:tc>
          <w:tcPr>
            <w:tcW w:w="0" w:type="auto"/>
          </w:tcPr>
          <w:p w14:paraId="78E9C25B" w14:textId="77777777" w:rsidR="006C3876" w:rsidRDefault="00762BD9">
            <w:pPr>
              <w:pStyle w:val="Compact"/>
              <w:jc w:val="center"/>
            </w:pPr>
            <w:r>
              <w:t>241.78</w:t>
            </w:r>
          </w:p>
        </w:tc>
      </w:tr>
    </w:tbl>
    <w:p w14:paraId="07A49025" w14:textId="504341D5" w:rsidR="00D51C62" w:rsidRDefault="00D51C62" w:rsidP="00D51C62">
      <w:pPr>
        <w:pStyle w:val="TableCaption"/>
      </w:pPr>
      <w:bookmarkStart w:id="13" w:name="fig:switchboard-ind-switch-counts"/>
      <w:bookmarkEnd w:id="12"/>
      <w:r w:rsidRPr="00D51C62">
        <w:t>Supplementary Table 3:</w:t>
      </w:r>
      <w:r>
        <w:rPr>
          <w:b/>
          <w:bCs/>
        </w:rPr>
        <w:t xml:space="preserve"> Overview of average best fitting model variants.</w:t>
      </w:r>
      <w:r>
        <w:t xml:space="preserve"> All ten model variants that fit the data best on average used some form of gaze-dependence (blue shaded cells), mostly an alternative-wise gaze discount. </w:t>
      </w:r>
      <w:r>
        <w:rPr>
          <w:i/>
          <w:iCs/>
        </w:rPr>
        <w:t>"n.d."</w:t>
      </w:r>
      <w:r>
        <w:t xml:space="preserve"> denotes variants where comparison mechanisms were not distinguishable by the analysis.</w:t>
      </w:r>
      <w:r>
        <w:br w:type="page"/>
      </w:r>
    </w:p>
    <w:p w14:paraId="28E33EC3" w14:textId="14E2CA8F" w:rsidR="006C3876" w:rsidRDefault="00762BD9" w:rsidP="00A043B2">
      <w:pPr>
        <w:pStyle w:val="CaptionedFigure"/>
        <w:jc w:val="center"/>
      </w:pPr>
      <w:r>
        <w:rPr>
          <w:noProof/>
        </w:rPr>
        <w:lastRenderedPageBreak/>
        <w:drawing>
          <wp:inline distT="0" distB="0" distL="0" distR="0" wp14:anchorId="1CE74A58" wp14:editId="701BCE6F">
            <wp:extent cx="4152900" cy="1460500"/>
            <wp:effectExtent l="0" t="0" r="0" b="0"/>
            <wp:docPr id="11" name="Picture" descr="Figure 11: Counts of individual best fitting switches. Most participants were best described by model variants that included multiplicative attribute integration, with alternative-wise gaze discount, no attribute-wise gaze discount, constant leakage and no inhibition."/>
            <wp:cNvGraphicFramePr/>
            <a:graphic xmlns:a="http://schemas.openxmlformats.org/drawingml/2006/main">
              <a:graphicData uri="http://schemas.openxmlformats.org/drawingml/2006/picture">
                <pic:pic xmlns:pic="http://schemas.openxmlformats.org/drawingml/2006/picture">
                  <pic:nvPicPr>
                    <pic:cNvPr id="0" name="Picture" descr="../figures/S_switch-level_individual_counts.pdf"/>
                    <pic:cNvPicPr>
                      <a:picLocks noChangeAspect="1" noChangeArrowheads="1"/>
                    </pic:cNvPicPr>
                  </pic:nvPicPr>
                  <pic:blipFill>
                    <a:blip r:embed="rId17"/>
                    <a:stretch>
                      <a:fillRect/>
                    </a:stretch>
                  </pic:blipFill>
                  <pic:spPr bwMode="auto">
                    <a:xfrm>
                      <a:off x="0" y="0"/>
                      <a:ext cx="4152900" cy="1460500"/>
                    </a:xfrm>
                    <a:prstGeom prst="rect">
                      <a:avLst/>
                    </a:prstGeom>
                    <a:noFill/>
                    <a:ln w="9525">
                      <a:noFill/>
                      <a:headEnd/>
                      <a:tailEnd/>
                    </a:ln>
                  </pic:spPr>
                </pic:pic>
              </a:graphicData>
            </a:graphic>
          </wp:inline>
        </w:drawing>
      </w:r>
      <w:bookmarkEnd w:id="13"/>
    </w:p>
    <w:p w14:paraId="0FD5404A" w14:textId="44E350AB" w:rsidR="00A043B2" w:rsidRDefault="009027FD" w:rsidP="00A043B2">
      <w:pPr>
        <w:pStyle w:val="ImageCaption"/>
      </w:pPr>
      <w:r>
        <w:t xml:space="preserve">Supplementary </w:t>
      </w:r>
      <w:r w:rsidR="00762BD9">
        <w:t xml:space="preserve">Figure </w:t>
      </w:r>
      <w:r>
        <w:t>6</w:t>
      </w:r>
      <w:r w:rsidR="00762BD9">
        <w:t xml:space="preserve">: </w:t>
      </w:r>
      <w:r w:rsidR="00762BD9">
        <w:rPr>
          <w:b/>
          <w:bCs/>
        </w:rPr>
        <w:t>Counts of individual best fitting switches.</w:t>
      </w:r>
      <w:r w:rsidR="00762BD9">
        <w:t xml:space="preserve"> Most participants were best described by model variants that included multiplicative attribute integration, with alternative-wise gaze discount, no attribute-wise gaze discount, constant leakage and no inhibition.</w:t>
      </w:r>
      <w:r w:rsidR="00A043B2">
        <w:br w:type="page"/>
      </w:r>
    </w:p>
    <w:p w14:paraId="55116DA3" w14:textId="77777777" w:rsidR="006C3876" w:rsidRDefault="00762BD9">
      <w:pPr>
        <w:pStyle w:val="CaptionedFigure"/>
      </w:pPr>
      <w:bookmarkStart w:id="14" w:name="fig:rdt-adv-subgroups"/>
      <w:r>
        <w:rPr>
          <w:noProof/>
        </w:rPr>
        <w:lastRenderedPageBreak/>
        <w:drawing>
          <wp:inline distT="0" distB="0" distL="0" distR="0" wp14:anchorId="75CB6890" wp14:editId="1777606A">
            <wp:extent cx="5283200" cy="4330700"/>
            <wp:effectExtent l="0" t="0" r="0" b="0"/>
            <wp:docPr id="12" name="Picture" descr="Figure 12: Observed and model-predicted association of dwell time advantage and choice for participants with weaker and strong attraction effects. (a-f) Data and model predictions for participants with weaker attraction effects (RST &lt; 0.7). (g-l) Data and model predictions for participants with strong attraction effects (RST &gt; 0.7) Each column refers to one choice alternative: Target (first column; a, d, g, j); Competitor (second column; b, e, h, k); Decoy (third column; c, f, i, l). Rows refer to trials in attraction (a-c, g-i) and compromise trials (d-f, j-l). White and grey bars and error bars show observed mean \pm s.e. choice probabilities computed from even-numbered trials, for participants with weaker and stronger attraction effects, respectively. Coloured lines indicate model predictions derived from 50 simulations for each odd-numbered trial."/>
            <wp:cNvGraphicFramePr/>
            <a:graphic xmlns:a="http://schemas.openxmlformats.org/drawingml/2006/main">
              <a:graphicData uri="http://schemas.openxmlformats.org/drawingml/2006/picture">
                <pic:pic xmlns:pic="http://schemas.openxmlformats.org/drawingml/2006/picture">
                  <pic:nvPicPr>
                    <pic:cNvPr id="0" name="Picture" descr="../figures/S_dwell-advantage_subgroups_gla-hybrid.pdf"/>
                    <pic:cNvPicPr>
                      <a:picLocks noChangeAspect="1" noChangeArrowheads="1"/>
                    </pic:cNvPicPr>
                  </pic:nvPicPr>
                  <pic:blipFill>
                    <a:blip r:embed="rId18"/>
                    <a:stretch>
                      <a:fillRect/>
                    </a:stretch>
                  </pic:blipFill>
                  <pic:spPr bwMode="auto">
                    <a:xfrm>
                      <a:off x="0" y="0"/>
                      <a:ext cx="5283200" cy="4330700"/>
                    </a:xfrm>
                    <a:prstGeom prst="rect">
                      <a:avLst/>
                    </a:prstGeom>
                    <a:noFill/>
                    <a:ln w="9525">
                      <a:noFill/>
                      <a:headEnd/>
                      <a:tailEnd/>
                    </a:ln>
                  </pic:spPr>
                </pic:pic>
              </a:graphicData>
            </a:graphic>
          </wp:inline>
        </w:drawing>
      </w:r>
      <w:bookmarkEnd w:id="14"/>
    </w:p>
    <w:p w14:paraId="1C85D954" w14:textId="45974A34" w:rsidR="00CF7CEE" w:rsidRPr="00CF7CEE" w:rsidRDefault="004C6560" w:rsidP="00CF7CEE">
      <w:pPr>
        <w:pStyle w:val="ImageCaption"/>
      </w:pPr>
      <w:r>
        <w:t xml:space="preserve">Supplementary </w:t>
      </w:r>
      <w:r w:rsidR="00762BD9">
        <w:t xml:space="preserve">Figure </w:t>
      </w:r>
      <w:r>
        <w:t>7</w:t>
      </w:r>
      <w:r w:rsidR="00762BD9">
        <w:t xml:space="preserve">: </w:t>
      </w:r>
      <w:r w:rsidR="00762BD9">
        <w:rPr>
          <w:b/>
          <w:bCs/>
        </w:rPr>
        <w:t>Observed and model-predicted association of dwell time advantage and choice for participants with weaker and strong attraction effects.</w:t>
      </w:r>
      <w:r w:rsidR="00762BD9">
        <w:t xml:space="preserve"> </w:t>
      </w:r>
      <w:r w:rsidR="00762BD9">
        <w:rPr>
          <w:b/>
          <w:bCs/>
        </w:rPr>
        <w:t>(a-f)</w:t>
      </w:r>
      <w:r w:rsidR="00762BD9">
        <w:t xml:space="preserve"> Data and model predictions for participants with weaker attraction effects (RST </w:t>
      </w:r>
      <m:oMath>
        <m:r>
          <m:rPr>
            <m:sty m:val="p"/>
          </m:rPr>
          <w:rPr>
            <w:rFonts w:ascii="Cambria Math" w:hAnsi="Cambria Math"/>
          </w:rPr>
          <m:t>&lt;</m:t>
        </m:r>
      </m:oMath>
      <w:r w:rsidR="00762BD9">
        <w:t xml:space="preserve"> 0.7). </w:t>
      </w:r>
      <w:r w:rsidR="00762BD9">
        <w:rPr>
          <w:b/>
          <w:bCs/>
        </w:rPr>
        <w:t>(g-l)</w:t>
      </w:r>
      <w:r w:rsidR="00762BD9">
        <w:t xml:space="preserve"> Data and model predictions for participants with strong attraction effects (RST </w:t>
      </w:r>
      <m:oMath>
        <m:r>
          <m:rPr>
            <m:sty m:val="p"/>
          </m:rPr>
          <w:rPr>
            <w:rFonts w:ascii="Cambria Math" w:hAnsi="Cambria Math"/>
          </w:rPr>
          <m:t>&gt;</m:t>
        </m:r>
      </m:oMath>
      <w:r w:rsidR="00762BD9">
        <w:t xml:space="preserve"> 0.7) Each column refers to one choice alternative: Target (first column; </w:t>
      </w:r>
      <w:r w:rsidR="00762BD9">
        <w:rPr>
          <w:b/>
          <w:bCs/>
        </w:rPr>
        <w:t>a, d, g, j</w:t>
      </w:r>
      <w:r w:rsidR="00762BD9">
        <w:t xml:space="preserve">); Competitor (second column; </w:t>
      </w:r>
      <w:r w:rsidR="00762BD9">
        <w:rPr>
          <w:b/>
          <w:bCs/>
        </w:rPr>
        <w:t>b, e, h, k</w:t>
      </w:r>
      <w:r w:rsidR="00762BD9">
        <w:t xml:space="preserve">); Decoy (third column; </w:t>
      </w:r>
      <w:r w:rsidR="00762BD9">
        <w:rPr>
          <w:b/>
          <w:bCs/>
        </w:rPr>
        <w:t>c, f, i, l</w:t>
      </w:r>
      <w:r w:rsidR="00762BD9">
        <w:t xml:space="preserve">). Rows refer to trials in attraction </w:t>
      </w:r>
      <w:r w:rsidR="00762BD9">
        <w:rPr>
          <w:b/>
          <w:bCs/>
        </w:rPr>
        <w:t>(a-c, g-i)</w:t>
      </w:r>
      <w:r w:rsidR="00762BD9">
        <w:t xml:space="preserve"> and compromise trials </w:t>
      </w:r>
      <w:r w:rsidR="00762BD9">
        <w:rPr>
          <w:b/>
          <w:bCs/>
        </w:rPr>
        <w:t>(d-f, j-l)</w:t>
      </w:r>
      <w:r w:rsidR="00762BD9">
        <w:t xml:space="preserve">. White and grey bars and error bars show observed mean </w:t>
      </w:r>
      <m:oMath>
        <m:r>
          <m:rPr>
            <m:sty m:val="p"/>
          </m:rPr>
          <w:rPr>
            <w:rFonts w:ascii="Cambria Math" w:hAnsi="Cambria Math"/>
          </w:rPr>
          <m:t>±</m:t>
        </m:r>
      </m:oMath>
      <w:r w:rsidR="00762BD9">
        <w:t xml:space="preserve"> s.e. choice probabilities computed from even-numbered trials, for participants with weaker and stronger attraction effects, respectively. Coloured lines indicate model predictions derived from 50 simulations for each odd-numbered trial.</w:t>
      </w:r>
      <w:bookmarkStart w:id="15" w:name="sup:ade-choicerule"/>
      <w:r w:rsidR="00CF7CEE">
        <w:br w:type="page"/>
      </w:r>
    </w:p>
    <w:p w14:paraId="7E170A8D" w14:textId="14A86DB8" w:rsidR="006C3876" w:rsidRDefault="00762BD9">
      <w:pPr>
        <w:pStyle w:val="Heading2"/>
      </w:pPr>
      <w:r>
        <w:lastRenderedPageBreak/>
        <w:t>Supplementary Note 2</w:t>
      </w:r>
    </w:p>
    <w:p w14:paraId="54FCCCA4" w14:textId="77777777" w:rsidR="006C3876" w:rsidRDefault="00762BD9">
      <w:pPr>
        <w:pStyle w:val="Heading3"/>
        <w:framePr w:wrap="around"/>
      </w:pPr>
      <w:bookmarkStart w:id="16" w:name="X43a103c924e892eb6fef3a083c6ad0aec9136a0"/>
      <w:r>
        <w:t>No process evidence that strong attraction responders follow simple choice rule</w:t>
      </w:r>
    </w:p>
    <w:p w14:paraId="70F31F54" w14:textId="58BD6903" w:rsidR="004C2369" w:rsidRDefault="00762BD9" w:rsidP="004C2369">
      <w:pPr>
        <w:pStyle w:val="FirstParagraph"/>
      </w:pPr>
      <w:r>
        <w:t>Using process measures, we performed multiple tests of the hypothesis, that individuals with strong attraction effects follow a simple choice rule of choosing the dominant alternative. First, we tested whether the strength of individual attraction effects (individual RST in attraction trials) was related to differences in mean response times (RTs) in attraction trials. If individuals used a choice rule, their choices might be made faster, as they do not engage in multiple pairwise comparisons or calculations of expected outcomes. There was no correlation between the two measures (</w:t>
      </w:r>
      <m:oMath>
        <m:r>
          <w:rPr>
            <w:rFonts w:ascii="Cambria Math" w:hAnsi="Cambria Math"/>
          </w:rPr>
          <m:t>r</m:t>
        </m:r>
      </m:oMath>
      <w:r>
        <w:t xml:space="preserve"> = 0.06,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[-0.24, 0.34]). Similarly, no relationship was found between individual RST and the number of fixations in attraction trials (</w:t>
      </w:r>
      <m:oMath>
        <m:r>
          <w:rPr>
            <w:rFonts w:ascii="Cambria Math" w:hAnsi="Cambria Math"/>
          </w:rPr>
          <m:t>r</m:t>
        </m:r>
      </m:oMath>
      <w:r>
        <w:t xml:space="preserve"> = 0.06,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[-0.25, 0.35]). Mean RTs in attraction trials did not meaningfully differ between trials with target choices and trials with other choices (</w:t>
      </w:r>
      <m:oMath>
        <m:r>
          <w:rPr>
            <w:rFonts w:ascii="Cambria Math" w:hAnsi="Cambria Math"/>
          </w:rPr>
          <m:t>d</m:t>
        </m:r>
      </m:oMath>
      <w:r>
        <w:t xml:space="preserve"> = -0.2,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[-0.67, 0.25]). Next, we tested whether individuals with strong attraction effects committed to a choice once they learned about the dominance relationship in the stimuli, as if using the dominance relationship as a stopping rule, or if they kept exploring the stimuli. There was, however, no relationship between individual RST and the mean number of fixations after all target and decoy attributes were fixated at least once (</w:t>
      </w:r>
      <m:oMath>
        <m:r>
          <w:rPr>
            <w:rFonts w:ascii="Cambria Math" w:hAnsi="Cambria Math"/>
          </w:rPr>
          <m:t>r</m:t>
        </m:r>
      </m:oMath>
      <w:r>
        <w:t xml:space="preserve"> = 0.04,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[-0.28, 0.31]). The same analysis using fixation counts after target and decoy alternatives were both seen at least once on any attribute revealed no effect either (</w:t>
      </w:r>
      <m:oMath>
        <m:r>
          <w:rPr>
            <w:rFonts w:ascii="Cambria Math" w:hAnsi="Cambria Math"/>
          </w:rPr>
          <m:t>r</m:t>
        </m:r>
      </m:oMath>
      <w:r>
        <w:t xml:space="preserve"> = 0.11, HDI</w:t>
      </w:r>
      <m:oMath>
        <m:sSub>
          <m:sSubPr>
            <m:ctrlPr>
              <w:rPr>
                <w:rFonts w:ascii="Cambria Math" w:hAnsi="Cambria Math"/>
              </w:rPr>
            </m:ctrlPr>
          </m:sSubPr>
          <m:e>
            <m:r>
              <w:rPr>
                <w:rFonts w:ascii="Cambria Math" w:hAnsi="Cambria Math"/>
              </w:rPr>
              <m:t>​</m:t>
            </m:r>
          </m:e>
          <m:sub>
            <m:r>
              <w:rPr>
                <w:rFonts w:ascii="Cambria Math" w:hAnsi="Cambria Math"/>
              </w:rPr>
              <m:t>95</m:t>
            </m:r>
          </m:sub>
        </m:sSub>
      </m:oMath>
      <w:r>
        <w:t xml:space="preserve"> = [-0.20, 0.40]). Taken together, we did not find any evidence based on process data to support the hypothesis that strong attraction responders used a simple choice rule.</w:t>
      </w:r>
      <w:bookmarkStart w:id="17" w:name="ref-glickman2019FormationPreferenceRisky"/>
      <w:bookmarkStart w:id="18" w:name="refs"/>
      <w:bookmarkEnd w:id="15"/>
      <w:bookmarkEnd w:id="16"/>
      <w:r w:rsidR="004C2369">
        <w:br w:type="page"/>
      </w:r>
    </w:p>
    <w:p w14:paraId="42B5DF02" w14:textId="79D1F2A0" w:rsidR="003E40DD" w:rsidRDefault="003E40DD" w:rsidP="003E40DD">
      <w:pPr>
        <w:pStyle w:val="Heading1"/>
      </w:pPr>
      <w:r>
        <w:lastRenderedPageBreak/>
        <w:t>Supplementary Information References</w:t>
      </w:r>
    </w:p>
    <w:p w14:paraId="3D5FD056" w14:textId="056745F6" w:rsidR="003E40DD" w:rsidRDefault="00440800" w:rsidP="003E40DD">
      <w:pPr>
        <w:pStyle w:val="Bibliography"/>
      </w:pPr>
      <w:bookmarkStart w:id="19" w:name="ref-yarkoni2016BambiSimpleInterface"/>
      <w:r>
        <w:t>1</w:t>
      </w:r>
      <w:r w:rsidR="003E40DD">
        <w:t xml:space="preserve">. </w:t>
      </w:r>
      <w:r w:rsidR="003E40DD">
        <w:tab/>
      </w:r>
      <w:proofErr w:type="spellStart"/>
      <w:r w:rsidR="003E40DD">
        <w:t>Yarkoni</w:t>
      </w:r>
      <w:proofErr w:type="spellEnd"/>
      <w:r w:rsidR="003E40DD">
        <w:t>, T. &amp; Westfall, J. Bambi: A simple interface for fitting Bayesian mixed effects models. (2016) doi:</w:t>
      </w:r>
      <w:hyperlink r:id="rId19">
        <w:r w:rsidR="003E40DD">
          <w:rPr>
            <w:rStyle w:val="Hyperlink"/>
          </w:rPr>
          <w:t>10.31219/osf.io/rv7sn</w:t>
        </w:r>
      </w:hyperlink>
      <w:r w:rsidR="003E40DD">
        <w:t>.</w:t>
      </w:r>
    </w:p>
    <w:p w14:paraId="6BF8FC0A" w14:textId="338443F7" w:rsidR="003E40DD" w:rsidRDefault="00440800" w:rsidP="003E40DD">
      <w:pPr>
        <w:pStyle w:val="Bibliography"/>
      </w:pPr>
      <w:bookmarkStart w:id="20" w:name="X021d25f66a2d43c1524dc2aa5de5f875f12f5ea"/>
      <w:bookmarkEnd w:id="19"/>
      <w:r>
        <w:t>2</w:t>
      </w:r>
      <w:r w:rsidR="003E40DD">
        <w:t xml:space="preserve">. </w:t>
      </w:r>
      <w:r w:rsidR="003E40DD">
        <w:tab/>
        <w:t xml:space="preserve">Westfall, J. Statistical details of the default priors in the Bambi library. </w:t>
      </w:r>
      <w:r w:rsidR="003E40DD">
        <w:rPr>
          <w:i/>
          <w:iCs/>
        </w:rPr>
        <w:t>arXiv:1702.01201 [stat]</w:t>
      </w:r>
      <w:r w:rsidR="003E40DD">
        <w:t xml:space="preserve"> (2017).</w:t>
      </w:r>
    </w:p>
    <w:p w14:paraId="49EA0611" w14:textId="736D7CD3" w:rsidR="003E40DD" w:rsidRDefault="00440800" w:rsidP="003E40DD">
      <w:pPr>
        <w:pStyle w:val="Bibliography"/>
      </w:pPr>
      <w:bookmarkStart w:id="21" w:name="X11846a01745fb7112265878ac76e13488c2772d"/>
      <w:bookmarkEnd w:id="20"/>
      <w:r>
        <w:t>3</w:t>
      </w:r>
      <w:r w:rsidR="003E40DD">
        <w:t xml:space="preserve">. </w:t>
      </w:r>
      <w:r w:rsidR="003E40DD">
        <w:tab/>
      </w:r>
      <w:proofErr w:type="spellStart"/>
      <w:r w:rsidR="003E40DD">
        <w:t>Mullett</w:t>
      </w:r>
      <w:proofErr w:type="spellEnd"/>
      <w:r w:rsidR="003E40DD">
        <w:t xml:space="preserve">, T. L. &amp; Stewart, N. Implications of visual attention phenomena for models of preferential choice. </w:t>
      </w:r>
      <w:r w:rsidR="003E40DD">
        <w:rPr>
          <w:i/>
          <w:iCs/>
        </w:rPr>
        <w:t>Decision</w:t>
      </w:r>
      <w:r w:rsidR="003E40DD">
        <w:t xml:space="preserve"> </w:t>
      </w:r>
      <w:r w:rsidR="003E40DD">
        <w:rPr>
          <w:b/>
          <w:bCs/>
        </w:rPr>
        <w:t>3</w:t>
      </w:r>
      <w:r w:rsidR="003E40DD">
        <w:t>, 231 (2016).</w:t>
      </w:r>
    </w:p>
    <w:p w14:paraId="0D974483" w14:textId="2B8640A8" w:rsidR="003E40DD" w:rsidRDefault="00440800" w:rsidP="003E40DD">
      <w:pPr>
        <w:pStyle w:val="Bibliography"/>
      </w:pPr>
      <w:bookmarkStart w:id="22" w:name="ref-shimojo2003GazeBiasBoth"/>
      <w:bookmarkEnd w:id="21"/>
      <w:r>
        <w:t>4</w:t>
      </w:r>
      <w:r w:rsidR="003E40DD">
        <w:t xml:space="preserve">. </w:t>
      </w:r>
      <w:r w:rsidR="003E40DD">
        <w:tab/>
      </w:r>
      <w:proofErr w:type="spellStart"/>
      <w:r w:rsidR="003E40DD">
        <w:t>Shimojo</w:t>
      </w:r>
      <w:proofErr w:type="spellEnd"/>
      <w:r w:rsidR="003E40DD">
        <w:t xml:space="preserve">, S., </w:t>
      </w:r>
      <w:proofErr w:type="spellStart"/>
      <w:r w:rsidR="003E40DD">
        <w:t>Simion</w:t>
      </w:r>
      <w:proofErr w:type="spellEnd"/>
      <w:r w:rsidR="003E40DD">
        <w:t xml:space="preserve">, C., </w:t>
      </w:r>
      <w:proofErr w:type="spellStart"/>
      <w:r w:rsidR="003E40DD">
        <w:t>Shimojo</w:t>
      </w:r>
      <w:proofErr w:type="spellEnd"/>
      <w:r w:rsidR="003E40DD">
        <w:t xml:space="preserve">, E. &amp; </w:t>
      </w:r>
      <w:proofErr w:type="spellStart"/>
      <w:r w:rsidR="003E40DD">
        <w:t>Scheier</w:t>
      </w:r>
      <w:proofErr w:type="spellEnd"/>
      <w:r w:rsidR="003E40DD">
        <w:t xml:space="preserve">, C. Gaze bias both reflects and influences preference. </w:t>
      </w:r>
      <w:r w:rsidR="003E40DD">
        <w:rPr>
          <w:i/>
          <w:iCs/>
        </w:rPr>
        <w:t>Nature Neuroscience</w:t>
      </w:r>
      <w:r w:rsidR="003E40DD">
        <w:t xml:space="preserve"> </w:t>
      </w:r>
      <w:r w:rsidR="003E40DD">
        <w:rPr>
          <w:b/>
          <w:bCs/>
        </w:rPr>
        <w:t>6</w:t>
      </w:r>
      <w:r w:rsidR="003E40DD">
        <w:t>, 1317–1322 (2003).</w:t>
      </w:r>
    </w:p>
    <w:p w14:paraId="54BC35D9" w14:textId="44ABF7F7" w:rsidR="003E40DD" w:rsidRDefault="00440800" w:rsidP="003E40DD">
      <w:pPr>
        <w:pStyle w:val="Bibliography"/>
      </w:pPr>
      <w:bookmarkStart w:id="23" w:name="ref-payne1976TaskComplexityContingent"/>
      <w:bookmarkEnd w:id="22"/>
      <w:r>
        <w:t>5</w:t>
      </w:r>
      <w:r w:rsidR="003E40DD">
        <w:t xml:space="preserve">. </w:t>
      </w:r>
      <w:r w:rsidR="003E40DD">
        <w:tab/>
        <w:t xml:space="preserve">Payne, J. W. Task complexity and contingent processing in decision making: An information search and protocol analysis. </w:t>
      </w:r>
      <w:r w:rsidR="003E40DD">
        <w:rPr>
          <w:i/>
          <w:iCs/>
        </w:rPr>
        <w:t>Organizational Behavior and Human Performance</w:t>
      </w:r>
      <w:r w:rsidR="003E40DD">
        <w:t xml:space="preserve"> </w:t>
      </w:r>
      <w:r w:rsidR="003E40DD">
        <w:rPr>
          <w:b/>
          <w:bCs/>
        </w:rPr>
        <w:t>16</w:t>
      </w:r>
      <w:r w:rsidR="003E40DD">
        <w:t>, 366–387 (1976).</w:t>
      </w:r>
      <w:bookmarkEnd w:id="23"/>
    </w:p>
    <w:p w14:paraId="21C3BD64" w14:textId="06F05B08" w:rsidR="003E40DD" w:rsidRDefault="00440800" w:rsidP="003E40DD">
      <w:pPr>
        <w:pStyle w:val="Bibliography"/>
      </w:pPr>
      <w:bookmarkStart w:id="24" w:name="ref-tversky1992AdvancesProspectTheory"/>
      <w:r>
        <w:t>6</w:t>
      </w:r>
      <w:r w:rsidR="003E40DD">
        <w:t xml:space="preserve">. </w:t>
      </w:r>
      <w:r w:rsidR="003E40DD">
        <w:tab/>
        <w:t xml:space="preserve">Tversky, A. &amp; Kahneman, D. Advances in prospect theory: Cumulative representation of uncertainty. </w:t>
      </w:r>
      <w:r w:rsidR="003E40DD">
        <w:rPr>
          <w:i/>
          <w:iCs/>
        </w:rPr>
        <w:t>Journal of Risk and Uncertainty</w:t>
      </w:r>
      <w:r w:rsidR="003E40DD">
        <w:t xml:space="preserve"> </w:t>
      </w:r>
      <w:r w:rsidR="003E40DD">
        <w:rPr>
          <w:b/>
          <w:bCs/>
        </w:rPr>
        <w:t>5</w:t>
      </w:r>
      <w:r w:rsidR="003E40DD">
        <w:t>, 297–323 (1992).</w:t>
      </w:r>
    </w:p>
    <w:bookmarkEnd w:id="24"/>
    <w:p w14:paraId="17BF16C0" w14:textId="4AF71B3E" w:rsidR="006C3876" w:rsidRDefault="00440800">
      <w:pPr>
        <w:pStyle w:val="Bibliography"/>
      </w:pPr>
      <w:r>
        <w:t>7</w:t>
      </w:r>
      <w:r w:rsidR="00762BD9">
        <w:t xml:space="preserve">. </w:t>
      </w:r>
      <w:r w:rsidR="00762BD9">
        <w:tab/>
        <w:t xml:space="preserve">Glickman, M. </w:t>
      </w:r>
      <w:r w:rsidR="00762BD9">
        <w:rPr>
          <w:i/>
          <w:iCs/>
        </w:rPr>
        <w:t>et al.</w:t>
      </w:r>
      <w:r w:rsidR="00762BD9">
        <w:t xml:space="preserve"> The formation of preference in risky choice. </w:t>
      </w:r>
      <w:r w:rsidR="00762BD9">
        <w:rPr>
          <w:i/>
          <w:iCs/>
        </w:rPr>
        <w:t>PLOS Computational Biology</w:t>
      </w:r>
      <w:r w:rsidR="00762BD9">
        <w:t xml:space="preserve"> </w:t>
      </w:r>
      <w:r w:rsidR="00762BD9">
        <w:rPr>
          <w:b/>
          <w:bCs/>
        </w:rPr>
        <w:t>15</w:t>
      </w:r>
      <w:r w:rsidR="00762BD9">
        <w:t>, e1007201 (2019).</w:t>
      </w:r>
    </w:p>
    <w:p w14:paraId="5D454BC4" w14:textId="725C21D1" w:rsidR="003E40DD" w:rsidRDefault="00440800" w:rsidP="003E40DD">
      <w:pPr>
        <w:pStyle w:val="Bibliography"/>
      </w:pPr>
      <w:bookmarkStart w:id="25" w:name="X1cef0e47112b04f802b912bd1b3f68bf7797c58"/>
      <w:r>
        <w:t>8</w:t>
      </w:r>
      <w:r w:rsidR="003E40DD">
        <w:t xml:space="preserve">. </w:t>
      </w:r>
      <w:r w:rsidR="003E40DD">
        <w:tab/>
        <w:t xml:space="preserve">Rouault, M., Drugowitsch, J. &amp; Koechlin, E. Prefrontal mechanisms combining rewards and beliefs in human decision-making. </w:t>
      </w:r>
      <w:r w:rsidR="003E40DD">
        <w:rPr>
          <w:i/>
          <w:iCs/>
        </w:rPr>
        <w:t>Nature Communications</w:t>
      </w:r>
      <w:r w:rsidR="003E40DD">
        <w:t xml:space="preserve"> </w:t>
      </w:r>
      <w:r w:rsidR="003E40DD">
        <w:rPr>
          <w:b/>
          <w:bCs/>
        </w:rPr>
        <w:t>10</w:t>
      </w:r>
      <w:r w:rsidR="003E40DD">
        <w:t>, 1–16 (2019).</w:t>
      </w:r>
    </w:p>
    <w:p w14:paraId="51ABD744" w14:textId="11F960E2" w:rsidR="003E40DD" w:rsidRDefault="00440800" w:rsidP="003E40DD">
      <w:pPr>
        <w:pStyle w:val="Bibliography"/>
      </w:pPr>
      <w:bookmarkStart w:id="26" w:name="X8162711300f6ef6ae55fcdf0b5fda10d658f257"/>
      <w:bookmarkEnd w:id="25"/>
      <w:r>
        <w:t>9</w:t>
      </w:r>
      <w:r w:rsidR="003E40DD">
        <w:t xml:space="preserve">. </w:t>
      </w:r>
      <w:r w:rsidR="003E40DD">
        <w:tab/>
        <w:t xml:space="preserve">Bhatia, S. Associations and the accumulation of preference. </w:t>
      </w:r>
      <w:r w:rsidR="003E40DD">
        <w:rPr>
          <w:i/>
          <w:iCs/>
        </w:rPr>
        <w:t>Psychological Review</w:t>
      </w:r>
      <w:r w:rsidR="003E40DD">
        <w:t xml:space="preserve"> </w:t>
      </w:r>
      <w:r w:rsidR="003E40DD">
        <w:rPr>
          <w:b/>
          <w:bCs/>
        </w:rPr>
        <w:t>120</w:t>
      </w:r>
      <w:r w:rsidR="003E40DD">
        <w:t>, 522–543 (2013).</w:t>
      </w:r>
    </w:p>
    <w:p w14:paraId="188CC7C4" w14:textId="13625775" w:rsidR="003E40DD" w:rsidRDefault="00440800" w:rsidP="003E40DD">
      <w:pPr>
        <w:pStyle w:val="Bibliography"/>
      </w:pPr>
      <w:bookmarkStart w:id="27" w:name="ref-roe2001MultialternativeDecisionField"/>
      <w:bookmarkEnd w:id="26"/>
      <w:r>
        <w:lastRenderedPageBreak/>
        <w:t>10</w:t>
      </w:r>
      <w:r w:rsidR="003E40DD">
        <w:t xml:space="preserve">. </w:t>
      </w:r>
      <w:r w:rsidR="003E40DD">
        <w:tab/>
        <w:t xml:space="preserve">Roe, R. M., </w:t>
      </w:r>
      <w:proofErr w:type="spellStart"/>
      <w:r w:rsidR="003E40DD">
        <w:t>Busemeyer</w:t>
      </w:r>
      <w:proofErr w:type="spellEnd"/>
      <w:r w:rsidR="003E40DD">
        <w:t xml:space="preserve">, J. R. &amp; Townsend, J. T. </w:t>
      </w:r>
      <w:proofErr w:type="spellStart"/>
      <w:r w:rsidR="003E40DD">
        <w:t>Multialternative</w:t>
      </w:r>
      <w:proofErr w:type="spellEnd"/>
      <w:r w:rsidR="003E40DD">
        <w:t xml:space="preserve"> decision field theory: A dynamic </w:t>
      </w:r>
      <w:proofErr w:type="spellStart"/>
      <w:r w:rsidR="003E40DD">
        <w:t>connectionst</w:t>
      </w:r>
      <w:proofErr w:type="spellEnd"/>
      <w:r w:rsidR="003E40DD">
        <w:t xml:space="preserve"> model of decision making. </w:t>
      </w:r>
      <w:r w:rsidR="003E40DD">
        <w:rPr>
          <w:i/>
          <w:iCs/>
        </w:rPr>
        <w:t>Psychological Review</w:t>
      </w:r>
      <w:r w:rsidR="003E40DD">
        <w:t xml:space="preserve"> </w:t>
      </w:r>
      <w:r w:rsidR="003E40DD">
        <w:rPr>
          <w:b/>
          <w:bCs/>
        </w:rPr>
        <w:t>108</w:t>
      </w:r>
      <w:r w:rsidR="003E40DD">
        <w:t>, 370–392 (2001).</w:t>
      </w:r>
    </w:p>
    <w:p w14:paraId="7D5C9E89" w14:textId="7955CD04" w:rsidR="003E40DD" w:rsidRDefault="00440800" w:rsidP="003E40DD">
      <w:pPr>
        <w:pStyle w:val="Bibliography"/>
      </w:pPr>
      <w:bookmarkStart w:id="28" w:name="X61742e5e0de134cbc01f448923755e34097c740"/>
      <w:bookmarkEnd w:id="27"/>
      <w:r>
        <w:t>11</w:t>
      </w:r>
      <w:r w:rsidR="003E40DD">
        <w:t xml:space="preserve">. </w:t>
      </w:r>
      <w:r w:rsidR="003E40DD">
        <w:tab/>
        <w:t xml:space="preserve">Krajbich, I., Armel, C. &amp; Rangel, A. Visual fixations and the computation and comparison of value in simple choice. </w:t>
      </w:r>
      <w:r w:rsidR="003E40DD">
        <w:rPr>
          <w:i/>
          <w:iCs/>
        </w:rPr>
        <w:t>Nature Neuroscience</w:t>
      </w:r>
      <w:r w:rsidR="003E40DD">
        <w:t xml:space="preserve"> </w:t>
      </w:r>
      <w:r w:rsidR="003E40DD">
        <w:rPr>
          <w:b/>
          <w:bCs/>
        </w:rPr>
        <w:t>13</w:t>
      </w:r>
      <w:r w:rsidR="003E40DD">
        <w:t>, 1292–1298 (2010).</w:t>
      </w:r>
    </w:p>
    <w:p w14:paraId="545C435A" w14:textId="7A32E9D5" w:rsidR="003E40DD" w:rsidRDefault="00440800" w:rsidP="003E40DD">
      <w:pPr>
        <w:pStyle w:val="Bibliography"/>
      </w:pPr>
      <w:bookmarkStart w:id="29" w:name="Xce81486bbff120b8cc0ca85c7bf5d76903446e0"/>
      <w:bookmarkEnd w:id="28"/>
      <w:r>
        <w:t>12</w:t>
      </w:r>
      <w:r w:rsidR="003E40DD">
        <w:t xml:space="preserve">. </w:t>
      </w:r>
      <w:r w:rsidR="003E40DD">
        <w:tab/>
        <w:t xml:space="preserve">Krajbich, I., Lu, D., Camerer, C. &amp; Rangel, A. The attentional drift-diffusion model extends to simple purchasing decisions. </w:t>
      </w:r>
      <w:r w:rsidR="003E40DD">
        <w:rPr>
          <w:i/>
          <w:iCs/>
        </w:rPr>
        <w:t>Frontiers in Psychology</w:t>
      </w:r>
      <w:r w:rsidR="003E40DD">
        <w:t xml:space="preserve"> </w:t>
      </w:r>
      <w:r w:rsidR="003E40DD">
        <w:rPr>
          <w:b/>
          <w:bCs/>
        </w:rPr>
        <w:t>3</w:t>
      </w:r>
      <w:r w:rsidR="003E40DD">
        <w:t>, 193 (2012).</w:t>
      </w:r>
    </w:p>
    <w:p w14:paraId="424250CD" w14:textId="368F8211" w:rsidR="001705AD" w:rsidRDefault="00440800" w:rsidP="001705AD">
      <w:pPr>
        <w:pStyle w:val="Bibliography"/>
      </w:pPr>
      <w:bookmarkStart w:id="30" w:name="ref-fisher2017AttentionalDriftDiffusion"/>
      <w:bookmarkEnd w:id="29"/>
      <w:r>
        <w:t>13</w:t>
      </w:r>
      <w:r w:rsidR="001705AD">
        <w:t xml:space="preserve">. </w:t>
      </w:r>
      <w:r w:rsidR="001705AD">
        <w:tab/>
        <w:t xml:space="preserve">Fisher, G. An attentional drift diffusion model over binary-attribute choice. </w:t>
      </w:r>
      <w:r w:rsidR="001705AD">
        <w:rPr>
          <w:i/>
          <w:iCs/>
        </w:rPr>
        <w:t>Cognition</w:t>
      </w:r>
      <w:r w:rsidR="001705AD">
        <w:t xml:space="preserve"> </w:t>
      </w:r>
      <w:r w:rsidR="001705AD">
        <w:rPr>
          <w:b/>
          <w:bCs/>
        </w:rPr>
        <w:t>168</w:t>
      </w:r>
      <w:r w:rsidR="001705AD">
        <w:t>, 34–45 (2017).</w:t>
      </w:r>
    </w:p>
    <w:p w14:paraId="1962651E" w14:textId="3B688D46" w:rsidR="005948F1" w:rsidRDefault="00440800" w:rsidP="005948F1">
      <w:pPr>
        <w:pStyle w:val="Bibliography"/>
      </w:pPr>
      <w:bookmarkStart w:id="31" w:name="ref-usher2001TimeCoursePerceptual"/>
      <w:bookmarkEnd w:id="30"/>
      <w:r>
        <w:t>14</w:t>
      </w:r>
      <w:r w:rsidR="005948F1">
        <w:t xml:space="preserve">. </w:t>
      </w:r>
      <w:r w:rsidR="005948F1">
        <w:tab/>
        <w:t xml:space="preserve">Usher, M. &amp; McClelland, J. L. The time course of perceptual choice: The leaky, competing accumulator model. </w:t>
      </w:r>
      <w:r w:rsidR="005948F1">
        <w:rPr>
          <w:i/>
          <w:iCs/>
        </w:rPr>
        <w:t>Psychological Review</w:t>
      </w:r>
      <w:r w:rsidR="005948F1">
        <w:t xml:space="preserve"> </w:t>
      </w:r>
      <w:r w:rsidR="005948F1">
        <w:rPr>
          <w:b/>
          <w:bCs/>
        </w:rPr>
        <w:t>108</w:t>
      </w:r>
      <w:r w:rsidR="005948F1">
        <w:t>, 550–592 (2001).</w:t>
      </w:r>
    </w:p>
    <w:p w14:paraId="53B85D22" w14:textId="11468A3F" w:rsidR="000A7E0C" w:rsidRDefault="00440800" w:rsidP="000A7E0C">
      <w:pPr>
        <w:pStyle w:val="Bibliography"/>
      </w:pPr>
      <w:bookmarkStart w:id="32" w:name="ref-ashby2016FindingRightFit"/>
      <w:bookmarkEnd w:id="31"/>
      <w:r>
        <w:t>15</w:t>
      </w:r>
      <w:r w:rsidR="000A7E0C">
        <w:t xml:space="preserve">. </w:t>
      </w:r>
      <w:r w:rsidR="000A7E0C">
        <w:tab/>
        <w:t xml:space="preserve">Ashby, N. J. S., </w:t>
      </w:r>
      <w:proofErr w:type="spellStart"/>
      <w:r w:rsidR="000A7E0C">
        <w:t>Jekel</w:t>
      </w:r>
      <w:proofErr w:type="spellEnd"/>
      <w:r w:rsidR="000A7E0C">
        <w:t xml:space="preserve">, M., </w:t>
      </w:r>
      <w:proofErr w:type="spellStart"/>
      <w:r w:rsidR="000A7E0C">
        <w:t>Dickert</w:t>
      </w:r>
      <w:proofErr w:type="spellEnd"/>
      <w:r w:rsidR="000A7E0C">
        <w:t xml:space="preserve">, S. &amp; </w:t>
      </w:r>
      <w:proofErr w:type="spellStart"/>
      <w:r w:rsidR="000A7E0C">
        <w:t>Glöckner</w:t>
      </w:r>
      <w:proofErr w:type="spellEnd"/>
      <w:r w:rsidR="000A7E0C">
        <w:t xml:space="preserve">, A. Finding the right fit: A comparison of process assumptions underlying popular drift-diffusion models. </w:t>
      </w:r>
      <w:r w:rsidR="000A7E0C">
        <w:rPr>
          <w:i/>
          <w:iCs/>
        </w:rPr>
        <w:t>Journal of Experimental Psychology: Learning, Memory, and Cognition</w:t>
      </w:r>
      <w:r w:rsidR="000A7E0C">
        <w:t xml:space="preserve"> </w:t>
      </w:r>
      <w:r w:rsidR="000A7E0C">
        <w:rPr>
          <w:b/>
          <w:bCs/>
        </w:rPr>
        <w:t>42</w:t>
      </w:r>
      <w:r w:rsidR="000A7E0C">
        <w:t>, 1982–1993 (2016).</w:t>
      </w:r>
    </w:p>
    <w:p w14:paraId="64954F0C" w14:textId="67782E4F" w:rsidR="006C3876" w:rsidRDefault="00440800" w:rsidP="000A7E0C">
      <w:pPr>
        <w:pStyle w:val="Bibliography"/>
      </w:pPr>
      <w:bookmarkStart w:id="33" w:name="ref-usher2004LossAversionInhibition"/>
      <w:bookmarkEnd w:id="32"/>
      <w:r>
        <w:t>16</w:t>
      </w:r>
      <w:r w:rsidR="000A7E0C">
        <w:t xml:space="preserve">. </w:t>
      </w:r>
      <w:r w:rsidR="000A7E0C">
        <w:tab/>
        <w:t xml:space="preserve">Usher, M. &amp; McClelland, J. L. Loss Aversion and Inhibition in Dynamical Models of </w:t>
      </w:r>
      <w:proofErr w:type="spellStart"/>
      <w:r w:rsidR="000A7E0C">
        <w:t>Multialternative</w:t>
      </w:r>
      <w:proofErr w:type="spellEnd"/>
      <w:r w:rsidR="000A7E0C">
        <w:t xml:space="preserve"> Choice. </w:t>
      </w:r>
      <w:r w:rsidR="000A7E0C">
        <w:rPr>
          <w:i/>
          <w:iCs/>
        </w:rPr>
        <w:t>Psychological Review</w:t>
      </w:r>
      <w:r w:rsidR="000A7E0C">
        <w:t xml:space="preserve"> </w:t>
      </w:r>
      <w:r w:rsidR="000A7E0C">
        <w:rPr>
          <w:b/>
          <w:bCs/>
        </w:rPr>
        <w:t>111</w:t>
      </w:r>
      <w:r w:rsidR="000A7E0C">
        <w:t>, 757–769 (2004).</w:t>
      </w:r>
      <w:bookmarkStart w:id="34" w:name="ref-pythonternary"/>
      <w:bookmarkEnd w:id="0"/>
      <w:bookmarkEnd w:id="17"/>
      <w:bookmarkEnd w:id="18"/>
      <w:bookmarkEnd w:id="33"/>
      <w:bookmarkEnd w:id="34"/>
    </w:p>
    <w:sectPr w:rsidR="006C3876" w:rsidSect="00762BD9">
      <w:pgSz w:w="12240" w:h="15840"/>
      <w:pgMar w:top="1417" w:right="1417" w:bottom="1134"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E19CE" w14:textId="77777777" w:rsidR="00794D63" w:rsidRDefault="00794D63">
      <w:pPr>
        <w:spacing w:before="0" w:after="0" w:line="240" w:lineRule="auto"/>
      </w:pPr>
      <w:r>
        <w:separator/>
      </w:r>
    </w:p>
  </w:endnote>
  <w:endnote w:type="continuationSeparator" w:id="0">
    <w:p w14:paraId="36253794" w14:textId="77777777" w:rsidR="00794D63" w:rsidRDefault="00794D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4517798"/>
      <w:docPartObj>
        <w:docPartGallery w:val="Page Numbers (Bottom of Page)"/>
        <w:docPartUnique/>
      </w:docPartObj>
    </w:sdtPr>
    <w:sdtEndPr>
      <w:rPr>
        <w:rStyle w:val="PageNumber"/>
      </w:rPr>
    </w:sdtEndPr>
    <w:sdtContent>
      <w:p w14:paraId="0F093175" w14:textId="77777777" w:rsidR="00762BD9" w:rsidRDefault="00762BD9" w:rsidP="00762B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BB1664" w14:textId="77777777" w:rsidR="00762BD9" w:rsidRDefault="00762BD9" w:rsidP="00762B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359651"/>
      <w:docPartObj>
        <w:docPartGallery w:val="Page Numbers (Bottom of Page)"/>
        <w:docPartUnique/>
      </w:docPartObj>
    </w:sdtPr>
    <w:sdtEndPr>
      <w:rPr>
        <w:rStyle w:val="PageNumber"/>
      </w:rPr>
    </w:sdtEndPr>
    <w:sdtContent>
      <w:p w14:paraId="11D0F374" w14:textId="77777777" w:rsidR="00762BD9" w:rsidRDefault="00762BD9" w:rsidP="00762B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1874AC" w14:textId="77777777" w:rsidR="00762BD9" w:rsidRDefault="00762BD9" w:rsidP="00762B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DC82C" w14:textId="77777777" w:rsidR="00794D63" w:rsidRDefault="00794D63">
      <w:r>
        <w:separator/>
      </w:r>
    </w:p>
  </w:footnote>
  <w:footnote w:type="continuationSeparator" w:id="0">
    <w:p w14:paraId="5FD33992" w14:textId="77777777" w:rsidR="00794D63" w:rsidRDefault="00794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14:paraId="24062F85" w14:textId="77777777" w:rsidR="00762BD9" w:rsidRDefault="00762BD9" w:rsidP="00762B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59D3AA" w14:textId="77777777" w:rsidR="00762BD9" w:rsidRDefault="00762BD9" w:rsidP="00762B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4CA37" w14:textId="77777777" w:rsidR="00762BD9" w:rsidRPr="00A05772" w:rsidRDefault="00762BD9" w:rsidP="00762BD9">
    <w:pPr>
      <w:pStyle w:val="Header"/>
      <w:ind w:right="3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2B1D5" w14:textId="77777777" w:rsidR="00762BD9" w:rsidRPr="00A05772" w:rsidRDefault="00762BD9" w:rsidP="00762BD9">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28634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58E0C8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8AE492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3905C6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4D8874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B3C6CE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ED8F4C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F02516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B80308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3527D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4E7"/>
    <w:rsid w:val="00011C8B"/>
    <w:rsid w:val="0002092C"/>
    <w:rsid w:val="0003434E"/>
    <w:rsid w:val="0004577E"/>
    <w:rsid w:val="00046D06"/>
    <w:rsid w:val="0008465E"/>
    <w:rsid w:val="000926BC"/>
    <w:rsid w:val="000A7E0C"/>
    <w:rsid w:val="000B43A0"/>
    <w:rsid w:val="0010660B"/>
    <w:rsid w:val="00163A17"/>
    <w:rsid w:val="001705AD"/>
    <w:rsid w:val="00194B81"/>
    <w:rsid w:val="001A1E6F"/>
    <w:rsid w:val="001D4EB6"/>
    <w:rsid w:val="001F724B"/>
    <w:rsid w:val="00243C7E"/>
    <w:rsid w:val="002536DE"/>
    <w:rsid w:val="002618BD"/>
    <w:rsid w:val="00273D59"/>
    <w:rsid w:val="00283EA1"/>
    <w:rsid w:val="002A76D7"/>
    <w:rsid w:val="002B39A8"/>
    <w:rsid w:val="002C22B4"/>
    <w:rsid w:val="002F1743"/>
    <w:rsid w:val="003024F6"/>
    <w:rsid w:val="00315CFC"/>
    <w:rsid w:val="00331E57"/>
    <w:rsid w:val="00332B2A"/>
    <w:rsid w:val="00353556"/>
    <w:rsid w:val="00371750"/>
    <w:rsid w:val="00373564"/>
    <w:rsid w:val="00376136"/>
    <w:rsid w:val="00396120"/>
    <w:rsid w:val="003A27CD"/>
    <w:rsid w:val="003D49E9"/>
    <w:rsid w:val="003E40DD"/>
    <w:rsid w:val="003E50EC"/>
    <w:rsid w:val="00401A9D"/>
    <w:rsid w:val="00401F18"/>
    <w:rsid w:val="00423699"/>
    <w:rsid w:val="004249E9"/>
    <w:rsid w:val="00440800"/>
    <w:rsid w:val="00476723"/>
    <w:rsid w:val="0049019E"/>
    <w:rsid w:val="004C2369"/>
    <w:rsid w:val="004C6560"/>
    <w:rsid w:val="004E29B3"/>
    <w:rsid w:val="004F697E"/>
    <w:rsid w:val="00500756"/>
    <w:rsid w:val="00502ABF"/>
    <w:rsid w:val="005302E5"/>
    <w:rsid w:val="00536EC0"/>
    <w:rsid w:val="005377AF"/>
    <w:rsid w:val="0059081F"/>
    <w:rsid w:val="00590D07"/>
    <w:rsid w:val="005948F1"/>
    <w:rsid w:val="005A198E"/>
    <w:rsid w:val="005B4DE6"/>
    <w:rsid w:val="005D63F8"/>
    <w:rsid w:val="005E0F24"/>
    <w:rsid w:val="005E15CE"/>
    <w:rsid w:val="005E6D27"/>
    <w:rsid w:val="0060458C"/>
    <w:rsid w:val="0060547B"/>
    <w:rsid w:val="006201FB"/>
    <w:rsid w:val="00621563"/>
    <w:rsid w:val="00622F10"/>
    <w:rsid w:val="00647A16"/>
    <w:rsid w:val="00662A06"/>
    <w:rsid w:val="006737DD"/>
    <w:rsid w:val="006B5351"/>
    <w:rsid w:val="006C3876"/>
    <w:rsid w:val="006F48B0"/>
    <w:rsid w:val="00701649"/>
    <w:rsid w:val="00705C63"/>
    <w:rsid w:val="00710074"/>
    <w:rsid w:val="007362E7"/>
    <w:rsid w:val="007561A2"/>
    <w:rsid w:val="00756F68"/>
    <w:rsid w:val="00762BD9"/>
    <w:rsid w:val="00784D58"/>
    <w:rsid w:val="00786A17"/>
    <w:rsid w:val="0079494D"/>
    <w:rsid w:val="00794D63"/>
    <w:rsid w:val="00836886"/>
    <w:rsid w:val="00852A87"/>
    <w:rsid w:val="008751E1"/>
    <w:rsid w:val="00893C81"/>
    <w:rsid w:val="008D6863"/>
    <w:rsid w:val="009027FD"/>
    <w:rsid w:val="00934AE9"/>
    <w:rsid w:val="0094081F"/>
    <w:rsid w:val="0097333F"/>
    <w:rsid w:val="00973E82"/>
    <w:rsid w:val="009974C1"/>
    <w:rsid w:val="009A4C6E"/>
    <w:rsid w:val="009F3809"/>
    <w:rsid w:val="00A043B2"/>
    <w:rsid w:val="00A32B37"/>
    <w:rsid w:val="00A75861"/>
    <w:rsid w:val="00A8566D"/>
    <w:rsid w:val="00AA7897"/>
    <w:rsid w:val="00B055AF"/>
    <w:rsid w:val="00B05C63"/>
    <w:rsid w:val="00B16C61"/>
    <w:rsid w:val="00B24A1D"/>
    <w:rsid w:val="00B3624F"/>
    <w:rsid w:val="00B41E74"/>
    <w:rsid w:val="00B82E83"/>
    <w:rsid w:val="00B86B75"/>
    <w:rsid w:val="00B9116C"/>
    <w:rsid w:val="00BA24BD"/>
    <w:rsid w:val="00BB1510"/>
    <w:rsid w:val="00BC2EB8"/>
    <w:rsid w:val="00BC48D5"/>
    <w:rsid w:val="00BC674E"/>
    <w:rsid w:val="00BE3536"/>
    <w:rsid w:val="00BE67CF"/>
    <w:rsid w:val="00BF5392"/>
    <w:rsid w:val="00C36279"/>
    <w:rsid w:val="00C4183E"/>
    <w:rsid w:val="00C66902"/>
    <w:rsid w:val="00C742CF"/>
    <w:rsid w:val="00C85ED7"/>
    <w:rsid w:val="00CA66D1"/>
    <w:rsid w:val="00CA6DA3"/>
    <w:rsid w:val="00CD1557"/>
    <w:rsid w:val="00CF7CEE"/>
    <w:rsid w:val="00D311CA"/>
    <w:rsid w:val="00D51C62"/>
    <w:rsid w:val="00D61DEE"/>
    <w:rsid w:val="00DA7EF1"/>
    <w:rsid w:val="00DB3BAF"/>
    <w:rsid w:val="00DD6146"/>
    <w:rsid w:val="00E11409"/>
    <w:rsid w:val="00E12A52"/>
    <w:rsid w:val="00E26A95"/>
    <w:rsid w:val="00E315A3"/>
    <w:rsid w:val="00E350B4"/>
    <w:rsid w:val="00E46C7B"/>
    <w:rsid w:val="00E91AC5"/>
    <w:rsid w:val="00E95AF6"/>
    <w:rsid w:val="00EC0C36"/>
    <w:rsid w:val="00EC6CD5"/>
    <w:rsid w:val="00EF1C65"/>
    <w:rsid w:val="00F05455"/>
    <w:rsid w:val="00F0645D"/>
    <w:rsid w:val="00F35AA4"/>
    <w:rsid w:val="00F42627"/>
    <w:rsid w:val="00F54070"/>
    <w:rsid w:val="00F77E75"/>
    <w:rsid w:val="00F90C35"/>
    <w:rsid w:val="00FB154C"/>
    <w:rsid w:val="00FB547B"/>
    <w:rsid w:val="00FD1F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05AA"/>
  <w15:docId w15:val="{69B9030E-9B41-6644-B86A-AE24CA7C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06B95"/>
    <w:pPr>
      <w:keepNext/>
      <w:spacing w:line="360" w:lineRule="auto"/>
    </w:pPr>
    <w:rPr>
      <w:i w:val="0"/>
    </w:rPr>
  </w:style>
  <w:style w:type="paragraph" w:customStyle="1" w:styleId="ImageCaption">
    <w:name w:val="Image Caption"/>
    <w:basedOn w:val="Caption"/>
    <w:rsid w:val="00077B98"/>
    <w:pPr>
      <w:spacing w:line="360" w:lineRule="auto"/>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0A31F1"/>
  </w:style>
  <w:style w:type="character" w:styleId="UnresolvedMention">
    <w:name w:val="Unresolved Mention"/>
    <w:basedOn w:val="DefaultParagraphFont"/>
    <w:uiPriority w:val="99"/>
    <w:semiHidden/>
    <w:unhideWhenUsed/>
    <w:rsid w:val="00762BD9"/>
    <w:rPr>
      <w:color w:val="605E5C"/>
      <w:shd w:val="clear" w:color="auto" w:fill="E1DFDD"/>
    </w:rPr>
  </w:style>
  <w:style w:type="character" w:styleId="FollowedHyperlink">
    <w:name w:val="FollowedHyperlink"/>
    <w:basedOn w:val="DefaultParagraphFont"/>
    <w:semiHidden/>
    <w:unhideWhenUsed/>
    <w:rsid w:val="005377AF"/>
    <w:rPr>
      <w:color w:val="800080" w:themeColor="followedHyperlink"/>
      <w:u w:val="single"/>
    </w:rPr>
  </w:style>
  <w:style w:type="paragraph" w:styleId="BalloonText">
    <w:name w:val="Balloon Text"/>
    <w:basedOn w:val="Normal"/>
    <w:link w:val="BalloonTextChar"/>
    <w:semiHidden/>
    <w:unhideWhenUsed/>
    <w:rsid w:val="0004577E"/>
    <w:pPr>
      <w:spacing w:before="0" w:after="0" w:line="240" w:lineRule="auto"/>
    </w:pPr>
    <w:rPr>
      <w:rFonts w:cs="Times New Roman"/>
      <w:sz w:val="18"/>
      <w:szCs w:val="18"/>
    </w:rPr>
  </w:style>
  <w:style w:type="character" w:customStyle="1" w:styleId="BalloonTextChar">
    <w:name w:val="Balloon Text Char"/>
    <w:basedOn w:val="DefaultParagraphFont"/>
    <w:link w:val="BalloonText"/>
    <w:semiHidden/>
    <w:rsid w:val="000457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83099">
      <w:bodyDiv w:val="1"/>
      <w:marLeft w:val="0"/>
      <w:marRight w:val="0"/>
      <w:marTop w:val="0"/>
      <w:marBottom w:val="0"/>
      <w:divBdr>
        <w:top w:val="none" w:sz="0" w:space="0" w:color="auto"/>
        <w:left w:val="none" w:sz="0" w:space="0" w:color="auto"/>
        <w:bottom w:val="none" w:sz="0" w:space="0" w:color="auto"/>
        <w:right w:val="none" w:sz="0" w:space="0" w:color="auto"/>
      </w:divBdr>
      <w:divsChild>
        <w:div w:id="237131612">
          <w:marLeft w:val="0"/>
          <w:marRight w:val="0"/>
          <w:marTop w:val="0"/>
          <w:marBottom w:val="0"/>
          <w:divBdr>
            <w:top w:val="none" w:sz="0" w:space="0" w:color="auto"/>
            <w:left w:val="none" w:sz="0" w:space="0" w:color="auto"/>
            <w:bottom w:val="none" w:sz="0" w:space="0" w:color="auto"/>
            <w:right w:val="none" w:sz="0" w:space="0" w:color="auto"/>
          </w:divBdr>
          <w:divsChild>
            <w:div w:id="12674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hyperlink" Target="https://doi.org/10.31219/osf.io/rv7sn"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2671</Words>
  <Characters>15225</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Gaze-dependent evidence accumulation predicts multi-alternative risky choice behaviour</vt:lpstr>
      <vt:lpstr>TITLE</vt:lpstr>
    </vt:vector>
  </TitlesOfParts>
  <Manager/>
  <Company/>
  <LinksUpToDate>false</LinksUpToDate>
  <CharactersWithSpaces>17861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Gaze-dependent evidence accumulation predicts multi-alternative risky choice behaviour</dc:title>
  <dc:creator>Felix Molter; Armin W. Thomas; Scott A. Huettel; Hauke R. Heekeren; Peter N. C. Mohr</dc:creator>
  <cp:keywords/>
  <cp:lastModifiedBy>Felix Molter</cp:lastModifiedBy>
  <cp:revision>59</cp:revision>
  <dcterms:created xsi:type="dcterms:W3CDTF">2021-02-12T19:55:00Z</dcterms:created>
  <dcterms:modified xsi:type="dcterms:W3CDTF">2021-02-13T11:10:00Z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nature.csl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True</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otes-after-punctuation">
    <vt:lpwstr>False</vt:lpwstr>
  </property>
  <property fmtid="{D5CDD505-2E9C-101B-9397-08002B2CF9AE}" pid="38" name="numberSections">
    <vt:lpwstr>False</vt:lpwstr>
  </property>
  <property fmtid="{D5CDD505-2E9C-101B-9397-08002B2CF9AE}" pid="39" name="pairDelim">
    <vt:lpwstr>, </vt:lpwstr>
  </property>
  <property fmtid="{D5CDD505-2E9C-101B-9397-08002B2CF9AE}" pid="40" name="rangeDelim">
    <vt:lpwstr>-</vt:lpwstr>
  </property>
  <property fmtid="{D5CDD505-2E9C-101B-9397-08002B2CF9AE}" pid="41" name="refDelim">
    <vt:lpwstr>, </vt:lpwstr>
  </property>
  <property fmtid="{D5CDD505-2E9C-101B-9397-08002B2CF9AE}" pid="42" name="refIndexTemplate">
    <vt:lpwstr>isuf</vt:lpwstr>
  </property>
  <property fmtid="{D5CDD505-2E9C-101B-9397-08002B2CF9AE}" pid="43" name="secHeaderDelim">
    <vt:lpwstr> </vt:lpwstr>
  </property>
  <property fmtid="{D5CDD505-2E9C-101B-9397-08002B2CF9AE}" pid="44" name="secHeaderTemplate">
    <vt:lpwstr>isecHeaderDelim[n]t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
  </property>
  <property fmtid="{D5CDD505-2E9C-101B-9397-08002B2CF9AE}" pid="59" name="tblPrefixTemplate">
    <vt:lpwstr>p i</vt:lpwstr>
  </property>
  <property fmtid="{D5CDD505-2E9C-101B-9397-08002B2CF9AE}" pid="60" name="titleDelim">
    <vt:lpwstr>:</vt:lpwstr>
  </property>
</Properties>
</file>