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E5D" w:rsidRDefault="005B035C">
      <w:r>
        <w:t xml:space="preserve">Plan séance « effondrement de la biodiversité – </w:t>
      </w:r>
      <w:proofErr w:type="spellStart"/>
      <w:r>
        <w:t>Polytech</w:t>
      </w:r>
      <w:proofErr w:type="spellEnd"/>
      <w:r>
        <w:t> »</w:t>
      </w:r>
    </w:p>
    <w:p w:rsidR="005B035C" w:rsidRDefault="005B035C"/>
    <w:p w:rsidR="005B035C" w:rsidRDefault="005B035C">
      <w:r>
        <w:t>1. Valeurs de la biodiversité (10’)</w:t>
      </w:r>
    </w:p>
    <w:p w:rsidR="005B035C" w:rsidRDefault="005B035C" w:rsidP="005B035C">
      <w:pPr>
        <w:pStyle w:val="Paragraphedeliste"/>
        <w:numPr>
          <w:ilvl w:val="0"/>
          <w:numId w:val="2"/>
        </w:numPr>
      </w:pPr>
      <w:r>
        <w:t>Instrumentale/intrinsèque</w:t>
      </w:r>
    </w:p>
    <w:p w:rsidR="005B035C" w:rsidRDefault="005B035C" w:rsidP="005B035C">
      <w:pPr>
        <w:pStyle w:val="Paragraphedeliste"/>
        <w:numPr>
          <w:ilvl w:val="0"/>
          <w:numId w:val="2"/>
        </w:numPr>
      </w:pPr>
      <w:r>
        <w:t>Usage/non-usage</w:t>
      </w:r>
    </w:p>
    <w:p w:rsidR="005B035C" w:rsidRDefault="005B035C" w:rsidP="005B035C">
      <w:pPr>
        <w:pStyle w:val="Paragraphedeliste"/>
        <w:numPr>
          <w:ilvl w:val="0"/>
          <w:numId w:val="2"/>
        </w:numPr>
      </w:pPr>
      <w:r>
        <w:t>Notion de services</w:t>
      </w:r>
    </w:p>
    <w:p w:rsidR="005B035C" w:rsidRDefault="005B035C" w:rsidP="005B035C"/>
    <w:p w:rsidR="005B035C" w:rsidRDefault="005B035C">
      <w:r>
        <w:t>2. Mesures de biodiversité (10’)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 xml:space="preserve">Richesse, abondance/biomasse, </w:t>
      </w:r>
      <w:proofErr w:type="spellStart"/>
      <w:r>
        <w:t>evenness</w:t>
      </w:r>
      <w:proofErr w:type="spellEnd"/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>Méthodes d’estimation et biais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 xml:space="preserve">indicateurs de biodiversité (LPI, </w:t>
      </w:r>
      <w:proofErr w:type="spellStart"/>
      <w:r>
        <w:t>etc</w:t>
      </w:r>
      <w:proofErr w:type="spellEnd"/>
      <w:r>
        <w:t>) : construction</w:t>
      </w:r>
    </w:p>
    <w:p w:rsidR="005B035C" w:rsidRDefault="005B035C" w:rsidP="005B035C"/>
    <w:p w:rsidR="005B035C" w:rsidRDefault="005B035C" w:rsidP="005B035C">
      <w:r>
        <w:t xml:space="preserve">3. </w:t>
      </w:r>
      <w:r>
        <w:t>Instances scientifiques/politiques </w:t>
      </w:r>
      <w:r>
        <w:t>(10’)</w:t>
      </w:r>
      <w:r>
        <w:t>: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>IPBES : composition, historique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 xml:space="preserve">UICN : </w:t>
      </w:r>
      <w:proofErr w:type="spellStart"/>
      <w:r>
        <w:t>méthodo</w:t>
      </w:r>
      <w:proofErr w:type="spellEnd"/>
      <w:r>
        <w:t>, critères, biais taxonomiques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>France : CSRPN, CNPN</w:t>
      </w:r>
      <w:r>
        <w:t>, CNCFS</w:t>
      </w:r>
    </w:p>
    <w:p w:rsidR="005B035C" w:rsidRDefault="005B035C" w:rsidP="005B035C"/>
    <w:p w:rsidR="005B035C" w:rsidRDefault="005B035C" w:rsidP="005B035C">
      <w:r>
        <w:t>4</w:t>
      </w:r>
      <w:r>
        <w:t xml:space="preserve">. Lois/accords (15’) 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 xml:space="preserve">France : protection espaces (PN, PNR, ZNIEFF, N2000, ZPO)/espèces (biais </w:t>
      </w:r>
      <w:proofErr w:type="spellStart"/>
      <w:r>
        <w:t>taxos</w:t>
      </w:r>
      <w:proofErr w:type="spellEnd"/>
      <w:r>
        <w:t xml:space="preserve"> IUCN + historique nuisibles/gibiers); loi 1976 + loi reconquête 2016 ; régimes dérogatoires ; exemple GCO Strasbourg vs Grand Hamster 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>International : CDB Rio 1992</w:t>
      </w:r>
      <w:r>
        <w:t xml:space="preserve"> et suites</w:t>
      </w:r>
    </w:p>
    <w:p w:rsidR="005B035C" w:rsidRDefault="005B035C" w:rsidP="005B035C"/>
    <w:p w:rsidR="005B035C" w:rsidRDefault="005B035C" w:rsidP="005B035C">
      <w:r>
        <w:t>5. Tendances en fonction des différents indicateurs + différents groupes (20’)</w:t>
      </w:r>
    </w:p>
    <w:p w:rsidR="005B035C" w:rsidRDefault="00780FCD" w:rsidP="005B035C">
      <w:r>
        <w:t xml:space="preserve">- </w:t>
      </w:r>
      <w:bookmarkStart w:id="0" w:name="_GoBack"/>
      <w:bookmarkEnd w:id="0"/>
      <w:r w:rsidR="005B035C">
        <w:t>Focus sur « </w:t>
      </w:r>
      <w:proofErr w:type="spellStart"/>
      <w:r w:rsidR="005B035C">
        <w:t>insect</w:t>
      </w:r>
      <w:proofErr w:type="spellEnd"/>
      <w:r w:rsidR="005B035C">
        <w:t xml:space="preserve"> </w:t>
      </w:r>
      <w:proofErr w:type="spellStart"/>
      <w:r w:rsidR="005B035C">
        <w:t>armageddon</w:t>
      </w:r>
      <w:proofErr w:type="spellEnd"/>
      <w:r w:rsidR="005B035C">
        <w:t> » </w:t>
      </w:r>
    </w:p>
    <w:p w:rsidR="005B035C" w:rsidRDefault="005B035C" w:rsidP="005B035C"/>
    <w:p w:rsidR="005B035C" w:rsidRDefault="005B035C" w:rsidP="005B035C">
      <w:r>
        <w:t>6. Causes de déclin et tendances (20’)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>perte d’habitat, dégradation, artificialisation. Rôle de l’agriculture intensive. B</w:t>
      </w:r>
      <w:r>
        <w:t>oucle sur services contrôle bio/pesticides</w:t>
      </w:r>
      <w:r>
        <w:t>.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proofErr w:type="spellStart"/>
      <w:r>
        <w:t>Sur-exploitation</w:t>
      </w:r>
      <w:proofErr w:type="spellEnd"/>
      <w:r>
        <w:t>. Focus espèces marines et pêche.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>Changements climatiques et événements extrêmes</w:t>
      </w:r>
    </w:p>
    <w:p w:rsidR="005B035C" w:rsidRDefault="005B035C" w:rsidP="005B035C"/>
    <w:p w:rsidR="005B035C" w:rsidRDefault="005B035C" w:rsidP="005B035C">
      <w:r>
        <w:t>7. 6</w:t>
      </w:r>
      <w:r w:rsidRPr="005B035C">
        <w:rPr>
          <w:vertAlign w:val="superscript"/>
        </w:rPr>
        <w:t>e</w:t>
      </w:r>
      <w:r>
        <w:t xml:space="preserve"> extinction de masse (10’)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>Définitions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>Données</w:t>
      </w:r>
    </w:p>
    <w:p w:rsidR="005B035C" w:rsidRDefault="005B035C" w:rsidP="005B035C"/>
    <w:p w:rsidR="005B035C" w:rsidRDefault="005B035C" w:rsidP="005B035C">
      <w:r>
        <w:t>8. Perspectives (5’) :</w:t>
      </w:r>
    </w:p>
    <w:p w:rsidR="005B035C" w:rsidRDefault="005B035C" w:rsidP="005B035C">
      <w:pPr>
        <w:pStyle w:val="Paragraphedeliste"/>
        <w:numPr>
          <w:ilvl w:val="0"/>
          <w:numId w:val="1"/>
        </w:numPr>
      </w:pPr>
      <w:r>
        <w:t>Aspects politiques + sociologiques ; verrous ; leviers</w:t>
      </w:r>
    </w:p>
    <w:p w:rsidR="005B035C" w:rsidRDefault="005B035C"/>
    <w:p w:rsidR="005B035C" w:rsidRDefault="005B035C">
      <w:r>
        <w:t>9. Temps de discussion (15’)</w:t>
      </w:r>
    </w:p>
    <w:sectPr w:rsidR="005B035C" w:rsidSect="00F213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41486"/>
    <w:multiLevelType w:val="hybridMultilevel"/>
    <w:tmpl w:val="8C562E7E"/>
    <w:lvl w:ilvl="0" w:tplc="8D103E3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122EE"/>
    <w:multiLevelType w:val="hybridMultilevel"/>
    <w:tmpl w:val="97B2F440"/>
    <w:lvl w:ilvl="0" w:tplc="9F446B7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5C"/>
    <w:rsid w:val="002C7788"/>
    <w:rsid w:val="00410910"/>
    <w:rsid w:val="004626D7"/>
    <w:rsid w:val="00557EA5"/>
    <w:rsid w:val="005B035C"/>
    <w:rsid w:val="005D043F"/>
    <w:rsid w:val="005D0EB5"/>
    <w:rsid w:val="00692EB8"/>
    <w:rsid w:val="006C59C9"/>
    <w:rsid w:val="007064EE"/>
    <w:rsid w:val="00780FCD"/>
    <w:rsid w:val="007C0600"/>
    <w:rsid w:val="008306AA"/>
    <w:rsid w:val="009A3708"/>
    <w:rsid w:val="00B53291"/>
    <w:rsid w:val="00BB457D"/>
    <w:rsid w:val="00D35680"/>
    <w:rsid w:val="00DB0A13"/>
    <w:rsid w:val="00E0293A"/>
    <w:rsid w:val="00E84AA3"/>
    <w:rsid w:val="00EA1B93"/>
    <w:rsid w:val="00F2131C"/>
    <w:rsid w:val="00F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9584DEB"/>
  <w15:chartTrackingRefBased/>
  <w15:docId w15:val="{518F8173-3802-8948-B073-DB265E96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</cp:revision>
  <dcterms:created xsi:type="dcterms:W3CDTF">2022-02-04T07:26:00Z</dcterms:created>
  <dcterms:modified xsi:type="dcterms:W3CDTF">2022-02-04T07:56:00Z</dcterms:modified>
</cp:coreProperties>
</file>