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200" w:before="0"/>
        <w:jc w:val="center"/>
      </w:pPr>
      <w:r>
        <w:rPr>
          <w:rFonts w:ascii="Arial" w:cs="Arial" w:eastAsia="Arial" w:hAnsi="Arial"/>
          <w:b/>
          <w:bCs/>
          <w:color w:val="1B3A6B"/>
          <w:sz w:val="52"/>
          <w:szCs w:val="52"/>
        </w:rPr>
        <w:t xml:space="preserve">🦁  ZOO SAFARI S.A.S.</w:t>
      </w:r>
    </w:p>
    <w:p>
      <w:pPr>
        <w:pBdr>
          <w:bottom w:val="single" w:color="F5A623" w:sz="12" w:space="6"/>
        </w:pBdr>
        <w:spacing w:after="120" w:before="0"/>
        <w:jc w:val="center"/>
      </w:pPr>
      <w:r>
        <w:rPr>
          <w:rFonts w:ascii="Arial" w:cs="Arial" w:eastAsia="Arial" w:hAnsi="Arial"/>
          <w:i/>
          <w:iCs/>
          <w:color w:val="2E5FA3"/>
          <w:sz w:val="36"/>
          <w:szCs w:val="36"/>
        </w:rPr>
        <w:t xml:space="preserve">Gestión Integral del Safari</w:t>
      </w:r>
    </w:p>
    <w:p>
      <w:pPr>
        <w:spacing w:after="0" w:before="400"/>
      </w:pPr>
      <w:r>
        <w:t xml:space="preserve"/>
      </w:r>
    </w:p>
    <w:p>
      <w:pPr>
        <w:spacing w:after="80" w:before="0"/>
        <w:jc w:val="center"/>
      </w:pPr>
      <w:r>
        <w:rPr>
          <w:rFonts w:ascii="Arial" w:cs="Arial" w:eastAsia="Arial" w:hAnsi="Arial"/>
          <w:b/>
          <w:bCs/>
          <w:color w:val="4A4A4A"/>
          <w:sz w:val="28"/>
          <w:szCs w:val="28"/>
        </w:rPr>
        <w:t xml:space="preserve">INFORME DE PROYECTO FINAL</w:t>
      </w:r>
    </w:p>
    <w:p>
      <w:pPr>
        <w:spacing w:after="80" w:before="0"/>
        <w:jc w:val="center"/>
      </w:pPr>
      <w:r>
        <w:rPr>
          <w:rFonts w:ascii="Arial" w:cs="Arial" w:eastAsia="Arial" w:hAnsi="Arial"/>
          <w:color w:val="4A4A4A"/>
          <w:sz w:val="24"/>
          <w:szCs w:val="24"/>
        </w:rPr>
        <w:t xml:space="preserve">Bases de Datos Avanzadas  ·  Junio 2025</w:t>
      </w:r>
    </w:p>
    <w:p>
      <w:pPr>
        <w:spacing w:after="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Integrante</w:t>
            </w:r>
          </w:p>
        </w:tc>
        <w:tc>
          <w:tcPr>
            <w:tcW w:type="dxa" w:w="30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David Pacanchique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Arquitecto de Datos</w:t>
            </w:r>
          </w:p>
        </w:tc>
      </w:tr>
      <w:tr>
        <w:tc>
          <w:tcPr>
            <w:tcW w:type="dxa" w:w="3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Alan Melo Giraldo</w:t>
            </w:r>
          </w:p>
        </w:tc>
        <w:tc>
          <w:tcPr>
            <w:tcW w:type="dxa" w:w="3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Desarrollador PL/SQL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Darian Molina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Líder de QA</w:t>
            </w:r>
          </w:p>
        </w:tc>
      </w:tr>
    </w:tbl>
    <w:p>
      <w:pPr>
        <w:spacing w:after="0" w:before="2400"/>
      </w:pPr>
      <w:r>
        <w:t xml:space="preserve"/>
      </w:r>
    </w:p>
    <w:p>
      <w:pPr>
        <w:jc w:val="center"/>
      </w:pPr>
      <w:r>
        <w:rPr>
          <w:rFonts w:ascii="Arial" w:cs="Arial" w:eastAsia="Arial" w:hAnsi="Arial"/>
          <w:i/>
          <w:iCs/>
          <w:color w:val="888888"/>
          <w:sz w:val="18"/>
          <w:szCs w:val="18"/>
        </w:rPr>
        <w:t xml:space="preserve">Herramienta: Oracle Live SQL  |  livesql.oracle.com</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5FA3" w:sz="12" w:space="4"/>
        </w:pBdr>
        <w:spacing w:after="160" w:before="360"/>
      </w:pPr>
      <w:r>
        <w:rPr>
          <w:rFonts w:ascii="Arial" w:cs="Arial" w:eastAsia="Arial" w:hAnsi="Arial"/>
          <w:b/>
          <w:bCs/>
          <w:color w:val="1B3A6B"/>
          <w:sz w:val="28"/>
          <w:szCs w:val="28"/>
        </w:rPr>
        <w:t xml:space="preserve">1. Descripción del Sistema</w:t>
      </w:r>
    </w:p>
    <w:p>
      <w:pPr>
        <w:spacing w:after="80" w:before="80"/>
        <w:jc w:val="both"/>
      </w:pPr>
      <w:r>
        <w:rPr>
          <w:rFonts w:ascii="Arial" w:cs="Arial" w:eastAsia="Arial" w:hAnsi="Arial"/>
          <w:color w:val="4A4A4A"/>
          <w:sz w:val="22"/>
          <w:szCs w:val="22"/>
        </w:rPr>
        <w:t xml:space="preserve">ZOO SAFARI S.A.S. es un parque safari colombiano que ofrece recorridos guiados en vehículo a través de cinco zonas naturales temáticas. El sistema de base de datos desarrollado en Oracle SQL gestiona de forma integral los animales del parque, los visitantes, los vehículos safari (carritos), los guías, los recorridos realizados y los avistamientos de fauna registrados durante cada safari.</w:t>
      </w:r>
    </w:p>
    <w:p>
      <w:pPr>
        <w:spacing w:after="0" w:before="120"/>
      </w:pPr>
      <w:r>
        <w:t xml:space="preserve"/>
      </w:r>
    </w:p>
    <w:p>
      <w:pPr>
        <w:spacing w:after="80" w:before="80"/>
        <w:jc w:val="both"/>
      </w:pPr>
      <w:r>
        <w:rPr>
          <w:rFonts w:ascii="Arial" w:cs="Arial" w:eastAsia="Arial" w:hAnsi="Arial"/>
          <w:color w:val="4A4A4A"/>
          <w:sz w:val="22"/>
          <w:szCs w:val="22"/>
        </w:rPr>
        <w:t xml:space="preserve">El sistema garantiza la integridad de los datos mediante restricciones de dominio (CHECK constraints), integridad referencial (Foreign Keys) y lógica de negocio implementada con PL/SQL (triggers y procedimientos almacenados). El control de concurrencia se maneja con bloqueos Oracle para prevenir la doble asignación de vehículos.</w:t>
      </w:r>
    </w:p>
    <w:p>
      <w:pPr>
        <w:spacing w:after="0" w:before="200"/>
      </w:pPr>
      <w:r>
        <w:t xml:space="preserve"/>
      </w:r>
    </w:p>
    <w:p>
      <w:pPr>
        <w:pStyle w:val="Heading2"/>
        <w:spacing w:after="120" w:before="280"/>
      </w:pPr>
      <w:r>
        <w:rPr>
          <w:rFonts w:ascii="Arial" w:cs="Arial" w:eastAsia="Arial" w:hAnsi="Arial"/>
          <w:b/>
          <w:bCs/>
          <w:color w:val="2E5FA3"/>
          <w:sz w:val="24"/>
          <w:szCs w:val="24"/>
        </w:rPr>
        <w:t xml:space="preserve">1.1 Equipo de Desarrollo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Integrante</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w:t>
            </w:r>
          </w:p>
        </w:tc>
        <w:tc>
          <w:tcPr>
            <w:tcW w:type="dxa" w:w="312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Responsabilidad principal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David Pacanchique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Arquitecto de Datos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Diseño del modelo relacional, DDL</w:t>
            </w:r>
          </w:p>
        </w:tc>
      </w:tr>
      <w:tr>
        <w:tc>
          <w:tcPr>
            <w:tcW w:type="dxa" w:w="312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Alan Melo Giraldo</w:t>
            </w:r>
          </w:p>
        </w:tc>
        <w:tc>
          <w:tcPr>
            <w:tcW w:type="dxa" w:w="312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Desarrollador PL/SQL</w:t>
            </w:r>
          </w:p>
        </w:tc>
        <w:tc>
          <w:tcPr>
            <w:tcW w:type="dxa" w:w="312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Triggers, procedimientos, ACID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Darian Molina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Líder de QA</w:t>
            </w:r>
          </w:p>
        </w:tc>
        <w:tc>
          <w:tcPr>
            <w:tcW w:type="dxa" w:w="31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Pruebas, validación, autoevaluación</w:t>
            </w:r>
          </w:p>
        </w:tc>
      </w:tr>
    </w:tbl>
    <w:p>
      <w:pPr>
        <w:spacing w:after="0" w:before="200"/>
      </w:pPr>
      <w:r>
        <w:t xml:space="preserve"/>
      </w:r>
    </w:p>
    <w:p>
      <w:pPr>
        <w:pStyle w:val="Heading2"/>
        <w:spacing w:after="120" w:before="280"/>
      </w:pPr>
      <w:r>
        <w:rPr>
          <w:rFonts w:ascii="Arial" w:cs="Arial" w:eastAsia="Arial" w:hAnsi="Arial"/>
          <w:b/>
          <w:bCs/>
          <w:color w:val="2E5FA3"/>
          <w:sz w:val="24"/>
          <w:szCs w:val="24"/>
        </w:rPr>
        <w:t xml:space="preserve">1.2 Reglas de Negocio Principales</w:t>
      </w:r>
    </w:p>
    <w:p>
      <w:pPr>
        <w:pStyle w:val="ListParagraph"/>
        <w:numPr>
          <w:ilvl w:val="0"/>
          <w:numId w:val="2"/>
        </w:numPr>
        <w:spacing w:after="60" w:before="60"/>
      </w:pPr>
      <w:r>
        <w:rPr>
          <w:rFonts w:ascii="Arial" w:cs="Arial" w:eastAsia="Arial" w:hAnsi="Arial"/>
          <w:color w:val="4A4A4A"/>
          <w:sz w:val="22"/>
          <w:szCs w:val="22"/>
        </w:rPr>
        <w:t xml:space="preserve">Un carrito solo puede asignarse a un recorrido si está en estado Disponible.</w:t>
      </w:r>
    </w:p>
    <w:p>
      <w:pPr>
        <w:pStyle w:val="ListParagraph"/>
        <w:numPr>
          <w:ilvl w:val="0"/>
          <w:numId w:val="2"/>
        </w:numPr>
        <w:spacing w:after="60" w:before="60"/>
      </w:pPr>
      <w:r>
        <w:rPr>
          <w:rFonts w:ascii="Arial" w:cs="Arial" w:eastAsia="Arial" w:hAnsi="Arial"/>
          <w:color w:val="4A4A4A"/>
          <w:sz w:val="22"/>
          <w:szCs w:val="22"/>
        </w:rPr>
        <w:t xml:space="preserve">El número de personas no puede superar la capacidad máxima del carrito.</w:t>
      </w:r>
    </w:p>
    <w:p>
      <w:pPr>
        <w:pStyle w:val="ListParagraph"/>
        <w:numPr>
          <w:ilvl w:val="0"/>
          <w:numId w:val="2"/>
        </w:numPr>
        <w:spacing w:after="60" w:before="60"/>
      </w:pPr>
      <w:r>
        <w:rPr>
          <w:rFonts w:ascii="Arial" w:cs="Arial" w:eastAsia="Arial" w:hAnsi="Arial"/>
          <w:color w:val="4A4A4A"/>
          <w:sz w:val="22"/>
          <w:szCs w:val="22"/>
        </w:rPr>
        <w:t xml:space="preserve">Al confirmar un recorrido, el carrito pasa automáticamente al estado En uso.</w:t>
      </w:r>
    </w:p>
    <w:p>
      <w:pPr>
        <w:pStyle w:val="ListParagraph"/>
        <w:numPr>
          <w:ilvl w:val="0"/>
          <w:numId w:val="2"/>
        </w:numPr>
        <w:spacing w:after="60" w:before="60"/>
      </w:pPr>
      <w:r>
        <w:rPr>
          <w:rFonts w:ascii="Arial" w:cs="Arial" w:eastAsia="Arial" w:hAnsi="Arial"/>
          <w:color w:val="4A4A4A"/>
          <w:sz w:val="22"/>
          <w:szCs w:val="22"/>
        </w:rPr>
        <w:t xml:space="preserve">Los avistamientos quedan vinculados al recorrido y al animal observado.</w:t>
      </w:r>
    </w:p>
    <w:p>
      <w:pPr>
        <w:pStyle w:val="ListParagraph"/>
        <w:numPr>
          <w:ilvl w:val="0"/>
          <w:numId w:val="2"/>
        </w:numPr>
        <w:spacing w:after="60" w:before="60"/>
      </w:pPr>
      <w:r>
        <w:rPr>
          <w:rFonts w:ascii="Arial" w:cs="Arial" w:eastAsia="Arial" w:hAnsi="Arial"/>
          <w:color w:val="4A4A4A"/>
          <w:sz w:val="22"/>
          <w:szCs w:val="22"/>
        </w:rPr>
        <w:t xml:space="preserve">Solo se reportan animales con estado diferente a Fallecido en la ficha pública.</w:t>
      </w:r>
    </w:p>
    <w:p>
      <w:pPr>
        <w:pStyle w:val="Heading1"/>
        <w:pBdr>
          <w:bottom w:val="single" w:color="2E5FA3" w:sz="12" w:space="4"/>
        </w:pBdr>
        <w:spacing w:after="160" w:before="360"/>
      </w:pPr>
      <w:r>
        <w:rPr>
          <w:rFonts w:ascii="Arial" w:cs="Arial" w:eastAsia="Arial" w:hAnsi="Arial"/>
          <w:b/>
          <w:bCs/>
          <w:color w:val="1B3A6B"/>
          <w:sz w:val="28"/>
          <w:szCs w:val="28"/>
        </w:rPr>
        <w:t xml:space="preserve">2. Componente A — DDL: Modelo de Datos</w:t>
      </w:r>
    </w:p>
    <w:p>
      <w:pPr>
        <w:spacing w:after="80" w:before="80"/>
        <w:jc w:val="both"/>
      </w:pPr>
      <w:r>
        <w:rPr>
          <w:rFonts w:ascii="Arial" w:cs="Arial" w:eastAsia="Arial" w:hAnsi="Arial"/>
          <w:color w:val="4A4A4A"/>
          <w:sz w:val="22"/>
          <w:szCs w:val="22"/>
        </w:rPr>
        <w:t xml:space="preserve">El modelo relacional se compone de 9 tablas diseñadas con identidades automáticas (GENERATED BY DEFAULT AS IDENTITY), claves foráneas entre todas las entidades relacionadas, y restricciones CHECK para asegurar la integridad de dominio.</w:t>
      </w:r>
    </w:p>
    <w:p>
      <w:pPr>
        <w:spacing w:after="0" w:before="200"/>
      </w:pPr>
      <w:r>
        <w:t xml:space="preserve"/>
      </w:r>
    </w:p>
    <w:p>
      <w:pPr>
        <w:pStyle w:val="Heading2"/>
        <w:spacing w:after="120" w:before="280"/>
      </w:pPr>
      <w:r>
        <w:rPr>
          <w:rFonts w:ascii="Arial" w:cs="Arial" w:eastAsia="Arial" w:hAnsi="Arial"/>
          <w:b/>
          <w:bCs/>
          <w:color w:val="2E5FA3"/>
          <w:sz w:val="24"/>
          <w:szCs w:val="24"/>
        </w:rPr>
        <w:t xml:space="preserve">2.1 Diagrama Entidad-Relación (descripción textual)</w:t>
      </w:r>
    </w:p>
    <w:p>
      <w:pPr>
        <w:shd w:fill="F0F0F0" w:val="clear"/>
        <w:spacing w:after="60" w:before="60"/>
        <w:ind w:left="720"/>
      </w:pPr>
      <w:r>
        <w:rPr>
          <w:rFonts w:ascii="Courier New" w:cs="Courier New" w:eastAsia="Courier New" w:hAnsi="Courier New"/>
          <w:color w:val="333333"/>
          <w:sz w:val="18"/>
          <w:szCs w:val="18"/>
        </w:rPr>
        <w:t xml:space="preserve">zona ──────────────────────────────────────────┐</w:t>
      </w:r>
    </w:p>
    <w:p>
      <w:pPr>
        <w:shd w:fill="F0F0F0" w:val="clear"/>
        <w:spacing w:after="60" w:before="60"/>
        <w:ind w:left="720"/>
      </w:pPr>
      <w:r>
        <w:rPr>
          <w:rFonts w:ascii="Courier New" w:cs="Courier New" w:eastAsia="Courier New" w:hAnsi="Courier New"/>
          <w:color w:val="333333"/>
          <w:sz w:val="18"/>
          <w:szCs w:val="18"/>
        </w:rPr>
        <w:t xml:space="preserve">especie ───────────────────────────────────┐   │</w:t>
      </w:r>
    </w:p>
    <w:p>
      <w:pPr>
        <w:shd w:fill="F0F0F0" w:val="clear"/>
        <w:spacing w:after="60" w:before="60"/>
        <w:ind w:left="720"/>
      </w:pPr>
      <w:r>
        <w:rPr>
          <w:rFonts w:ascii="Courier New" w:cs="Courier New" w:eastAsia="Courier New" w:hAnsi="Courier New"/>
          <w:color w:val="333333"/>
          <w:sz w:val="18"/>
          <w:szCs w:val="18"/>
        </w:rPr>
        <w:t xml:space="preserve">                                           ↓   ↓</w:t>
      </w:r>
    </w:p>
    <w:p>
      <w:pPr>
        <w:shd w:fill="F0F0F0" w:val="clear"/>
        <w:spacing w:after="60" w:before="60"/>
        <w:ind w:left="720"/>
      </w:pPr>
      <w:r>
        <w:rPr>
          <w:rFonts w:ascii="Courier New" w:cs="Courier New" w:eastAsia="Courier New" w:hAnsi="Courier New"/>
          <w:color w:val="333333"/>
          <w:sz w:val="18"/>
          <w:szCs w:val="18"/>
        </w:rPr>
        <w:t xml:space="preserve">                                         animal</w:t>
      </w:r>
    </w:p>
    <w:p>
      <w:pPr>
        <w:shd w:fill="F0F0F0" w:val="clear"/>
        <w:spacing w:after="60" w:before="60"/>
        <w:ind w:left="720"/>
      </w:pPr>
      <w:r>
        <w:rPr>
          <w:rFonts w:ascii="Courier New" w:cs="Courier New" w:eastAsia="Courier New" w:hAnsi="Courier New"/>
          <w:color w:val="333333"/>
          <w:sz w:val="18"/>
          <w:szCs w:val="18"/>
        </w:rPr>
        <w:t xml:space="preserve">visitante ──┐</w:t>
      </w:r>
    </w:p>
    <w:p>
      <w:pPr>
        <w:shd w:fill="F0F0F0" w:val="clear"/>
        <w:spacing w:after="60" w:before="60"/>
        <w:ind w:left="720"/>
      </w:pPr>
      <w:r>
        <w:rPr>
          <w:rFonts w:ascii="Courier New" w:cs="Courier New" w:eastAsia="Courier New" w:hAnsi="Courier New"/>
          <w:color w:val="333333"/>
          <w:sz w:val="18"/>
          <w:szCs w:val="18"/>
        </w:rPr>
        <w:t xml:space="preserve">carrito ────┼──→ recorrido ──→ avistamiento ──→ animal</w:t>
      </w:r>
    </w:p>
    <w:p>
      <w:pPr>
        <w:shd w:fill="F0F0F0" w:val="clear"/>
        <w:spacing w:after="60" w:before="60"/>
        <w:ind w:left="720"/>
      </w:pPr>
      <w:r>
        <w:rPr>
          <w:rFonts w:ascii="Courier New" w:cs="Courier New" w:eastAsia="Courier New" w:hAnsi="Courier New"/>
          <w:color w:val="333333"/>
          <w:sz w:val="18"/>
          <w:szCs w:val="18"/>
        </w:rPr>
        <w:t xml:space="preserve">guia ───────┘</w:t>
      </w:r>
    </w:p>
    <w:p>
      <w:pPr>
        <w:shd w:fill="F0F0F0" w:val="clear"/>
        <w:spacing w:after="60" w:before="60"/>
        <w:ind w:left="720"/>
      </w:pPr>
      <w:r>
        <w:rPr>
          <w:rFonts w:ascii="Courier New" w:cs="Courier New" w:eastAsia="Courier New" w:hAnsi="Courier New"/>
          <w:color w:val="333333"/>
          <w:sz w:val="18"/>
          <w:szCs w:val="18"/>
        </w:rPr>
        <w:t xml:space="preserve">empleado   (tabla independiente — personal operativo)</w:t>
      </w:r>
    </w:p>
    <w:p>
      <w:pPr>
        <w:spacing w:after="0" w:before="200"/>
      </w:pPr>
      <w:r>
        <w:t xml:space="preserve"/>
      </w:r>
    </w:p>
    <w:p>
      <w:pPr>
        <w:pStyle w:val="Heading2"/>
        <w:spacing w:after="120" w:before="280"/>
      </w:pPr>
      <w:r>
        <w:rPr>
          <w:rFonts w:ascii="Arial" w:cs="Arial" w:eastAsia="Arial" w:hAnsi="Arial"/>
          <w:b/>
          <w:bCs/>
          <w:color w:val="2E5FA3"/>
          <w:sz w:val="24"/>
          <w:szCs w:val="24"/>
        </w:rPr>
        <w:t xml:space="preserve">2.2 Diccionario de Datos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Tabla</w:t>
            </w:r>
          </w:p>
        </w:tc>
        <w:tc>
          <w:tcPr>
            <w:tcW w:type="dxa" w:w="476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c>
          <w:tcPr>
            <w:tcW w:type="dxa" w:w="24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Filas de prueba</w:t>
            </w:r>
          </w:p>
        </w:tc>
      </w:tr>
      <w:tr>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zona</w:t>
            </w:r>
          </w:p>
        </w:tc>
        <w:tc>
          <w:tcPr>
            <w:tcW w:type="dxa" w:w="47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Áreas geográficas del safari (5 zonas temáticas)</w:t>
            </w:r>
          </w:p>
        </w:tc>
        <w:tc>
          <w:tcPr>
            <w:tcW w:type="dxa" w:w="24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5</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especie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Catálogo de especies con estado de conservación IUCN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10</w:t>
            </w:r>
          </w:p>
        </w:tc>
      </w:tr>
      <w:tr>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animal</w:t>
            </w:r>
          </w:p>
        </w:tc>
        <w:tc>
          <w:tcPr>
            <w:tcW w:type="dxa" w:w="47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Registro individual de cada animal del parque</w:t>
            </w:r>
          </w:p>
        </w:tc>
        <w:tc>
          <w:tcPr>
            <w:tcW w:type="dxa" w:w="24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15</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visitante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Clientes que realizan recorridos safari</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10</w:t>
            </w:r>
          </w:p>
        </w:tc>
      </w:tr>
      <w:tr>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carrito</w:t>
            </w:r>
          </w:p>
        </w:tc>
        <w:tc>
          <w:tcPr>
            <w:tcW w:type="dxa" w:w="47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Vehículos safari: Jeep, Bus, Eléctrico</w:t>
            </w:r>
          </w:p>
        </w:tc>
        <w:tc>
          <w:tcPr>
            <w:tcW w:type="dxa" w:w="24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10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guia</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Guías multilingües asignados a recorridos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10</w:t>
            </w:r>
          </w:p>
        </w:tc>
      </w:tr>
      <w:tr>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recorrido</w:t>
            </w:r>
          </w:p>
        </w:tc>
        <w:tc>
          <w:tcPr>
            <w:tcW w:type="dxa" w:w="47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Cada safari realizado con fecha y valor</w:t>
            </w:r>
          </w:p>
        </w:tc>
        <w:tc>
          <w:tcPr>
            <w:tcW w:type="dxa" w:w="24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10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avistamiento</w:t>
            </w:r>
          </w:p>
        </w:tc>
        <w:tc>
          <w:tcPr>
            <w:tcW w:type="dxa" w:w="47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Animales observados por recorrido con comportamiento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13</w:t>
            </w:r>
          </w:p>
        </w:tc>
      </w:tr>
      <w:tr>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empleado</w:t>
            </w:r>
          </w:p>
        </w:tc>
        <w:tc>
          <w:tcPr>
            <w:tcW w:type="dxa" w:w="47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Personal operativo del zoo (veterinarios, guardas, etc.)</w:t>
            </w:r>
          </w:p>
        </w:tc>
        <w:tc>
          <w:tcPr>
            <w:tcW w:type="dxa" w:w="24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10</w:t>
            </w:r>
          </w:p>
        </w:tc>
      </w:tr>
    </w:tbl>
    <w:p>
      <w:pPr>
        <w:spacing w:after="0" w:before="200"/>
      </w:pPr>
      <w:r>
        <w:t xml:space="preserve"/>
      </w:r>
    </w:p>
    <w:p>
      <w:pPr>
        <w:pStyle w:val="Heading2"/>
        <w:spacing w:after="120" w:before="280"/>
      </w:pPr>
      <w:r>
        <w:rPr>
          <w:rFonts w:ascii="Arial" w:cs="Arial" w:eastAsia="Arial" w:hAnsi="Arial"/>
          <w:b/>
          <w:bCs/>
          <w:color w:val="2E5FA3"/>
          <w:sz w:val="24"/>
          <w:szCs w:val="24"/>
        </w:rPr>
        <w:t xml:space="preserve">2.3 CHECK Constraints Implementados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Constraint</w:t>
            </w:r>
          </w:p>
        </w:tc>
        <w:tc>
          <w:tcPr>
            <w:tcW w:type="dxa" w:w="22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Tabla</w:t>
            </w:r>
          </w:p>
        </w:tc>
        <w:tc>
          <w:tcPr>
            <w:tcW w:type="dxa" w:w="436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Valores permitidos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chk_dieta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especie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Carnivoro, Herbivoro, Omnivoro, Insectivoro, Piscivoro</w:t>
            </w:r>
          </w:p>
        </w:tc>
      </w:tr>
      <w:tr>
        <w:tc>
          <w:tcPr>
            <w:tcW w:type="dxa" w:w="28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chk_peligro</w:t>
            </w:r>
          </w:p>
        </w:tc>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especie</w:t>
            </w:r>
          </w:p>
        </w:tc>
        <w:tc>
          <w:tcPr>
            <w:tcW w:type="dxa" w:w="4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Preocupacion menor … Extinto (7 valores IUCN)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chk_sexo_animal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animal</w:t>
            </w:r>
          </w:p>
        </w:tc>
        <w:tc>
          <w:tcPr>
            <w:tcW w:type="dxa" w:w="4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M, F</w:t>
            </w:r>
          </w:p>
        </w:tc>
      </w:tr>
      <w:tr>
        <w:tc>
          <w:tcPr>
            <w:tcW w:type="dxa" w:w="28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chk_estado_animal</w:t>
            </w:r>
          </w:p>
        </w:tc>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animal</w:t>
            </w:r>
          </w:p>
        </w:tc>
        <w:tc>
          <w:tcPr>
            <w:tcW w:type="dxa" w:w="4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Saludable, En tratamiento, En cuarentena, Fallecido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chk_capacidad_positiva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carrito</w:t>
            </w:r>
          </w:p>
        </w:tc>
        <w:tc>
          <w:tcPr>
            <w:tcW w:type="dxa" w:w="4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capacidad &gt; 0</w:t>
            </w:r>
          </w:p>
        </w:tc>
      </w:tr>
      <w:tr>
        <w:tc>
          <w:tcPr>
            <w:tcW w:type="dxa" w:w="28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chk_estado_carrito</w:t>
            </w:r>
          </w:p>
        </w:tc>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carrito</w:t>
            </w:r>
          </w:p>
        </w:tc>
        <w:tc>
          <w:tcPr>
            <w:tcW w:type="dxa" w:w="4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Disponible, En uso, Mantenimiento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chk_personas_positivas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recorrido</w:t>
            </w:r>
          </w:p>
        </w:tc>
        <w:tc>
          <w:tcPr>
            <w:tcW w:type="dxa" w:w="4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num_personas &gt; 0</w:t>
            </w:r>
          </w:p>
        </w:tc>
      </w:tr>
      <w:tr>
        <w:tc>
          <w:tcPr>
            <w:tcW w:type="dxa" w:w="28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chk_total_positivo</w:t>
            </w:r>
          </w:p>
        </w:tc>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recorrido</w:t>
            </w:r>
          </w:p>
        </w:tc>
        <w:tc>
          <w:tcPr>
            <w:tcW w:type="dxa" w:w="4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total_pagado &gt;= 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chk_estado_recorrido</w:t>
            </w:r>
          </w:p>
        </w:tc>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recorrido</w:t>
            </w:r>
          </w:p>
        </w:tc>
        <w:tc>
          <w:tcPr>
            <w:tcW w:type="dxa" w:w="4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Reservado, Completado, Cancelado</w:t>
            </w:r>
          </w:p>
        </w:tc>
      </w:tr>
      <w:tr>
        <w:tc>
          <w:tcPr>
            <w:tcW w:type="dxa" w:w="28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chk_salario_positivo</w:t>
            </w:r>
          </w:p>
        </w:tc>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empleado</w:t>
            </w:r>
          </w:p>
        </w:tc>
        <w:tc>
          <w:tcPr>
            <w:tcW w:type="dxa" w:w="4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salario &gt; 0</w:t>
            </w:r>
          </w:p>
        </w:tc>
      </w:tr>
    </w:tbl>
    <w:p>
      <w:pPr>
        <w:spacing w:after="0" w:before="200"/>
      </w:pPr>
      <w:r>
        <w:t xml:space="preserve"/>
      </w:r>
    </w:p>
    <w:p>
      <w:pPr>
        <w:pStyle w:val="Heading2"/>
        <w:spacing w:after="120" w:before="280"/>
      </w:pPr>
      <w:r>
        <w:rPr>
          <w:rFonts w:ascii="Arial" w:cs="Arial" w:eastAsia="Arial" w:hAnsi="Arial"/>
          <w:b/>
          <w:bCs/>
          <w:color w:val="2E5FA3"/>
          <w:sz w:val="24"/>
          <w:szCs w:val="24"/>
        </w:rPr>
        <w:t xml:space="preserve">2.4 Script de Limpieza</w:t>
      </w:r>
    </w:p>
    <w:p>
      <w:pPr>
        <w:spacing w:after="80" w:before="80"/>
        <w:jc w:val="both"/>
      </w:pPr>
      <w:r>
        <w:rPr>
          <w:rFonts w:ascii="Arial" w:cs="Arial" w:eastAsia="Arial" w:hAnsi="Arial"/>
          <w:color w:val="4A4A4A"/>
          <w:sz w:val="22"/>
          <w:szCs w:val="22"/>
        </w:rPr>
        <w:t xml:space="preserve">El script incluye un bloque de limpieza (Bloque 0) que permite la re-ejecución segura usando DROP ... CASCADE CONSTRAINTS en orden inverso a la creación (hijos antes que padres). Cada sentencia está envuelta en un bloque PL/SQL con EXCEPTION WHEN OTHERS THEN NULL para no interrumpir la ejecución si el objeto no existe.</w:t>
      </w:r>
    </w:p>
    <w:p>
      <w:pPr>
        <w:pStyle w:val="Heading1"/>
        <w:pBdr>
          <w:bottom w:val="single" w:color="2E5FA3" w:sz="12" w:space="4"/>
        </w:pBdr>
        <w:spacing w:after="160" w:before="360"/>
      </w:pPr>
      <w:r>
        <w:rPr>
          <w:rFonts w:ascii="Arial" w:cs="Arial" w:eastAsia="Arial" w:hAnsi="Arial"/>
          <w:b/>
          <w:bCs/>
          <w:color w:val="1B3A6B"/>
          <w:sz w:val="28"/>
          <w:szCs w:val="28"/>
        </w:rPr>
        <w:t xml:space="preserve">3. Componente B — ACID y Control de Concurrencia</w:t>
      </w:r>
    </w:p>
    <w:p>
      <w:pPr>
        <w:spacing w:after="80" w:before="80"/>
        <w:jc w:val="both"/>
      </w:pPr>
      <w:r>
        <w:rPr>
          <w:rFonts w:ascii="Arial" w:cs="Arial" w:eastAsia="Arial" w:hAnsi="Arial"/>
          <w:color w:val="4A4A4A"/>
          <w:sz w:val="22"/>
          <w:szCs w:val="22"/>
        </w:rPr>
        <w:t xml:space="preserve">Se diseñaron dos escenarios que simulan la situación en que dos guías intentan reservar simultáneamente el mismo carrito. El sistema previene la doble asignación mediante bloqueos a nivel de fila con FOR UPDATE.</w:t>
      </w:r>
    </w:p>
    <w:p>
      <w:pPr>
        <w:spacing w:after="0" w:before="200"/>
      </w:pPr>
      <w:r>
        <w:t xml:space="preserve"/>
      </w:r>
    </w:p>
    <w:p>
      <w:pPr>
        <w:pStyle w:val="Heading2"/>
        <w:spacing w:after="120" w:before="280"/>
      </w:pPr>
      <w:r>
        <w:rPr>
          <w:rFonts w:ascii="Arial" w:cs="Arial" w:eastAsia="Arial" w:hAnsi="Arial"/>
          <w:b/>
          <w:bCs/>
          <w:color w:val="2E5FA3"/>
          <w:sz w:val="24"/>
          <w:szCs w:val="24"/>
        </w:rPr>
        <w:t xml:space="preserve">3.1 Escenarios Implementados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Escenario</w:t>
            </w:r>
          </w:p>
        </w:tc>
        <w:tc>
          <w:tcPr>
            <w:tcW w:type="dxa" w:w="24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Mecanismo SQL</w:t>
            </w:r>
          </w:p>
        </w:tc>
        <w:tc>
          <w:tcPr>
            <w:tcW w:type="dxa" w:w="236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Excepción manejada</w:t>
            </w:r>
          </w:p>
        </w:tc>
        <w:tc>
          <w:tcPr>
            <w:tcW w:type="dxa" w:w="24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Resultado esperado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NOWAIT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FOR UPDATE NOWAIT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PRAGMA(-54) / ORA-00054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Falla inmediata si recurso bloqueado</w:t>
            </w:r>
          </w:p>
        </w:tc>
      </w:tr>
      <w:tr>
        <w:tc>
          <w:tcPr>
            <w:tcW w:type="dxa" w:w="22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WAIT 4</w:t>
            </w:r>
          </w:p>
        </w:tc>
        <w:tc>
          <w:tcPr>
            <w:tcW w:type="dxa" w:w="24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FOR UPDATE WAIT 4</w:t>
            </w:r>
          </w:p>
        </w:tc>
        <w:tc>
          <w:tcPr>
            <w:tcW w:type="dxa" w:w="2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PRAGMA(-30006) / ORA-30006</w:t>
            </w:r>
          </w:p>
        </w:tc>
        <w:tc>
          <w:tcPr>
            <w:tcW w:type="dxa" w:w="24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Timeout a los 4 s; ROLLBACK</w:t>
            </w:r>
          </w:p>
        </w:tc>
      </w:tr>
    </w:tbl>
    <w:p>
      <w:pPr>
        <w:spacing w:after="0" w:before="200"/>
      </w:pPr>
      <w:r>
        <w:t xml:space="preserve"/>
      </w:r>
    </w:p>
    <w:p>
      <w:pPr>
        <w:pStyle w:val="Heading2"/>
        <w:spacing w:after="120" w:before="280"/>
      </w:pPr>
      <w:r>
        <w:rPr>
          <w:rFonts w:ascii="Arial" w:cs="Arial" w:eastAsia="Arial" w:hAnsi="Arial"/>
          <w:b/>
          <w:bCs/>
          <w:color w:val="2E5FA3"/>
          <w:sz w:val="24"/>
          <w:szCs w:val="24"/>
        </w:rPr>
        <w:t xml:space="preserve">3.2 Justificación del Tiempo de Espera (WAIT 4)</w:t>
      </w:r>
    </w:p>
    <w:p>
      <w:pPr>
        <w:spacing w:after="80" w:before="80"/>
        <w:jc w:val="both"/>
      </w:pPr>
      <w:r>
        <w:rPr>
          <w:rFonts w:ascii="Arial" w:cs="Arial" w:eastAsia="Arial" w:hAnsi="Arial"/>
          <w:color w:val="4A4A4A"/>
          <w:sz w:val="22"/>
          <w:szCs w:val="22"/>
        </w:rPr>
        <w:t xml:space="preserve">El frontend del Zoo Safari tiene configurado un timeout de 5 segundos para las operaciones de reserva. Se eligió WAIT 4 para que Oracle libere el bloqueo y retorne un error controlado al usuario antes de que la interfaz de usuario agote su propio timeout, garantizando una experiencia de usuario consistente y evitando mensajes de error genéricos en el navegador.</w:t>
      </w:r>
    </w:p>
    <w:p>
      <w:pPr>
        <w:spacing w:after="0" w:before="200"/>
      </w:pPr>
      <w:r>
        <w:t xml:space="preserve"/>
      </w:r>
    </w:p>
    <w:p>
      <w:pPr>
        <w:pStyle w:val="Heading2"/>
        <w:spacing w:after="120" w:before="280"/>
      </w:pPr>
      <w:r>
        <w:rPr>
          <w:rFonts w:ascii="Arial" w:cs="Arial" w:eastAsia="Arial" w:hAnsi="Arial"/>
          <w:b/>
          <w:bCs/>
          <w:color w:val="2E5FA3"/>
          <w:sz w:val="24"/>
          <w:szCs w:val="24"/>
        </w:rPr>
        <w:t xml:space="preserve">3.3 Principios ACID Garantizados</w:t>
      </w:r>
    </w:p>
    <w:p>
      <w:pPr>
        <w:pStyle w:val="ListParagraph"/>
        <w:numPr>
          <w:ilvl w:val="0"/>
          <w:numId w:val="2"/>
        </w:numPr>
        <w:spacing w:after="60" w:before="60"/>
      </w:pPr>
      <w:r>
        <w:rPr>
          <w:rFonts w:ascii="Arial" w:cs="Arial" w:eastAsia="Arial" w:hAnsi="Arial"/>
          <w:color w:val="4A4A4A"/>
          <w:sz w:val="22"/>
          <w:szCs w:val="22"/>
        </w:rPr>
        <w:t xml:space="preserve">Atomicidad: cada bloque ACID tiene su propio COMMIT en el camino exitoso y ROLLBACK en el manejador de excepciones.</w:t>
      </w:r>
    </w:p>
    <w:p>
      <w:pPr>
        <w:pStyle w:val="ListParagraph"/>
        <w:numPr>
          <w:ilvl w:val="0"/>
          <w:numId w:val="2"/>
        </w:numPr>
        <w:spacing w:after="60" w:before="60"/>
      </w:pPr>
      <w:r>
        <w:rPr>
          <w:rFonts w:ascii="Arial" w:cs="Arial" w:eastAsia="Arial" w:hAnsi="Arial"/>
          <w:color w:val="4A4A4A"/>
          <w:sz w:val="22"/>
          <w:szCs w:val="22"/>
        </w:rPr>
        <w:t xml:space="preserve">Consistencia: los CHECK constraints y las FK garantizan que el estado de la base de datos sea siempre válido.</w:t>
      </w:r>
    </w:p>
    <w:p>
      <w:pPr>
        <w:pStyle w:val="ListParagraph"/>
        <w:numPr>
          <w:ilvl w:val="0"/>
          <w:numId w:val="2"/>
        </w:numPr>
        <w:spacing w:after="60" w:before="60"/>
      </w:pPr>
      <w:r>
        <w:rPr>
          <w:rFonts w:ascii="Arial" w:cs="Arial" w:eastAsia="Arial" w:hAnsi="Arial"/>
          <w:color w:val="4A4A4A"/>
          <w:sz w:val="22"/>
          <w:szCs w:val="22"/>
        </w:rPr>
        <w:t xml:space="preserve">Aislamiento: el mecanismo FOR UPDATE asegura que dos transacciones no lean ni modifiquen el mismo carrito de forma concurrente.</w:t>
      </w:r>
    </w:p>
    <w:p>
      <w:pPr>
        <w:pStyle w:val="ListParagraph"/>
        <w:numPr>
          <w:ilvl w:val="0"/>
          <w:numId w:val="2"/>
        </w:numPr>
        <w:spacing w:after="60" w:before="60"/>
      </w:pPr>
      <w:r>
        <w:rPr>
          <w:rFonts w:ascii="Arial" w:cs="Arial" w:eastAsia="Arial" w:hAnsi="Arial"/>
          <w:color w:val="4A4A4A"/>
          <w:sz w:val="22"/>
          <w:szCs w:val="22"/>
        </w:rPr>
        <w:t xml:space="preserve">Durabilidad: el COMMIT garantiza que los cambios se persistan en el log de redo de Oracle.</w:t>
      </w:r>
    </w:p>
    <w:p>
      <w:pPr>
        <w:pStyle w:val="Heading1"/>
        <w:pBdr>
          <w:bottom w:val="single" w:color="2E5FA3" w:sz="12" w:space="4"/>
        </w:pBdr>
        <w:spacing w:after="160" w:before="360"/>
      </w:pPr>
      <w:r>
        <w:rPr>
          <w:rFonts w:ascii="Arial" w:cs="Arial" w:eastAsia="Arial" w:hAnsi="Arial"/>
          <w:b/>
          <w:bCs/>
          <w:color w:val="1B3A6B"/>
          <w:sz w:val="28"/>
          <w:szCs w:val="28"/>
        </w:rPr>
        <w:t xml:space="preserve">4. Componente C — PL/SQL: Trigger y Stored Procedure</w:t>
      </w:r>
    </w:p>
    <w:p>
      <w:pPr>
        <w:pStyle w:val="Heading2"/>
        <w:spacing w:after="120" w:before="280"/>
      </w:pPr>
      <w:r>
        <w:rPr>
          <w:rFonts w:ascii="Arial" w:cs="Arial" w:eastAsia="Arial" w:hAnsi="Arial"/>
          <w:b/>
          <w:bCs/>
          <w:color w:val="2E5FA3"/>
          <w:sz w:val="24"/>
          <w:szCs w:val="24"/>
        </w:rPr>
        <w:t xml:space="preserve">4.1 Trigger: trg_validar_capacidad_recorrido</w:t>
      </w:r>
    </w:p>
    <w:p>
      <w:pPr>
        <w:spacing w:after="80" w:before="80"/>
        <w:jc w:val="both"/>
      </w:pPr>
      <w:r>
        <w:rPr>
          <w:rFonts w:ascii="Arial" w:cs="Arial" w:eastAsia="Arial" w:hAnsi="Arial"/>
          <w:color w:val="4A4A4A"/>
          <w:sz w:val="22"/>
          <w:szCs w:val="22"/>
        </w:rPr>
        <w:t xml:space="preserve">Evento: BEFORE INSERT en la tabla recorrido (FOR EACH ROW). El trigger actúa como guardián de las reglas de negocio críticas antes de que cualquier fila sea insertada.</w:t>
      </w:r>
    </w:p>
    <w:p>
      <w:pPr>
        <w:spacing w:after="0" w:before="80"/>
      </w:pPr>
      <w:r>
        <w:t xml:space="preserve"/>
      </w:r>
    </w:p>
    <w:p>
      <w:pPr>
        <w:spacing w:after="80" w:before="80"/>
        <w:jc w:val="both"/>
      </w:pPr>
      <w:r>
        <w:rPr>
          <w:rFonts w:ascii="Arial" w:cs="Arial" w:eastAsia="Arial" w:hAnsi="Arial"/>
          <w:color w:val="4A4A4A"/>
          <w:sz w:val="22"/>
          <w:szCs w:val="22"/>
        </w:rPr>
        <w:t xml:space="preserve">Validaciones realizadas (en orden de evaluación):</w:t>
      </w:r>
    </w:p>
    <w:p>
      <w:pPr>
        <w:pStyle w:val="ListParagraph"/>
        <w:numPr>
          <w:ilvl w:val="0"/>
          <w:numId w:val="2"/>
        </w:numPr>
        <w:spacing w:after="60" w:before="60"/>
      </w:pPr>
      <w:r>
        <w:rPr>
          <w:rFonts w:ascii="Arial" w:cs="Arial" w:eastAsia="Arial" w:hAnsi="Arial"/>
          <w:color w:val="4A4A4A"/>
          <w:sz w:val="22"/>
          <w:szCs w:val="22"/>
        </w:rPr>
        <w:t xml:space="preserve">Verifica que el carrito referenciado exista en el sistema; lanza ORA-20003 si no se encuentra (NO_DATA_FOUND).</w:t>
      </w:r>
    </w:p>
    <w:p>
      <w:pPr>
        <w:pStyle w:val="ListParagraph"/>
        <w:numPr>
          <w:ilvl w:val="0"/>
          <w:numId w:val="2"/>
        </w:numPr>
        <w:spacing w:after="60" w:before="60"/>
      </w:pPr>
      <w:r>
        <w:rPr>
          <w:rFonts w:ascii="Arial" w:cs="Arial" w:eastAsia="Arial" w:hAnsi="Arial"/>
          <w:color w:val="4A4A4A"/>
          <w:sz w:val="22"/>
          <w:szCs w:val="22"/>
        </w:rPr>
        <w:t xml:space="preserve">Verifica que el carrito esté en estado Disponible; lanza ORA-20002 con mensaje descriptivo si está En uso o en Mantenimiento.</w:t>
      </w:r>
    </w:p>
    <w:p>
      <w:pPr>
        <w:pStyle w:val="ListParagraph"/>
        <w:numPr>
          <w:ilvl w:val="0"/>
          <w:numId w:val="2"/>
        </w:numPr>
        <w:spacing w:after="60" w:before="60"/>
      </w:pPr>
      <w:r>
        <w:rPr>
          <w:rFonts w:ascii="Arial" w:cs="Arial" w:eastAsia="Arial" w:hAnsi="Arial"/>
          <w:color w:val="4A4A4A"/>
          <w:sz w:val="22"/>
          <w:szCs w:val="22"/>
        </w:rPr>
        <w:t xml:space="preserve">Verifica que num_personas no supere la capacidad del carrito; lanza ORA-20001 indicando la capacidad máxima y las personas solicitadas.</w:t>
      </w:r>
    </w:p>
    <w:p>
      <w:pPr>
        <w:spacing w:after="0" w:before="80"/>
      </w:pPr>
      <w:r>
        <w:t xml:space="preserve"/>
      </w:r>
    </w:p>
    <w:p>
      <w:pPr>
        <w:spacing w:after="80" w:before="80"/>
        <w:jc w:val="both"/>
      </w:pPr>
      <w:r>
        <w:rPr>
          <w:rFonts w:ascii="Arial" w:cs="Arial" w:eastAsia="Arial" w:hAnsi="Arial"/>
          <w:color w:val="4A4A4A"/>
          <w:sz w:val="22"/>
          <w:szCs w:val="22"/>
        </w:rPr>
        <w:t xml:space="preserve">Casos de prueba del trigger:</w:t>
      </w:r>
    </w:p>
    <w:p>
      <w:pPr>
        <w:pStyle w:val="ListParagraph"/>
        <w:numPr>
          <w:ilvl w:val="0"/>
          <w:numId w:val="2"/>
        </w:numPr>
        <w:spacing w:after="60" w:before="60"/>
      </w:pPr>
      <w:r>
        <w:rPr>
          <w:rFonts w:ascii="Arial" w:cs="Arial" w:eastAsia="Arial" w:hAnsi="Arial"/>
          <w:color w:val="4A4A4A"/>
          <w:sz w:val="22"/>
          <w:szCs w:val="22"/>
        </w:rPr>
        <w:t xml:space="preserve">Prueba 1 (OK): INSERT válido con 5 personas en carrito SAF-01 (capacidad 8) — aceptado y luego ROLLBACK para no afectar datos.</w:t>
      </w:r>
    </w:p>
    <w:p>
      <w:pPr>
        <w:pStyle w:val="ListParagraph"/>
        <w:numPr>
          <w:ilvl w:val="0"/>
          <w:numId w:val="2"/>
        </w:numPr>
        <w:spacing w:after="60" w:before="60"/>
      </w:pPr>
      <w:r>
        <w:rPr>
          <w:rFonts w:ascii="Arial" w:cs="Arial" w:eastAsia="Arial" w:hAnsi="Arial"/>
          <w:color w:val="4A4A4A"/>
          <w:sz w:val="22"/>
          <w:szCs w:val="22"/>
        </w:rPr>
        <w:t xml:space="preserve">Prueba 2 (FALLO): INSERT con 50 personas en carrito SAF-03 (capacidad 6) — rechazado por ORA-20001.</w:t>
      </w:r>
    </w:p>
    <w:p>
      <w:pPr>
        <w:pStyle w:val="ListParagraph"/>
        <w:numPr>
          <w:ilvl w:val="0"/>
          <w:numId w:val="2"/>
        </w:numPr>
        <w:spacing w:after="60" w:before="60"/>
      </w:pPr>
      <w:r>
        <w:rPr>
          <w:rFonts w:ascii="Arial" w:cs="Arial" w:eastAsia="Arial" w:hAnsi="Arial"/>
          <w:color w:val="4A4A4A"/>
          <w:sz w:val="22"/>
          <w:szCs w:val="22"/>
        </w:rPr>
        <w:t xml:space="preserve">Prueba 3 (FALLO): INSERT en carrito SAF-04 (estado Mantenimiento) — rechazado por ORA-20002.</w:t>
      </w:r>
    </w:p>
    <w:p>
      <w:pPr>
        <w:spacing w:after="0" w:before="200"/>
      </w:pPr>
      <w:r>
        <w:t xml:space="preserve"/>
      </w:r>
    </w:p>
    <w:p>
      <w:pPr>
        <w:pStyle w:val="Heading2"/>
        <w:spacing w:after="120" w:before="280"/>
      </w:pPr>
      <w:r>
        <w:rPr>
          <w:rFonts w:ascii="Arial" w:cs="Arial" w:eastAsia="Arial" w:hAnsi="Arial"/>
          <w:b/>
          <w:bCs/>
          <w:color w:val="2E5FA3"/>
          <w:sz w:val="24"/>
          <w:szCs w:val="24"/>
        </w:rPr>
        <w:t xml:space="preserve">4.2 Stored Procedure: registrar_recorrido_completo</w:t>
      </w:r>
    </w:p>
    <w:p>
      <w:pPr>
        <w:spacing w:after="80" w:before="80"/>
        <w:jc w:val="both"/>
      </w:pPr>
      <w:r>
        <w:rPr>
          <w:rFonts w:ascii="Arial" w:cs="Arial" w:eastAsia="Arial" w:hAnsi="Arial"/>
          <w:color w:val="4A4A4A"/>
          <w:sz w:val="22"/>
          <w:szCs w:val="22"/>
        </w:rPr>
        <w:t xml:space="preserve">Procedimiento transaccional que encapsula la lógica completa de creación de un recorrido safari. Realiza validaciones previas, ejecuta dos operaciones DML y gestiona el COMMIT/ROLLBACK.</w:t>
      </w:r>
    </w:p>
    <w:p>
      <w:pPr>
        <w:spacing w:after="0" w:before="8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Parámetro</w:t>
            </w:r>
          </w:p>
        </w:tc>
        <w:tc>
          <w:tcPr>
            <w:tcW w:type="dxa" w:w="16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Modo</w:t>
            </w:r>
          </w:p>
        </w:tc>
        <w:tc>
          <w:tcPr>
            <w:tcW w:type="dxa" w:w="496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p_visitante_id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IN NUMBER</w:t>
            </w:r>
          </w:p>
        </w:tc>
        <w:tc>
          <w:tcPr>
            <w:tcW w:type="dxa" w:w="4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ID del visitante que solicita el recorrido</w:t>
            </w:r>
          </w:p>
        </w:tc>
      </w:tr>
      <w:tr>
        <w:tc>
          <w:tcPr>
            <w:tcW w:type="dxa" w:w="28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p_carrito_id</w:t>
            </w:r>
          </w:p>
        </w:tc>
        <w:tc>
          <w:tcPr>
            <w:tcW w:type="dxa" w:w="16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IN NUMBER</w:t>
            </w:r>
          </w:p>
        </w:tc>
        <w:tc>
          <w:tcPr>
            <w:tcW w:type="dxa" w:w="49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ID del carrito a asignar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p_guia_id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IN NUMBER</w:t>
            </w:r>
          </w:p>
        </w:tc>
        <w:tc>
          <w:tcPr>
            <w:tcW w:type="dxa" w:w="4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ID del guía asignado</w:t>
            </w:r>
          </w:p>
        </w:tc>
      </w:tr>
      <w:tr>
        <w:tc>
          <w:tcPr>
            <w:tcW w:type="dxa" w:w="28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p_num_personas</w:t>
            </w:r>
          </w:p>
        </w:tc>
        <w:tc>
          <w:tcPr>
            <w:tcW w:type="dxa" w:w="16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IN NUMBER</w:t>
            </w:r>
          </w:p>
        </w:tc>
        <w:tc>
          <w:tcPr>
            <w:tcW w:type="dxa" w:w="49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Cantidad de personas en el recorrido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p_precio_persona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IN NUMBER</w:t>
            </w:r>
          </w:p>
        </w:tc>
        <w:tc>
          <w:tcPr>
            <w:tcW w:type="dxa" w:w="4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Precio unitario por persona (COP)</w:t>
            </w:r>
          </w:p>
        </w:tc>
      </w:tr>
    </w:tbl>
    <w:p>
      <w:pPr>
        <w:spacing w:after="0" w:before="120"/>
      </w:pPr>
      <w:r>
        <w:t xml:space="preserve"/>
      </w:r>
    </w:p>
    <w:p>
      <w:pPr>
        <w:spacing w:after="80" w:before="80"/>
        <w:jc w:val="both"/>
      </w:pPr>
      <w:r>
        <w:rPr>
          <w:rFonts w:ascii="Arial" w:cs="Arial" w:eastAsia="Arial" w:hAnsi="Arial"/>
          <w:color w:val="4A4A4A"/>
          <w:sz w:val="22"/>
          <w:szCs w:val="22"/>
        </w:rPr>
        <w:t xml:space="preserve">Flujo de ejecución:</w:t>
      </w:r>
    </w:p>
    <w:p>
      <w:pPr>
        <w:pStyle w:val="ListParagraph"/>
        <w:numPr>
          <w:ilvl w:val="0"/>
          <w:numId w:val="2"/>
        </w:numPr>
        <w:spacing w:after="60" w:before="60"/>
      </w:pPr>
      <w:r>
        <w:rPr>
          <w:rFonts w:ascii="Arial" w:cs="Arial" w:eastAsia="Arial" w:hAnsi="Arial"/>
          <w:color w:val="4A4A4A"/>
          <w:sz w:val="22"/>
          <w:szCs w:val="22"/>
        </w:rPr>
        <w:t xml:space="preserve">Validaciones previas: recupera nombre del visitante, código/capacidad/estado del carrito y nombre del guía.</w:t>
      </w:r>
    </w:p>
    <w:p>
      <w:pPr>
        <w:pStyle w:val="ListParagraph"/>
        <w:numPr>
          <w:ilvl w:val="0"/>
          <w:numId w:val="2"/>
        </w:numPr>
        <w:spacing w:after="60" w:before="60"/>
      </w:pPr>
      <w:r>
        <w:rPr>
          <w:rFonts w:ascii="Arial" w:cs="Arial" w:eastAsia="Arial" w:hAnsi="Arial"/>
          <w:color w:val="4A4A4A"/>
          <w:sz w:val="22"/>
          <w:szCs w:val="22"/>
        </w:rPr>
        <w:t xml:space="preserve">DML 1: INSERT en recorrido con RETURNING INTO para capturar el ID generado automáticamente.</w:t>
      </w:r>
    </w:p>
    <w:p>
      <w:pPr>
        <w:pStyle w:val="ListParagraph"/>
        <w:numPr>
          <w:ilvl w:val="0"/>
          <w:numId w:val="2"/>
        </w:numPr>
        <w:spacing w:after="60" w:before="60"/>
      </w:pPr>
      <w:r>
        <w:rPr>
          <w:rFonts w:ascii="Arial" w:cs="Arial" w:eastAsia="Arial" w:hAnsi="Arial"/>
          <w:color w:val="4A4A4A"/>
          <w:sz w:val="22"/>
          <w:szCs w:val="22"/>
        </w:rPr>
        <w:t xml:space="preserve">DML 2: UPDATE en carrito para cambiar el estado a 'En uso'.</w:t>
      </w:r>
    </w:p>
    <w:p>
      <w:pPr>
        <w:pStyle w:val="ListParagraph"/>
        <w:numPr>
          <w:ilvl w:val="0"/>
          <w:numId w:val="2"/>
        </w:numPr>
        <w:spacing w:after="60" w:before="60"/>
      </w:pPr>
      <w:r>
        <w:rPr>
          <w:rFonts w:ascii="Arial" w:cs="Arial" w:eastAsia="Arial" w:hAnsi="Arial"/>
          <w:color w:val="4A4A4A"/>
          <w:sz w:val="22"/>
          <w:szCs w:val="22"/>
        </w:rPr>
        <w:t xml:space="preserve">COMMIT al final del camino exitoso; ROLLBACK en el bloque EXCEPTION (NO_DATA_FOUND y OTHERS).</w:t>
      </w:r>
    </w:p>
    <w:p>
      <w:pPr>
        <w:spacing w:after="0" w:before="80"/>
      </w:pPr>
      <w:r>
        <w:t xml:space="preserve"/>
      </w:r>
    </w:p>
    <w:p>
      <w:pPr>
        <w:spacing w:after="80" w:before="80"/>
        <w:jc w:val="both"/>
      </w:pPr>
      <w:r>
        <w:rPr>
          <w:rFonts w:ascii="Arial" w:cs="Arial" w:eastAsia="Arial" w:hAnsi="Arial"/>
          <w:color w:val="4A4A4A"/>
          <w:sz w:val="22"/>
          <w:szCs w:val="22"/>
        </w:rPr>
        <w:t xml:space="preserve">Casos de prueba del procedimiento: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360"/>
        <w:gridCol w:w="2800"/>
      </w:tblGrid>
      <w:tr>
        <w:trPr>
          <w:tblHeader/>
        </w:trPr>
        <w:tc>
          <w:tcPr>
            <w:tcW w:type="dxa" w:w="14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Prueba</w:t>
            </w:r>
          </w:p>
        </w:tc>
        <w:tc>
          <w:tcPr>
            <w:tcW w:type="dxa" w:w="28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Parámetros clave</w:t>
            </w:r>
          </w:p>
        </w:tc>
        <w:tc>
          <w:tcPr>
            <w:tcW w:type="dxa" w:w="236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Resultado</w:t>
            </w:r>
          </w:p>
        </w:tc>
        <w:tc>
          <w:tcPr>
            <w:tcW w:type="dxa" w:w="28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Mensaje esperado</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carrito=3, personas=3, precio=80000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ÉXITO</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Recorrido #N creado, carrito → En uso</w:t>
            </w:r>
          </w:p>
        </w:tc>
      </w:tr>
      <w:tr>
        <w:tc>
          <w:tcPr>
            <w:tcW w:type="dxa" w:w="14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#2</w:t>
            </w:r>
          </w:p>
        </w:tc>
        <w:tc>
          <w:tcPr>
            <w:tcW w:type="dxa" w:w="28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carrito=1 (En uso), personas=2</w:t>
            </w:r>
          </w:p>
        </w:tc>
        <w:tc>
          <w:tcPr>
            <w:tcW w:type="dxa" w:w="2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FALLO</w:t>
            </w:r>
          </w:p>
        </w:tc>
        <w:tc>
          <w:tcPr>
            <w:tcW w:type="dxa" w:w="28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ERROR: Carrito SAF-01 no disponible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carrito=3, personas=999</w:t>
            </w:r>
          </w:p>
        </w:tc>
        <w:tc>
          <w:tcPr>
            <w:tcW w:type="dxa" w:w="2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FALLO</w:t>
            </w:r>
          </w:p>
        </w:tc>
        <w:tc>
          <w:tcPr>
            <w:tcW w:type="dxa" w:w="2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ERROR: Capacidad excedida</w:t>
            </w:r>
          </w:p>
        </w:tc>
      </w:tr>
    </w:tbl>
    <w:p>
      <w:pPr>
        <w:pStyle w:val="Heading1"/>
        <w:pBdr>
          <w:bottom w:val="single" w:color="2E5FA3" w:sz="12" w:space="4"/>
        </w:pBdr>
        <w:spacing w:after="160" w:before="360"/>
      </w:pPr>
      <w:r>
        <w:rPr>
          <w:rFonts w:ascii="Arial" w:cs="Arial" w:eastAsia="Arial" w:hAnsi="Arial"/>
          <w:b/>
          <w:bCs/>
          <w:color w:val="1B3A6B"/>
          <w:sz w:val="28"/>
          <w:szCs w:val="28"/>
        </w:rPr>
        <w:t xml:space="preserve">5. Componente D — Vistas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Vista</w:t>
            </w:r>
          </w:p>
        </w:tc>
        <w:tc>
          <w:tcPr>
            <w:tcW w:type="dxa" w:w="296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30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Propósito</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v_ficha_publica_animal</w:t>
            </w:r>
          </w:p>
        </w:tc>
        <w:tc>
          <w:tcPr>
            <w:tcW w:type="dxa" w:w="29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Seguridad / privacidad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Oculta procedencia, IDs y fecha de nacimiento; filtra animales Fallecido</w:t>
            </w:r>
          </w:p>
        </w:tc>
      </w:tr>
      <w:tr>
        <w:tc>
          <w:tcPr>
            <w:tcW w:type="dxa" w:w="34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v_reporte_recorridos_por_guia</w:t>
            </w:r>
          </w:p>
        </w:tc>
        <w:tc>
          <w:tcPr>
            <w:tcW w:type="dxa" w:w="29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Reporte analítico</w:t>
            </w:r>
          </w:p>
        </w:tc>
        <w:tc>
          <w:tcPr>
            <w:tcW w:type="dxa" w:w="3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JOIN de 4 tablas; SUM, COUNT, AVG, MAX; responde qué guía genera más ingresos</w:t>
            </w:r>
          </w:p>
        </w:tc>
      </w:tr>
    </w:tbl>
    <w:p>
      <w:pPr>
        <w:spacing w:after="0" w:before="200"/>
      </w:pPr>
      <w:r>
        <w:t xml:space="preserve"/>
      </w:r>
    </w:p>
    <w:p>
      <w:pPr>
        <w:pStyle w:val="Heading2"/>
        <w:spacing w:after="120" w:before="280"/>
      </w:pPr>
      <w:r>
        <w:rPr>
          <w:rFonts w:ascii="Arial" w:cs="Arial" w:eastAsia="Arial" w:hAnsi="Arial"/>
          <w:b/>
          <w:bCs/>
          <w:color w:val="2E5FA3"/>
          <w:sz w:val="24"/>
          <w:szCs w:val="24"/>
        </w:rPr>
        <w:t xml:space="preserve">5.1 v_ficha_publica_animal</w:t>
      </w:r>
    </w:p>
    <w:p>
      <w:pPr>
        <w:spacing w:after="80" w:before="80"/>
        <w:jc w:val="both"/>
      </w:pPr>
      <w:r>
        <w:rPr>
          <w:rFonts w:ascii="Arial" w:cs="Arial" w:eastAsia="Arial" w:hAnsi="Arial"/>
          <w:color w:val="4A4A4A"/>
          <w:sz w:val="22"/>
          <w:szCs w:val="22"/>
        </w:rPr>
        <w:t xml:space="preserve">Vista de seguridad diseñada para la consulta pública del catálogo de animales. Expone únicamente la información necesaria para los visitantes, ocultando datos sensibles de gestión interna.</w:t>
      </w:r>
    </w:p>
    <w:p>
      <w:pPr>
        <w:spacing w:after="0" w:before="80"/>
      </w:pPr>
      <w:r>
        <w:t xml:space="preserve"/>
      </w:r>
    </w:p>
    <w:p>
      <w:pPr>
        <w:spacing w:after="80" w:before="80"/>
        <w:jc w:val="both"/>
      </w:pPr>
      <w:r>
        <w:rPr>
          <w:rFonts w:ascii="Arial" w:cs="Arial" w:eastAsia="Arial" w:hAnsi="Arial"/>
          <w:color w:val="4A4A4A"/>
          <w:sz w:val="22"/>
          <w:szCs w:val="22"/>
        </w:rPr>
        <w:t xml:space="preserve">Columnas expuestas: nombre del animal, edad calculada (TRUNC(MONTHS_BETWEEN / 12)), nombre de la especie, tipo de dieta, estado de conservación IUCN, zona del parque y estado de salud.</w:t>
      </w:r>
    </w:p>
    <w:p>
      <w:pPr>
        <w:spacing w:after="0" w:before="60"/>
      </w:pPr>
      <w:r>
        <w:t xml:space="preserve"/>
      </w:r>
    </w:p>
    <w:p>
      <w:pPr>
        <w:spacing w:after="80" w:before="80"/>
        <w:jc w:val="both"/>
      </w:pPr>
      <w:r>
        <w:rPr>
          <w:rFonts w:ascii="Arial" w:cs="Arial" w:eastAsia="Arial" w:hAnsi="Arial"/>
          <w:color w:val="4A4A4A"/>
          <w:sz w:val="22"/>
          <w:szCs w:val="22"/>
        </w:rPr>
        <w:t xml:space="preserve">Columnas ocultadas: procedencia, id_especie, id_zona, fecha_nacimiento.</w:t>
      </w:r>
    </w:p>
    <w:p>
      <w:pPr>
        <w:spacing w:after="0" w:before="60"/>
      </w:pPr>
      <w:r>
        <w:t xml:space="preserve"/>
      </w:r>
    </w:p>
    <w:p>
      <w:pPr>
        <w:spacing w:after="80" w:before="80"/>
        <w:jc w:val="both"/>
      </w:pPr>
      <w:r>
        <w:rPr>
          <w:rFonts w:ascii="Arial" w:cs="Arial" w:eastAsia="Arial" w:hAnsi="Arial"/>
          <w:color w:val="4A4A4A"/>
          <w:sz w:val="22"/>
          <w:szCs w:val="22"/>
        </w:rPr>
        <w:t xml:space="preserve">Filtro aplicado: WHERE a.estado != 'Fallecido' — los animales fallecidos no aparecen en la ficha pública.</w:t>
      </w:r>
    </w:p>
    <w:p>
      <w:pPr>
        <w:spacing w:after="0" w:before="200"/>
      </w:pPr>
      <w:r>
        <w:t xml:space="preserve"/>
      </w:r>
    </w:p>
    <w:p>
      <w:pPr>
        <w:pStyle w:val="Heading2"/>
        <w:spacing w:after="120" w:before="280"/>
      </w:pPr>
      <w:r>
        <w:rPr>
          <w:rFonts w:ascii="Arial" w:cs="Arial" w:eastAsia="Arial" w:hAnsi="Arial"/>
          <w:b/>
          <w:bCs/>
          <w:color w:val="2E5FA3"/>
          <w:sz w:val="24"/>
          <w:szCs w:val="24"/>
        </w:rPr>
        <w:t xml:space="preserve">5.2 v_reporte_recorridos_por_guia</w:t>
      </w:r>
    </w:p>
    <w:p>
      <w:pPr>
        <w:spacing w:after="80" w:before="80"/>
        <w:jc w:val="both"/>
      </w:pPr>
      <w:r>
        <w:rPr>
          <w:rFonts w:ascii="Arial" w:cs="Arial" w:eastAsia="Arial" w:hAnsi="Arial"/>
          <w:color w:val="4A4A4A"/>
          <w:sz w:val="22"/>
          <w:szCs w:val="22"/>
        </w:rPr>
        <w:t xml:space="preserve">Vista analítica que permite a la gerencia evaluar el rendimiento económico y operativo de cada guía. Responde la pregunta de negocio: ¿qué guía genera más ingresos?</w:t>
      </w:r>
    </w:p>
    <w:p>
      <w:pPr>
        <w:spacing w:after="0" w:before="80"/>
      </w:pPr>
      <w:r>
        <w:t xml:space="preserve"/>
      </w:r>
    </w:p>
    <w:p>
      <w:pPr>
        <w:spacing w:after="80" w:before="80"/>
        <w:jc w:val="both"/>
      </w:pPr>
      <w:r>
        <w:rPr>
          <w:rFonts w:ascii="Arial" w:cs="Arial" w:eastAsia="Arial" w:hAnsi="Arial"/>
          <w:color w:val="4A4A4A"/>
          <w:sz w:val="22"/>
          <w:szCs w:val="22"/>
        </w:rPr>
        <w:t xml:space="preserve">Tablas involucradas: guia (g) → recorrido (r) → avistamiento (a), con LEFT JOIN para incluir guías sin avistamientos registrados.</w:t>
      </w:r>
    </w:p>
    <w:p>
      <w:pPr>
        <w:spacing w:after="0" w:before="60"/>
      </w:pPr>
      <w:r>
        <w:t xml:space="preserve"/>
      </w:r>
    </w:p>
    <w:p>
      <w:pPr>
        <w:spacing w:after="80" w:before="80"/>
        <w:jc w:val="both"/>
      </w:pPr>
      <w:r>
        <w:rPr>
          <w:rFonts w:ascii="Arial" w:cs="Arial" w:eastAsia="Arial" w:hAnsi="Arial"/>
          <w:color w:val="4A4A4A"/>
          <w:sz w:val="22"/>
          <w:szCs w:val="22"/>
        </w:rPr>
        <w:t xml:space="preserve">Métricas calculadas por guía: total de recorridos (COUNT DISTINCT), total de ingresos generados (SUM total_pagado), personas atendidas (SUM num_personas), promedio de personas por recorrido (AVG num_personas), máximo ingreso en un recorrido (MAX total_pagado) y total de avistamientos registrados (COUNT avistamiento).</w:t>
      </w:r>
    </w:p>
    <w:p>
      <w:pPr>
        <w:pStyle w:val="Heading1"/>
        <w:pBdr>
          <w:bottom w:val="single" w:color="2E5FA3" w:sz="12" w:space="4"/>
        </w:pBdr>
        <w:spacing w:after="160" w:before="360"/>
      </w:pPr>
      <w:r>
        <w:rPr>
          <w:rFonts w:ascii="Arial" w:cs="Arial" w:eastAsia="Arial" w:hAnsi="Arial"/>
          <w:b/>
          <w:bCs/>
          <w:color w:val="1B3A6B"/>
          <w:sz w:val="28"/>
          <w:szCs w:val="28"/>
        </w:rPr>
        <w:t xml:space="preserve">6. Instrucciones de Ejecución</w:t>
      </w:r>
    </w:p>
    <w:p>
      <w:pPr>
        <w:spacing w:after="80" w:before="80"/>
        <w:jc w:val="both"/>
      </w:pPr>
      <w:r>
        <w:rPr>
          <w:rFonts w:ascii="Arial" w:cs="Arial" w:eastAsia="Arial" w:hAnsi="Arial"/>
          <w:color w:val="4A4A4A"/>
          <w:sz w:val="22"/>
          <w:szCs w:val="22"/>
        </w:rPr>
        <w:t xml:space="preserve">El proyecto se entrega como un único archivo SQL autoejectable. Siga estos pasos para ejecutarlo:</w:t>
      </w:r>
    </w:p>
    <w:p>
      <w:pPr>
        <w:spacing w:after="0" w:before="80"/>
      </w:pPr>
      <w:r>
        <w:t xml:space="preserve"/>
      </w:r>
    </w:p>
    <w:p>
      <w:pPr>
        <w:pStyle w:val="ListParagraph"/>
        <w:numPr>
          <w:ilvl w:val="0"/>
          <w:numId w:val="2"/>
        </w:numPr>
        <w:spacing w:after="60" w:before="60"/>
      </w:pPr>
      <w:r>
        <w:rPr>
          <w:rFonts w:ascii="Arial" w:cs="Arial" w:eastAsia="Arial" w:hAnsi="Arial"/>
          <w:color w:val="4A4A4A"/>
          <w:sz w:val="22"/>
          <w:szCs w:val="22"/>
        </w:rPr>
        <w:t xml:space="preserve">Ingresar a Oracle Live SQL en https://livesql.oracle.com o FreeSQL.</w:t>
      </w:r>
    </w:p>
    <w:p>
      <w:pPr>
        <w:pStyle w:val="ListParagraph"/>
        <w:numPr>
          <w:ilvl w:val="0"/>
          <w:numId w:val="2"/>
        </w:numPr>
        <w:spacing w:after="60" w:before="60"/>
      </w:pPr>
      <w:r>
        <w:rPr>
          <w:rFonts w:ascii="Arial" w:cs="Arial" w:eastAsia="Arial" w:hAnsi="Arial"/>
          <w:color w:val="4A4A4A"/>
          <w:sz w:val="22"/>
          <w:szCs w:val="22"/>
        </w:rPr>
        <w:t xml:space="preserve">Abrir una hoja de trabajo nueva (New Worksheet).</w:t>
      </w:r>
    </w:p>
    <w:p>
      <w:pPr>
        <w:pStyle w:val="ListParagraph"/>
        <w:numPr>
          <w:ilvl w:val="0"/>
          <w:numId w:val="2"/>
        </w:numPr>
        <w:spacing w:after="60" w:before="60"/>
      </w:pPr>
      <w:r>
        <w:rPr>
          <w:rFonts w:ascii="Arial" w:cs="Arial" w:eastAsia="Arial" w:hAnsi="Arial"/>
          <w:color w:val="4A4A4A"/>
          <w:sz w:val="22"/>
          <w:szCs w:val="22"/>
        </w:rPr>
        <w:t xml:space="preserve">Copiar y pegar el contenido completo de proyecto_final_zoosafari_pacanchique_melo_molina.sql</w:t>
      </w:r>
    </w:p>
    <w:p>
      <w:pPr>
        <w:pStyle w:val="ListParagraph"/>
        <w:numPr>
          <w:ilvl w:val="0"/>
          <w:numId w:val="2"/>
        </w:numPr>
        <w:spacing w:after="60" w:before="60"/>
      </w:pPr>
      <w:r>
        <w:rPr>
          <w:rFonts w:ascii="Arial" w:cs="Arial" w:eastAsia="Arial" w:hAnsi="Arial"/>
          <w:color w:val="4A4A4A"/>
          <w:sz w:val="22"/>
          <w:szCs w:val="22"/>
        </w:rPr>
        <w:t xml:space="preserve">Ejecutar con la opción Run Script (F5) para que Oracle procese todos los bloques PL/SQL.</w:t>
      </w:r>
    </w:p>
    <w:p>
      <w:pPr>
        <w:pStyle w:val="ListParagraph"/>
        <w:numPr>
          <w:ilvl w:val="0"/>
          <w:numId w:val="2"/>
        </w:numPr>
        <w:spacing w:after="60" w:before="60"/>
      </w:pPr>
      <w:r>
        <w:rPr>
          <w:rFonts w:ascii="Arial" w:cs="Arial" w:eastAsia="Arial" w:hAnsi="Arial"/>
          <w:color w:val="4A4A4A"/>
          <w:sz w:val="22"/>
          <w:szCs w:val="22"/>
        </w:rPr>
        <w:t xml:space="preserve">Verificar en la pestaña DBMS Output que todos los mensajes de prueba sean OK.</w:t>
      </w:r>
    </w:p>
    <w:p>
      <w:pPr>
        <w:spacing w:after="0" w:before="120"/>
      </w:pPr>
      <w:r>
        <w:t xml:space="preserve"/>
      </w:r>
    </w:p>
    <w:p>
      <w:pPr>
        <w:spacing w:after="80" w:before="80"/>
        <w:jc w:val="both"/>
      </w:pPr>
      <w:r>
        <w:rPr>
          <w:rFonts w:ascii="Arial" w:cs="Arial" w:eastAsia="Arial" w:hAnsi="Arial"/>
          <w:color w:val="4A4A4A"/>
          <w:sz w:val="22"/>
          <w:szCs w:val="22"/>
        </w:rPr>
        <w:t xml:space="preserve">Verificación final — debe devolver 0 filas:</w:t>
      </w:r>
    </w:p>
    <w:p>
      <w:pPr>
        <w:spacing w:after="0" w:before="40"/>
      </w:pPr>
      <w:r>
        <w:t xml:space="preserve"/>
      </w:r>
    </w:p>
    <w:p>
      <w:pPr>
        <w:shd w:fill="F0F0F0" w:val="clear"/>
        <w:spacing w:after="60" w:before="60"/>
        <w:ind w:left="720"/>
      </w:pPr>
      <w:r>
        <w:rPr>
          <w:rFonts w:ascii="Courier New" w:cs="Courier New" w:eastAsia="Courier New" w:hAnsi="Courier New"/>
          <w:color w:val="333333"/>
          <w:sz w:val="18"/>
          <w:szCs w:val="18"/>
        </w:rPr>
        <w:t xml:space="preserve">SELECT object_name, object_type, status</w:t>
      </w:r>
    </w:p>
    <w:p>
      <w:pPr>
        <w:shd w:fill="F0F0F0" w:val="clear"/>
        <w:spacing w:after="60" w:before="60"/>
        <w:ind w:left="720"/>
      </w:pPr>
      <w:r>
        <w:rPr>
          <w:rFonts w:ascii="Courier New" w:cs="Courier New" w:eastAsia="Courier New" w:hAnsi="Courier New"/>
          <w:color w:val="333333"/>
          <w:sz w:val="18"/>
          <w:szCs w:val="18"/>
        </w:rPr>
        <w:t xml:space="preserve">FROM   user_objects</w:t>
      </w:r>
    </w:p>
    <w:p>
      <w:pPr>
        <w:shd w:fill="F0F0F0" w:val="clear"/>
        <w:spacing w:after="60" w:before="60"/>
        <w:ind w:left="720"/>
      </w:pPr>
      <w:r>
        <w:rPr>
          <w:rFonts w:ascii="Courier New" w:cs="Courier New" w:eastAsia="Courier New" w:hAnsi="Courier New"/>
          <w:color w:val="333333"/>
          <w:sz w:val="18"/>
          <w:szCs w:val="18"/>
        </w:rPr>
        <w:t xml:space="preserve">WHERE  object_type IN ('TABLE','TRIGGER','PROCEDURE','VIEW')</w:t>
      </w:r>
    </w:p>
    <w:p>
      <w:pPr>
        <w:shd w:fill="F0F0F0" w:val="clear"/>
        <w:spacing w:after="60" w:before="60"/>
        <w:ind w:left="720"/>
      </w:pPr>
      <w:r>
        <w:rPr>
          <w:rFonts w:ascii="Courier New" w:cs="Courier New" w:eastAsia="Courier New" w:hAnsi="Courier New"/>
          <w:color w:val="333333"/>
          <w:sz w:val="18"/>
          <w:szCs w:val="18"/>
        </w:rPr>
        <w:t xml:space="preserve">AND    status = 'INVALID';</w:t>
      </w:r>
    </w:p>
    <w:p>
      <w:pPr>
        <w:pStyle w:val="Heading1"/>
        <w:pBdr>
          <w:bottom w:val="single" w:color="2E5FA3" w:sz="12" w:space="4"/>
        </w:pBdr>
        <w:spacing w:after="160" w:before="360"/>
      </w:pPr>
      <w:r>
        <w:rPr>
          <w:rFonts w:ascii="Arial" w:cs="Arial" w:eastAsia="Arial" w:hAnsi="Arial"/>
          <w:b/>
          <w:bCs/>
          <w:color w:val="1B3A6B"/>
          <w:sz w:val="28"/>
          <w:szCs w:val="28"/>
        </w:rPr>
        <w:t xml:space="preserve">7. Autoevaluación</w:t>
      </w:r>
    </w:p>
    <w:p>
      <w:pPr>
        <w:spacing w:after="80" w:before="80"/>
        <w:jc w:val="both"/>
      </w:pPr>
      <w:r>
        <w:rPr>
          <w:rFonts w:ascii="Arial" w:cs="Arial" w:eastAsia="Arial" w:hAnsi="Arial"/>
          <w:color w:val="4A4A4A"/>
          <w:sz w:val="22"/>
          <w:szCs w:val="22"/>
        </w:rPr>
        <w:t xml:space="preserve">Todos los criterios de la rúbrica del proyecto han sido implementados y verificados: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rPr>
          <w:tblHeader/>
        </w:trPr>
        <w:tc>
          <w:tcPr>
            <w:tcW w:type="dxa" w:w="736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Criterio</w:t>
            </w:r>
          </w:p>
        </w:tc>
        <w:tc>
          <w:tcPr>
            <w:tcW w:type="dxa" w:w="10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Estado</w:t>
            </w:r>
          </w:p>
        </w:tc>
        <w:tc>
          <w:tcPr>
            <w:tcW w:type="dxa" w:w="1000"/>
            <w:tcBorders>
              <w:top w:val="single" w:color="2E5FA3" w:sz="1"/>
              <w:left w:val="single" w:color="2E5FA3" w:sz="1"/>
              <w:bottom w:val="single" w:color="2E5FA3" w:sz="1"/>
              <w:right w:val="single" w:color="2E5FA3"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Pts.</w:t>
            </w:r>
          </w:p>
        </w:tc>
      </w:tr>
      <w:tr>
        <w:tc>
          <w:tcPr>
            <w:tcW w:type="dxa" w:w="7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9 tablas con FK y CHECK constraints</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DDL</w:t>
            </w:r>
          </w:p>
        </w:tc>
      </w:tr>
      <w:tr>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Script de limpieza DROP seguro con CASCADE CONSTRAINTS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DDL</w:t>
            </w:r>
          </w:p>
        </w:tc>
      </w:tr>
      <w:tr>
        <w:tc>
          <w:tcPr>
            <w:tcW w:type="dxa" w:w="7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Mínimo 10 filas por tabla principal</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DDL</w:t>
            </w:r>
          </w:p>
        </w:tc>
      </w:tr>
      <w:tr>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Bloque NOWAIT con PRAGMA EXCEPTION_INIT(-54)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ACID</w:t>
            </w:r>
          </w:p>
        </w:tc>
      </w:tr>
      <w:tr>
        <w:tc>
          <w:tcPr>
            <w:tcW w:type="dxa" w:w="7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Bloque WAIT con PRAGMA EXCEPTION_INIT(-30006)</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ACID</w:t>
            </w:r>
          </w:p>
        </w:tc>
      </w:tr>
      <w:tr>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COMMIT y ROLLBACK en cada escenario ACID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ACID</w:t>
            </w:r>
          </w:p>
        </w:tc>
      </w:tr>
      <w:tr>
        <w:tc>
          <w:tcPr>
            <w:tcW w:type="dxa" w:w="7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Trigger BEFORE INSERT con :NEW y RAISE_APPLICATION_ERROR</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PL/SQL</w:t>
            </w:r>
          </w:p>
        </w:tc>
      </w:tr>
      <w:tr>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Pruebas del trigger: caso OK y caso fallo</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PL/SQL</w:t>
            </w:r>
          </w:p>
        </w:tc>
      </w:tr>
      <w:tr>
        <w:tc>
          <w:tcPr>
            <w:tcW w:type="dxa" w:w="7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Stored Procedure con 2+ DMLs y EXCEPTION con ROLLBACK</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PL/SQL</w:t>
            </w:r>
          </w:p>
        </w:tc>
      </w:tr>
      <w:tr>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Vista de seguridad sin columnas sensibles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Vistas</w:t>
            </w:r>
          </w:p>
        </w:tc>
      </w:tr>
      <w:tr>
        <w:tc>
          <w:tcPr>
            <w:tcW w:type="dxa" w:w="736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Vista de reporte con JOIN + GROUP BY + SUM/COUNT</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EEF4FC" w:val="clear"/>
            <w:tcMar>
              <w:top w:type="dxa" w:w="80"/>
              <w:left w:type="dxa" w:w="150"/>
              <w:bottom w:type="dxa" w:w="80"/>
              <w:right w:type="dxa" w:w="150"/>
            </w:tcMar>
          </w:tcPr>
          <w:p>
            <w:r>
              <w:rPr>
                <w:rFonts w:ascii="Arial" w:cs="Arial" w:eastAsia="Arial" w:hAnsi="Arial"/>
                <w:color w:val="4A4A4A"/>
                <w:sz w:val="20"/>
                <w:szCs w:val="20"/>
              </w:rPr>
              <w:t xml:space="preserve">Vistas</w:t>
            </w:r>
          </w:p>
        </w:tc>
      </w:tr>
      <w:tr>
        <w:tc>
          <w:tcPr>
            <w:tcW w:type="dxa" w:w="7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Archivo .sql único autoejectable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color w:val="4A4A4A"/>
                <w:sz w:val="20"/>
                <w:szCs w:val="20"/>
              </w:rPr>
              <w:t xml:space="preserve">Trans.</w:t>
            </w:r>
          </w:p>
        </w:tc>
      </w:tr>
    </w:tbl>
    <w:p>
      <w:pPr>
        <w:spacing w:after="0" w:before="300"/>
      </w:pPr>
      <w:r>
        <w:t xml:space="preserve"/>
      </w:r>
    </w:p>
    <w:p>
      <w:pPr>
        <w:pBdr>
          <w:top w:val="single" w:color="2E5FA3" w:sz="6" w:space="6"/>
        </w:pBdr>
        <w:spacing w:after="0" w:before="200"/>
        <w:jc w:val="center"/>
      </w:pPr>
      <w:r>
        <w:rPr>
          <w:rFonts w:ascii="Arial" w:cs="Arial" w:eastAsia="Arial" w:hAnsi="Arial"/>
          <w:i/>
          <w:iCs/>
          <w:color w:val="888888"/>
          <w:sz w:val="18"/>
          <w:szCs w:val="18"/>
        </w:rPr>
        <w:t xml:space="preserve">Proyecto desarrollado para la asignatura Bases de Datos Avanzadas · Junio 2025  |  ZOO SAFARI S.A.S.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2"/>
      </w:pBdr>
      <w:spacing w:after="0" w:before="80"/>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spacing w:after="100" w:before="0"/>
    </w:pPr>
    <w:r>
      <w:rPr>
        <w:rFonts w:ascii="Arial" w:cs="Arial" w:eastAsia="Arial" w:hAnsi="Arial"/>
        <w:color w:val="888888"/>
        <w:sz w:val="18"/>
        <w:szCs w:val="18"/>
      </w:rPr>
      <w:t xml:space="preserve">ZOO SAFARI S.A.S.  —  Informe Proyecto Final · Bases de Datos Avanzadas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2026-06-05T13:27:12.340Z</dcterms:created>
  <dcterms:modified xsi:type="dcterms:W3CDTF">2026-06-05T13:27:12.340Z</dcterms:modified>
</cp:coreProperties>
</file>

<file path=docProps/custom.xml><?xml version="1.0" encoding="utf-8"?>
<Properties xmlns="http://schemas.openxmlformats.org/officeDocument/2006/custom-properties" xmlns:vt="http://schemas.openxmlformats.org/officeDocument/2006/docPropsVTypes"/>
</file>