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Day6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joining tables, It’s better for the tables to be in different file groups as hard disk reads sequentially if they are located together but diff locations leads to parallel read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store derived col on harddisk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true on (is persisted) from col properties, computed col specification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 sparse in col properties,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yes,it don’t use space on hard-disk for nulls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auto val is no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updating or deleting some col related to fk in other table, we used to first delete or update related first, we can go to relation properties and set delete and update rules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null puts null on related fk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Cascade does the same operation on fk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default puts def val previously declared in fk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Alter schema [schemaName] transfer [tableName]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transfer table into other schema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Permit user to insert into schema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server properties/security/mixed mode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restart server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security of server from object explorer/new login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security of database from object explorer/new user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double click on schema/permissions/search/browse/add user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grant or deny as required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synonym [synonym name] for [object]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constraint___________VS____________rule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tableLvl_______________________databaseLvl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specific___________________________shared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old&amp;newData_________________newDataOnly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canCreateManyOn1Col_______oneRuleOn1Col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rule [ruleName] as [rule]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sp_bindrule—sp_unbindrule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default [defName] as [def]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sp_bindefault—sp_unbindedefault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Creating data type can be binded with rule or default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sp_addtype [typeName], ‘int,varchar,[dataType]’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 is checked b4 rule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 (AGG,having,U_fam)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Grouping by 2 cols will make sense like cross join but grouped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 ——&gt; gets all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———&gt; gets elements distinct and ordered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 ——&gt; gets outputs occurs in both queries then does distinct and ordering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———&gt; gets outputs that occurs in the first and not in second then distinct and order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