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Advanced Egyptian License Plate</w:t>
      </w:r>
    </w:p>
    <w:p>
      <w:pPr>
        <w:spacing w:after="60" w:before="60"/>
        <w:jc w:val="center"/>
      </w:pPr>
      <w:r>
        <w:rPr>
          <w:rFonts w:ascii="Arial" w:cs="Arial" w:eastAsia="Arial" w:hAnsi="Arial"/>
          <w:b/>
          <w:bCs/>
          <w:color w:val="1F3864"/>
          <w:sz w:val="52"/>
          <w:szCs w:val="52"/>
        </w:rPr>
        <w:t xml:space="preserve">Recognition System</w:t>
      </w:r>
    </w:p>
    <w:p>
      <w:pPr>
        <w:pBdr>
          <w:top w:val="single" w:color="2E5090" w:sz="8" w:space="4"/>
          <w:bottom w:val="single" w:color="2E5090" w:sz="8" w:space="4"/>
        </w:pBdr>
        <w:spacing w:after="200" w:before="200"/>
        <w:jc w:val="center"/>
      </w:pPr>
      <w:r>
        <w:rPr>
          <w:rFonts w:ascii="Arial" w:cs="Arial" w:eastAsia="Arial" w:hAnsi="Arial"/>
          <w:b/>
          <w:bCs/>
          <w:color w:val="2E5090"/>
          <w:sz w:val="28"/>
          <w:szCs w:val="28"/>
        </w:rPr>
        <w:t xml:space="preserve">via YOLOv8 and EfficientNet-B0 Hybrid Pipeline</w:t>
      </w:r>
    </w:p>
    <w:p>
      <w:pPr>
        <w:spacing w:after="80" w:before="80"/>
      </w:pPr>
      <w:r>
        <w:t xml:space="preserve"/>
      </w:r>
    </w:p>
    <w:p>
      <w:pPr>
        <w:spacing w:after="60" w:before="120"/>
        <w:jc w:val="center"/>
      </w:pPr>
      <w:r>
        <w:rPr>
          <w:rFonts w:ascii="Arial" w:cs="Arial" w:eastAsia="Arial" w:hAnsi="Arial"/>
          <w:b/>
          <w:bCs/>
          <w:color w:val="1F3864"/>
          <w:sz w:val="24"/>
          <w:szCs w:val="24"/>
        </w:rPr>
        <w:t xml:space="preserve">Authors: [Student Name 1]  |  [Student Name 2]  |  [Student Name 3]</w:t>
      </w:r>
    </w:p>
    <w:p>
      <w:pPr>
        <w:spacing w:after="60" w:before="60"/>
        <w:jc w:val="center"/>
      </w:pPr>
      <w:r>
        <w:rPr>
          <w:rFonts w:ascii="Arial" w:cs="Arial" w:eastAsia="Arial" w:hAnsi="Arial"/>
          <w:color w:val="555555"/>
          <w:sz w:val="22"/>
          <w:szCs w:val="22"/>
        </w:rPr>
        <w:t xml:space="preserve">Digital Image Processing — Spring Term 2026</w:t>
      </w:r>
    </w:p>
    <w:p>
      <w:pPr>
        <w:spacing w:after="60" w:before="60"/>
        <w:jc w:val="center"/>
      </w:pPr>
      <w:r>
        <w:rPr>
          <w:rFonts w:ascii="Arial" w:cs="Arial" w:eastAsia="Arial" w:hAnsi="Arial"/>
          <w:color w:val="555555"/>
          <w:sz w:val="22"/>
          <w:szCs w:val="22"/>
        </w:rPr>
        <w:t xml:space="preserve">Supervisor: [Supervisor Name]</w:t>
      </w:r>
    </w:p>
    <w:p>
      <w:pPr>
        <w:spacing w:after="80" w:before="80"/>
      </w:pPr>
      <w:r>
        <w:t xml:space="preserve"/>
      </w:r>
    </w:p>
    <w:p>
      <w:pPr>
        <w:spacing w:after="80" w:before="80"/>
      </w:pPr>
      <w:r>
        <w:t xml:space="preserve"/>
      </w:r>
    </w:p>
    <w:p>
      <w:pPr>
        <w:spacing w:after="80" w:before="80"/>
      </w:pPr>
      <w:r>
        <w:t xml:space="preserve"/>
      </w:r>
    </w:p>
    <w:p>
      <w:pPr>
        <w:pStyle w:val="Heading1"/>
        <w:spacing w:after="160" w:before="360"/>
      </w:pPr>
      <w:r>
        <w:rPr>
          <w:rFonts w:ascii="Arial" w:cs="Arial" w:eastAsia="Arial" w:hAnsi="Arial"/>
          <w:b/>
          <w:bCs/>
          <w:color w:val="1F3864"/>
          <w:sz w:val="32"/>
          <w:szCs w:val="32"/>
        </w:rPr>
        <w:t xml:space="preserve">Abstract</w:t>
      </w:r>
    </w:p>
    <w:p>
      <w:pPr>
        <w:pBdr>
          <w:bottom w:val="single" w:color="2E5090" w:sz="6" w:space="1"/>
        </w:pBdr>
        <w:spacing w:after="120" w:before="120"/>
      </w:pPr>
      <w:r>
        <w:t xml:space="preserve"/>
      </w:r>
    </w:p>
    <w:p>
      <w:pPr>
        <w:spacing w:after="80" w:before="80" w:line="360"/>
        <w:jc w:val="both"/>
      </w:pPr>
      <w:r>
        <w:rPr>
          <w:rFonts w:ascii="Arial" w:cs="Arial" w:eastAsia="Arial" w:hAnsi="Arial"/>
          <w:sz w:val="22"/>
          <w:szCs w:val="22"/>
        </w:rPr>
        <w:t xml:space="preserve">Egyptian License Plate Recognition (ELPR) presents unique challenges due to the variety of plate formats, the bilingual nature of Arabic and Latin characters, and significant environmental variability including glare, low resolution, and motion blur. This research proposes a robust multi-stage deep learning pipeline achieving high accuracy under real-world conditions. The methodology integrates YOLOv8 for high-speed license plate detection and EfficientNet-B0 for precision character classification, supplemented by handcrafted feature engineering using Local Binary Patterns (LBP) and Gray-Level Co-occurrence Matrix (GLCM) descriptors.</w:t>
      </w:r>
    </w:p>
    <w:p>
      <w:pPr>
        <w:spacing w:after="80" w:before="80"/>
      </w:pPr>
      <w:r>
        <w:t xml:space="preserve"/>
      </w:r>
    </w:p>
    <w:p>
      <w:pPr>
        <w:spacing w:after="80" w:before="80" w:line="360"/>
        <w:jc w:val="both"/>
      </w:pPr>
      <w:r>
        <w:rPr>
          <w:rFonts w:ascii="Arial" w:cs="Arial" w:eastAsia="Arial" w:hAnsi="Arial"/>
          <w:sz w:val="22"/>
          <w:szCs w:val="22"/>
        </w:rPr>
        <w:t xml:space="preserve">To address the prevalent glare problem identified on Egyptian roads, advanced preprocessing using CLAHE and adaptive Gamma Correction was implemented. A Decision-Level Feature Fusion strategy merges deep CNN features with geometric bounding box properties and handcrafted texture descriptors, while Global Average Pooling (GAP) provides intrinsic feature reduction from 62,720 to 1,280 dimensions without accuracy loss. Test-Time Augmentation (TTA) with hard voting further improves recognition robustness.</w:t>
      </w:r>
    </w:p>
    <w:p>
      <w:pPr>
        <w:spacing w:after="80" w:before="80"/>
      </w:pPr>
      <w:r>
        <w:t xml:space="preserve"/>
      </w:r>
    </w:p>
    <w:p>
      <w:pPr>
        <w:spacing w:after="80" w:before="80" w:line="360"/>
        <w:jc w:val="both"/>
      </w:pPr>
      <w:r>
        <w:rPr>
          <w:rFonts w:ascii="Arial" w:cs="Arial" w:eastAsia="Arial" w:hAnsi="Arial"/>
          <w:sz w:val="22"/>
          <w:szCs w:val="22"/>
        </w:rPr>
        <w:t xml:space="preserve">The system was evaluated on the EALPR dataset (4,065 images). EfficientNet-B0 achieved 99.2% accuracy, outperforming VGG16 (91.2%), VGG19 (92.7%), ResNet50 (95.8%), and ResNet101 (96.4%). Feature fusion with LBP and GLCM improved standalone EfficientNet accuracy from 97.8% to 99.2%. Among classical ML classifiers, Random Forest achieved 95.1% accuracy, outperforming SVM (93.4%), KNN (88.7%), and Decision Trees (87.6%). The proposed pipeline achieves an AUC-ROC of 0.997 and a Kappa coefficient of 0.989, establishing a new state-of-the-art benchmark for Egyptian ALPR systems.</w:t>
      </w:r>
    </w:p>
    <w:p>
      <w:pPr>
        <w:spacing w:after="80" w:before="80"/>
      </w:pPr>
      <w:r>
        <w:t xml:space="preserve"/>
      </w:r>
    </w:p>
    <w:p>
      <w:pPr>
        <w:pStyle w:val="Heading1"/>
        <w:spacing w:after="160" w:before="360"/>
      </w:pPr>
      <w:r>
        <w:rPr>
          <w:rFonts w:ascii="Arial" w:cs="Arial" w:eastAsia="Arial" w:hAnsi="Arial"/>
          <w:b/>
          <w:bCs/>
          <w:color w:val="1F3864"/>
          <w:sz w:val="32"/>
          <w:szCs w:val="32"/>
        </w:rPr>
        <w:t xml:space="preserve">1. Introduction</w:t>
      </w:r>
    </w:p>
    <w:p>
      <w:pPr>
        <w:pBdr>
          <w:bottom w:val="single" w:color="2E5090" w:sz="6" w:space="1"/>
        </w:pBdr>
        <w:spacing w:after="120" w:before="120"/>
      </w:pPr>
      <w:r>
        <w:t xml:space="preserve"/>
      </w:r>
    </w:p>
    <w:p>
      <w:pPr>
        <w:spacing w:after="80" w:before="80" w:line="360"/>
        <w:jc w:val="both"/>
      </w:pPr>
      <w:r>
        <w:rPr>
          <w:rFonts w:ascii="Arial" w:cs="Arial" w:eastAsia="Arial" w:hAnsi="Arial"/>
          <w:sz w:val="22"/>
          <w:szCs w:val="22"/>
        </w:rPr>
        <w:t xml:space="preserve">Automatic License Plate Recognition (ALPR) is a critical component of intelligent transportation systems, enabling automated vehicle identification for traffic enforcement, toll collection, parking management, and security applications. In Egypt, ALPR is particularly challenging due to the unique characteristics of Egyptian license plates, which combine Arabic script characters with the constraints of a restricted character set and diverse plate formats across different governorates and vehicle categories.</w:t>
      </w:r>
    </w:p>
    <w:p>
      <w:pPr>
        <w:spacing w:after="80" w:before="80"/>
      </w:pPr>
      <w:r>
        <w:t xml:space="preserve"/>
      </w:r>
    </w:p>
    <w:p>
      <w:pPr>
        <w:spacing w:after="80" w:before="80" w:line="360"/>
        <w:jc w:val="both"/>
      </w:pPr>
      <w:r>
        <w:rPr>
          <w:rFonts w:ascii="Arial" w:cs="Arial" w:eastAsia="Arial" w:hAnsi="Arial"/>
          <w:sz w:val="22"/>
          <w:szCs w:val="22"/>
        </w:rPr>
        <w:t xml:space="preserve">Egyptian license plates have been issued in the current alphanumeric format since 2008. They feature a combination of 17 permitted Arabic letters and the digits 1–9 (zero is excluded due to visual similarity with screw holes). Plates vary in format by governorate: Cairo plates carry three digits and three letters, Giza plates carry four digits and two letters, and other governorates use four digits and three letters. This variability in format, combined with the high visual similarity between certain Arabic character pairs, creates recognition challenges that generic ALPR systems are ill-equipped to handle.</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Problem Statement</w:t>
      </w:r>
    </w:p>
    <w:p>
      <w:pPr>
        <w:spacing w:after="80" w:before="80" w:line="360"/>
        <w:jc w:val="both"/>
      </w:pPr>
      <w:r>
        <w:rPr>
          <w:rFonts w:ascii="Arial" w:cs="Arial" w:eastAsia="Arial" w:hAnsi="Arial"/>
          <w:sz w:val="22"/>
          <w:szCs w:val="22"/>
        </w:rPr>
        <w:t xml:space="preserve">Existing ALPR systems encounter two primary failure modes on Egyptian plates. First, 'hallucinated' character boxes arise when detectors misidentify plate fixtures, screw holes, or reflective artifacts as characters. Second, standard preprocessing methods fail under the extreme glare conditions common on Egyptian roads, where direct sunlight washes out plate characters entirely. These failure modes significantly degrade end-to-end recognition accuracy in real deployment conditions.</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Main Contribution</w:t>
      </w:r>
    </w:p>
    <w:p>
      <w:pPr>
        <w:spacing w:after="80" w:before="80" w:line="360"/>
        <w:jc w:val="both"/>
      </w:pPr>
      <w:r>
        <w:rPr>
          <w:rFonts w:ascii="Arial" w:cs="Arial" w:eastAsia="Arial" w:hAnsi="Arial"/>
          <w:sz w:val="22"/>
          <w:szCs w:val="22"/>
        </w:rPr>
        <w:t xml:space="preserve">This work makes four key contributions: (1) an adaptive preprocessing pipeline combining CLAHE and dynamic Gamma Correction specifically designed for Egyptian plate glare conditions; (2) a surgical BBox Checker that eliminates hallucinated character detections using geometric constraints derived from Egyptian plate formatting rules; (3) a Decision-Level Feature Fusion strategy combining EfficientNet-B0 deep features with LBP and GLCM handcrafted descriptors, improving accuracy from 97.8% to 99.2%; and (4) a comprehensive comparative evaluation of five CNN architectures and six ML classifiers using eight performance metrics, providing the most thorough benchmark of Egyptian ALPR methods to date.</w:t>
      </w:r>
    </w:p>
    <w:p>
      <w:pPr>
        <w:spacing w:after="80" w:before="80"/>
      </w:pPr>
      <w:r>
        <w:t xml:space="preserve"/>
      </w:r>
    </w:p>
    <w:p>
      <w:pPr>
        <w:pStyle w:val="Heading1"/>
        <w:spacing w:after="160" w:before="360"/>
      </w:pPr>
      <w:r>
        <w:rPr>
          <w:rFonts w:ascii="Arial" w:cs="Arial" w:eastAsia="Arial" w:hAnsi="Arial"/>
          <w:b/>
          <w:bCs/>
          <w:color w:val="1F3864"/>
          <w:sz w:val="32"/>
          <w:szCs w:val="32"/>
        </w:rPr>
        <w:t xml:space="preserve">2. Related Work</w:t>
      </w:r>
    </w:p>
    <w:p>
      <w:pPr>
        <w:pBdr>
          <w:bottom w:val="single" w:color="2E5090" w:sz="6" w:space="1"/>
        </w:pBdr>
        <w:spacing w:after="120" w:before="120"/>
      </w:pPr>
      <w:r>
        <w:t xml:space="preserve"/>
      </w:r>
    </w:p>
    <w:p>
      <w:pPr>
        <w:spacing w:after="80" w:before="80" w:line="360"/>
        <w:jc w:val="both"/>
      </w:pPr>
      <w:r>
        <w:rPr>
          <w:rFonts w:ascii="Arial" w:cs="Arial" w:eastAsia="Arial" w:hAnsi="Arial"/>
          <w:sz w:val="22"/>
          <w:szCs w:val="22"/>
        </w:rPr>
        <w:t xml:space="preserve">The evolution of ALPR spans traditional image processing methods, classical machine learning, and modern deep learning approaches. The following studies represent key milestones and directly inform the design of the proposed system.</w:t>
      </w:r>
    </w:p>
    <w:p>
      <w:pPr>
        <w:spacing w:after="80" w:before="80"/>
      </w:pPr>
      <w:r>
        <w:t xml:space="preserve"/>
      </w:r>
    </w:p>
    <w:p>
      <w:pPr>
        <w:pStyle w:val="ListParagraph"/>
        <w:numPr>
          <w:ilvl w:val="0"/>
          <w:numId w:val="2"/>
        </w:numPr>
        <w:spacing w:after="60" w:before="60" w:line="320"/>
      </w:pPr>
      <w:r>
        <w:rPr>
          <w:rFonts w:ascii="Arial" w:cs="Arial" w:eastAsia="Arial" w:hAnsi="Arial"/>
          <w:sz w:val="22"/>
          <w:szCs w:val="22"/>
        </w:rPr>
        <w:t xml:space="preserve">Redmon &amp; Farhadi (2018) introduced YOLOv3, establishing real-time object detection as viable for ALPR with a favorable accuracy-speed tradeoff that paved the way for plate localization in video streams.</w:t>
      </w:r>
    </w:p>
    <w:p>
      <w:pPr>
        <w:pStyle w:val="ListParagraph"/>
        <w:numPr>
          <w:ilvl w:val="0"/>
          <w:numId w:val="2"/>
        </w:numPr>
        <w:spacing w:after="60" w:before="60" w:line="320"/>
      </w:pPr>
      <w:r>
        <w:rPr>
          <w:rFonts w:ascii="Arial" w:cs="Arial" w:eastAsia="Arial" w:hAnsi="Arial"/>
          <w:sz w:val="22"/>
          <w:szCs w:val="22"/>
        </w:rPr>
        <w:t xml:space="preserve">Tan &amp; Le (2019) proposed EfficientNet's compound scaling methodology, demonstrating that simultaneously scaling network depth, width, and resolution yields superior accuracy-efficiency tradeoffs — motivating its selection as the recognition backbone in this work.</w:t>
      </w:r>
    </w:p>
    <w:p>
      <w:pPr>
        <w:pStyle w:val="ListParagraph"/>
        <w:numPr>
          <w:ilvl w:val="0"/>
          <w:numId w:val="2"/>
        </w:numPr>
        <w:spacing w:after="60" w:before="60" w:line="320"/>
      </w:pPr>
      <w:r>
        <w:rPr>
          <w:rFonts w:ascii="Arial" w:cs="Arial" w:eastAsia="Arial" w:hAnsi="Arial"/>
          <w:sz w:val="22"/>
          <w:szCs w:val="22"/>
        </w:rPr>
        <w:t xml:space="preserve">He et al. (2016) introduced deep residual learning, enabling training of very deep networks through skip connections, with ResNet variants becoming standard ALPR feature extraction backbones.</w:t>
      </w:r>
    </w:p>
    <w:p>
      <w:pPr>
        <w:pStyle w:val="ListParagraph"/>
        <w:numPr>
          <w:ilvl w:val="0"/>
          <w:numId w:val="2"/>
        </w:numPr>
        <w:spacing w:after="60" w:before="60" w:line="320"/>
      </w:pPr>
      <w:r>
        <w:rPr>
          <w:rFonts w:ascii="Arial" w:cs="Arial" w:eastAsia="Arial" w:hAnsi="Arial"/>
          <w:sz w:val="22"/>
          <w:szCs w:val="22"/>
        </w:rPr>
        <w:t xml:space="preserve">Simonyan &amp; Zisserman (2014) established VGG networks as strong baselines for image classification, with VGG16 and VGG19 providing reference performance levels for character recognition benchmarking.</w:t>
      </w:r>
    </w:p>
    <w:p>
      <w:pPr>
        <w:pStyle w:val="ListParagraph"/>
        <w:numPr>
          <w:ilvl w:val="0"/>
          <w:numId w:val="2"/>
        </w:numPr>
        <w:spacing w:after="60" w:before="60" w:line="320"/>
      </w:pPr>
      <w:r>
        <w:rPr>
          <w:rFonts w:ascii="Arial" w:cs="Arial" w:eastAsia="Arial" w:hAnsi="Arial"/>
          <w:sz w:val="22"/>
          <w:szCs w:val="22"/>
        </w:rPr>
        <w:t xml:space="preserve">Ojala et al. (2002) developed Local Binary Patterns for rotation-invariant texture classification, demonstrating effectiveness for character texture description that complements CNN spatial features.</w:t>
      </w:r>
    </w:p>
    <w:p>
      <w:pPr>
        <w:pStyle w:val="ListParagraph"/>
        <w:numPr>
          <w:ilvl w:val="0"/>
          <w:numId w:val="2"/>
        </w:numPr>
        <w:spacing w:after="60" w:before="60" w:line="320"/>
      </w:pPr>
      <w:r>
        <w:rPr>
          <w:rFonts w:ascii="Arial" w:cs="Arial" w:eastAsia="Arial" w:hAnsi="Arial"/>
          <w:sz w:val="22"/>
          <w:szCs w:val="22"/>
        </w:rPr>
        <w:t xml:space="preserve">Haralick et al. (1973) introduced GLCM-based texture features capturing spatial intensity relationships, providing complementary discriminative information for Arabic character disambiguation.</w:t>
      </w:r>
    </w:p>
    <w:p>
      <w:pPr>
        <w:pStyle w:val="ListParagraph"/>
        <w:numPr>
          <w:ilvl w:val="0"/>
          <w:numId w:val="2"/>
        </w:numPr>
        <w:spacing w:after="60" w:before="60" w:line="320"/>
      </w:pPr>
      <w:r>
        <w:rPr>
          <w:rFonts w:ascii="Arial" w:cs="Arial" w:eastAsia="Arial" w:hAnsi="Arial"/>
          <w:sz w:val="22"/>
          <w:szCs w:val="22"/>
        </w:rPr>
        <w:t xml:space="preserve">Lowe (2004) developed SIFT keypoint descriptors invariant to scale and rotation, applicable to plate localization under perspective distortion.</w:t>
      </w:r>
    </w:p>
    <w:p>
      <w:pPr>
        <w:pStyle w:val="ListParagraph"/>
        <w:numPr>
          <w:ilvl w:val="0"/>
          <w:numId w:val="2"/>
        </w:numPr>
        <w:spacing w:after="60" w:before="60" w:line="320"/>
      </w:pPr>
      <w:r>
        <w:rPr>
          <w:rFonts w:ascii="Arial" w:cs="Arial" w:eastAsia="Arial" w:hAnsi="Arial"/>
          <w:sz w:val="22"/>
          <w:szCs w:val="22"/>
        </w:rPr>
        <w:t xml:space="preserve">Bay et al. (2006) proposed SURF as a computationally efficient alternative to SIFT, enabling faster feature extraction for real-time plate processing.</w:t>
      </w:r>
    </w:p>
    <w:p>
      <w:pPr>
        <w:pStyle w:val="ListParagraph"/>
        <w:numPr>
          <w:ilvl w:val="0"/>
          <w:numId w:val="2"/>
        </w:numPr>
        <w:spacing w:after="60" w:before="60" w:line="320"/>
      </w:pPr>
      <w:r>
        <w:rPr>
          <w:rFonts w:ascii="Arial" w:cs="Arial" w:eastAsia="Arial" w:hAnsi="Arial"/>
          <w:sz w:val="22"/>
          <w:szCs w:val="22"/>
        </w:rPr>
        <w:t xml:space="preserve">Dalal &amp; Triggs (2005) introduced HOG descriptors capturing gradient orientation statistics, demonstrating strong performance for object and character detection in structured scenes.</w:t>
      </w:r>
    </w:p>
    <w:p>
      <w:pPr>
        <w:pStyle w:val="ListParagraph"/>
        <w:numPr>
          <w:ilvl w:val="0"/>
          <w:numId w:val="2"/>
        </w:numPr>
        <w:spacing w:after="60" w:before="60" w:line="320"/>
      </w:pPr>
      <w:r>
        <w:rPr>
          <w:rFonts w:ascii="Arial" w:cs="Arial" w:eastAsia="Arial" w:hAnsi="Arial"/>
          <w:sz w:val="22"/>
          <w:szCs w:val="22"/>
        </w:rPr>
        <w:t xml:space="preserve">Zadrozny &amp; Elkan (2002) addressed multi-class probability calibration relevant to the confidence thresholding used in the hybrid detection-contour fallback mechanism.</w:t>
      </w:r>
    </w:p>
    <w:p>
      <w:pPr>
        <w:pStyle w:val="ListParagraph"/>
        <w:numPr>
          <w:ilvl w:val="0"/>
          <w:numId w:val="2"/>
        </w:numPr>
        <w:spacing w:after="60" w:before="60" w:line="320"/>
      </w:pPr>
      <w:r>
        <w:rPr>
          <w:rFonts w:ascii="Arial" w:cs="Arial" w:eastAsia="Arial" w:hAnsi="Arial"/>
          <w:sz w:val="22"/>
          <w:szCs w:val="22"/>
        </w:rPr>
        <w:t xml:space="preserve">Al-Mustafa et al. (2020) provided a comprehensive survey of Arabic License Plate Recognition challenges, cataloguing the visual similarity problems between Arabic characters that motivate the feature fusion strategy in this work.</w:t>
      </w:r>
    </w:p>
    <w:p>
      <w:pPr>
        <w:pStyle w:val="ListParagraph"/>
        <w:numPr>
          <w:ilvl w:val="0"/>
          <w:numId w:val="2"/>
        </w:numPr>
        <w:spacing w:after="60" w:before="60" w:line="320"/>
      </w:pPr>
      <w:r>
        <w:rPr>
          <w:rFonts w:ascii="Arial" w:cs="Arial" w:eastAsia="Arial" w:hAnsi="Arial"/>
          <w:sz w:val="22"/>
          <w:szCs w:val="22"/>
        </w:rPr>
        <w:t xml:space="preserve">Gad et al. (2021) demonstrated real-time Egyptian License Plate Recognition using deep learning, establishing benchmark accuracy figures on the EALPR dataset used in this study.</w:t>
      </w:r>
    </w:p>
    <w:p>
      <w:pPr>
        <w:pStyle w:val="ListParagraph"/>
        <w:numPr>
          <w:ilvl w:val="0"/>
          <w:numId w:val="2"/>
        </w:numPr>
        <w:spacing w:after="60" w:before="60" w:line="320"/>
      </w:pPr>
      <w:r>
        <w:rPr>
          <w:rFonts w:ascii="Arial" w:cs="Arial" w:eastAsia="Arial" w:hAnsi="Arial"/>
          <w:sz w:val="22"/>
          <w:szCs w:val="22"/>
        </w:rPr>
        <w:t xml:space="preserve">Chollet (2017) introduced Xception's depthwise separable convolutions, providing an alternative architecture for character classification evaluated in preliminary experiments.</w:t>
      </w:r>
    </w:p>
    <w:p>
      <w:pPr>
        <w:pStyle w:val="ListParagraph"/>
        <w:numPr>
          <w:ilvl w:val="0"/>
          <w:numId w:val="2"/>
        </w:numPr>
        <w:spacing w:after="60" w:before="60" w:line="320"/>
      </w:pPr>
      <w:r>
        <w:rPr>
          <w:rFonts w:ascii="Arial" w:cs="Arial" w:eastAsia="Arial" w:hAnsi="Arial"/>
          <w:sz w:val="22"/>
          <w:szCs w:val="22"/>
        </w:rPr>
        <w:t xml:space="preserve">Huang et al. (2017) demonstrated that DenseNet's dense connectivity patterns improve gradient flow and feature reuse, particularly beneficial for classifying visually similar characters.</w:t>
      </w:r>
    </w:p>
    <w:p>
      <w:pPr>
        <w:pStyle w:val="ListParagraph"/>
        <w:numPr>
          <w:ilvl w:val="0"/>
          <w:numId w:val="2"/>
        </w:numPr>
        <w:spacing w:after="60" w:before="60" w:line="320"/>
      </w:pPr>
      <w:r>
        <w:rPr>
          <w:rFonts w:ascii="Arial" w:cs="Arial" w:eastAsia="Arial" w:hAnsi="Arial"/>
          <w:sz w:val="22"/>
          <w:szCs w:val="22"/>
        </w:rPr>
        <w:t xml:space="preserve">Jocher et al. (2023) released YOLOv8 with improved anchor-free detection and enhanced small-object performance, directly enabling the high-accuracy plate localization component of the proposed pipeline.</w:t>
      </w:r>
    </w:p>
    <w:p>
      <w:pPr>
        <w:spacing w:after="80" w:before="80"/>
      </w:pPr>
      <w:r>
        <w:t xml:space="preserve"/>
      </w:r>
    </w:p>
    <w:p>
      <w:pPr>
        <w:pStyle w:val="Heading1"/>
        <w:spacing w:after="160" w:before="360"/>
      </w:pPr>
      <w:r>
        <w:rPr>
          <w:rFonts w:ascii="Arial" w:cs="Arial" w:eastAsia="Arial" w:hAnsi="Arial"/>
          <w:b/>
          <w:bCs/>
          <w:color w:val="1F3864"/>
          <w:sz w:val="32"/>
          <w:szCs w:val="32"/>
        </w:rPr>
        <w:t xml:space="preserve">3. Methodology and Dataset Description</w:t>
      </w:r>
    </w:p>
    <w:p>
      <w:pPr>
        <w:pBdr>
          <w:bottom w:val="single" w:color="2E5090" w:sz="6" w:space="1"/>
        </w:pBdr>
        <w:spacing w:after="120" w:before="120"/>
      </w:pPr>
      <w:r>
        <w:t xml:space="preserve"/>
      </w:r>
    </w:p>
    <w:p>
      <w:pPr>
        <w:pStyle w:val="Heading2"/>
        <w:spacing w:after="120" w:before="240"/>
      </w:pPr>
      <w:r>
        <w:rPr>
          <w:rFonts w:ascii="Arial" w:cs="Arial" w:eastAsia="Arial" w:hAnsi="Arial"/>
          <w:b/>
          <w:bCs/>
          <w:color w:val="2E5090"/>
          <w:sz w:val="26"/>
          <w:szCs w:val="26"/>
        </w:rPr>
        <w:t xml:space="preserve">3.1 Dataset Description, Collection, and Capturing</w:t>
      </w:r>
    </w:p>
    <w:p>
      <w:pPr>
        <w:spacing w:after="80" w:before="80" w:line="360"/>
        <w:jc w:val="both"/>
      </w:pPr>
      <w:r>
        <w:rPr>
          <w:rFonts w:ascii="Arial" w:cs="Arial" w:eastAsia="Arial" w:hAnsi="Arial"/>
          <w:sz w:val="22"/>
          <w:szCs w:val="22"/>
        </w:rPr>
        <w:t xml:space="preserve">The system was developed and evaluated on the Egyptian Automatic License Plate Recognition (EALPR) dataset, comprising 4,065 high-quality vehicle images collected from multiple Egyptian governorates. Images were captured using fixed roadside surveillance cameras, dashcams, and mobile devices under naturalistic conditions, representing the full diversity of real-world Egyptian traffic scenarios.</w:t>
      </w:r>
    </w:p>
    <w:p>
      <w:pPr>
        <w:spacing w:after="80" w:before="80"/>
      </w:pPr>
      <w:r>
        <w:t xml:space="preserve"/>
      </w:r>
    </w:p>
    <w:p>
      <w:pPr>
        <w:spacing w:after="80" w:before="80" w:line="360"/>
        <w:jc w:val="both"/>
      </w:pPr>
      <w:r>
        <w:rPr>
          <w:rFonts w:ascii="Arial" w:cs="Arial" w:eastAsia="Arial" w:hAnsi="Arial"/>
          <w:sz w:val="22"/>
          <w:szCs w:val="22"/>
        </w:rPr>
        <w:t xml:space="preserve">The dataset encompasses significant variability across several dimensions: illumination conditions ranging from direct overhead sunlight (causing glare) to nighttime low-light; vehicle types including private cars, taxis, trucks, and buses; camera angles from frontal to 45-degree oblique; distances from 2 to 15 meters; and motion blur levels from stationary to 60 km/h vehicle speed. Plate formats include Cairo (3 digits + 3 letters), Giza (4 digits + 2 letters), and other governorate formats (4 digits + 3 letters).</w:t>
      </w:r>
    </w:p>
    <w:p>
      <w:pPr>
        <w:spacing w:after="80" w:before="80"/>
      </w:pPr>
      <w:r>
        <w:t xml:space="preserve"/>
      </w:r>
    </w:p>
    <w:p>
      <w:pPr>
        <w:spacing w:after="80" w:before="80" w:line="360"/>
        <w:jc w:val="both"/>
      </w:pPr>
      <w:r>
        <w:rPr>
          <w:rFonts w:ascii="Arial" w:cs="Arial" w:eastAsia="Arial" w:hAnsi="Arial"/>
          <w:sz w:val="22"/>
          <w:szCs w:val="22"/>
        </w:rPr>
        <w:t xml:space="preserve">To address class imbalance — specifically the underrepresentation of digits 2 and 3 in naturalistic captures — synthetic augmentation was applied using plate templates with elastic transformations and illumination variations, generating additional samples to achieve balanced class distributions across all 26 character classes. The final dataset was split into 80% training (3,252 images), 10% validation (407 images), and 10% test (406 images) using stratified sampling.</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3.2 Preprocessing Steps</w:t>
      </w:r>
    </w:p>
    <w:p>
      <w:pPr>
        <w:spacing w:after="80" w:before="80" w:line="360"/>
        <w:jc w:val="both"/>
      </w:pPr>
      <w:r>
        <w:rPr>
          <w:rFonts w:ascii="Arial" w:cs="Arial" w:eastAsia="Arial" w:hAnsi="Arial"/>
          <w:sz w:val="22"/>
          <w:szCs w:val="22"/>
        </w:rPr>
        <w:t xml:space="preserve">A two-stage preprocessing pipeline was developed to address the dominant image quality issues identified in the EALPR dataset.</w:t>
      </w:r>
    </w:p>
    <w:p>
      <w:pPr>
        <w:spacing w:after="80" w:before="80"/>
      </w:pPr>
      <w:r>
        <w:t xml:space="preserve"/>
      </w:r>
    </w:p>
    <w:p>
      <w:pPr>
        <w:pStyle w:val="Heading3"/>
        <w:spacing w:after="80" w:before="160"/>
      </w:pPr>
      <w:r>
        <w:rPr>
          <w:rFonts w:ascii="Arial" w:cs="Arial" w:eastAsia="Arial" w:hAnsi="Arial"/>
          <w:b/>
          <w:bCs/>
          <w:color w:val="2E5090"/>
          <w:sz w:val="24"/>
          <w:szCs w:val="24"/>
        </w:rPr>
        <w:t xml:space="preserve">Adaptive Gamma Correction</w:t>
      </w:r>
    </w:p>
    <w:p>
      <w:pPr>
        <w:spacing w:after="80" w:before="80" w:line="360"/>
        <w:jc w:val="both"/>
      </w:pPr>
      <w:r>
        <w:rPr>
          <w:rFonts w:ascii="Arial" w:cs="Arial" w:eastAsia="Arial" w:hAnsi="Arial"/>
          <w:sz w:val="22"/>
          <w:szCs w:val="22"/>
        </w:rPr>
        <w:t xml:space="preserve">Gamma Correction is applied dynamically based on the mean brightness of each input image. The correction factor gamma is computed as: gamma = log(target_mean) / log(image_mean), where target_mean is set to 128 (mid-gray). For overexposed glare images (mean brightness &gt; 180), gamma &gt; 1 recovers washed-out character detail. For underexposed images (mean brightness &lt; 80), gamma &lt; 1 amplifies shadow detail. This adaptive approach eliminates the need for manual tuning across diverse lighting conditions.</w:t>
      </w:r>
    </w:p>
    <w:p>
      <w:pPr>
        <w:spacing w:after="80" w:before="80"/>
      </w:pPr>
      <w:r>
        <w:t xml:space="preserve"/>
      </w:r>
    </w:p>
    <w:p>
      <w:pPr>
        <w:pStyle w:val="Heading3"/>
        <w:spacing w:after="80" w:before="160"/>
      </w:pPr>
      <w:r>
        <w:rPr>
          <w:rFonts w:ascii="Arial" w:cs="Arial" w:eastAsia="Arial" w:hAnsi="Arial"/>
          <w:b/>
          <w:bCs/>
          <w:color w:val="2E5090"/>
          <w:sz w:val="24"/>
          <w:szCs w:val="24"/>
        </w:rPr>
        <w:t xml:space="preserve">CLAHE</w:t>
      </w:r>
    </w:p>
    <w:p>
      <w:pPr>
        <w:spacing w:after="80" w:before="80" w:line="360"/>
        <w:jc w:val="both"/>
      </w:pPr>
      <w:r>
        <w:rPr>
          <w:rFonts w:ascii="Arial" w:cs="Arial" w:eastAsia="Arial" w:hAnsi="Arial"/>
          <w:sz w:val="22"/>
          <w:szCs w:val="22"/>
        </w:rPr>
        <w:t xml:space="preserve">Contrast Limited Adaptive Histogram Equalization (CLAHE) is applied following Gamma Correction, operating on 8x8 local tiles with a contrast clip limit of 2.0. Unlike global histogram equalization, CLAHE prevents noise amplification in already-bright regions while dramatically improving local character contrast in shadowed or partially occluded plate areas. The combination of Gamma Correction followed by CLAHE consistently produced the highest character visibility scores across all lighting condition subsets of the test data.</w:t>
      </w:r>
    </w:p>
    <w:p>
      <w:pPr>
        <w:spacing w:after="80" w:before="80"/>
      </w:pPr>
      <w:r>
        <w:t xml:space="preserve"/>
      </w:r>
    </w:p>
    <w:p>
      <w:pPr>
        <w:pBdr>
          <w:top w:val="single" w:color="CCCCCC" w:sz="1"/>
          <w:bottom w:val="single" w:color="CCCCCC" w:sz="1"/>
        </w:pBdr>
        <w:spacing w:after="80" w:before="160"/>
        <w:jc w:val="center"/>
      </w:pPr>
      <w:r>
        <w:rPr>
          <w:rFonts w:ascii="Arial" w:cs="Arial" w:eastAsia="Arial" w:hAnsi="Arial"/>
          <w:i/>
          <w:iCs/>
          <w:color w:val="888888"/>
          <w:sz w:val="20"/>
          <w:szCs w:val="20"/>
        </w:rPr>
        <w:t xml:space="preserve">[ Figure 1: Preprocessing Results: Original vs Gamma Corrected vs CLAHE Enhanced — Insert Image Here ]</w:t>
      </w:r>
    </w:p>
    <w:p>
      <w:pPr>
        <w:spacing w:after="160" w:before="60"/>
        <w:jc w:val="center"/>
      </w:pPr>
      <w:r>
        <w:rPr>
          <w:rFonts w:ascii="Arial" w:cs="Arial" w:eastAsia="Arial" w:hAnsi="Arial"/>
          <w:i/>
          <w:iCs/>
          <w:color w:val="555555"/>
          <w:sz w:val="20"/>
          <w:szCs w:val="20"/>
        </w:rPr>
        <w:t xml:space="preserve">Figure 1: Comparison of preprocessing stages on a glare-affected license plate image. Left: original overexposed image; Center: after adaptive Gamma Correction; Right: after CLAHE enhancement.</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3.3 Feature Extraction</w:t>
      </w:r>
    </w:p>
    <w:p>
      <w:pPr>
        <w:pStyle w:val="Heading3"/>
        <w:spacing w:after="80" w:before="160"/>
      </w:pPr>
      <w:r>
        <w:rPr>
          <w:rFonts w:ascii="Arial" w:cs="Arial" w:eastAsia="Arial" w:hAnsi="Arial"/>
          <w:b/>
          <w:bCs/>
          <w:color w:val="2E5090"/>
          <w:sz w:val="24"/>
          <w:szCs w:val="24"/>
        </w:rPr>
        <w:t xml:space="preserve">CNN Deep Learning Features</w:t>
      </w:r>
    </w:p>
    <w:p>
      <w:pPr>
        <w:spacing w:after="80" w:before="80" w:line="360"/>
        <w:jc w:val="both"/>
      </w:pPr>
      <w:r>
        <w:rPr>
          <w:rFonts w:ascii="Arial" w:cs="Arial" w:eastAsia="Arial" w:hAnsi="Arial"/>
          <w:sz w:val="22"/>
          <w:szCs w:val="22"/>
        </w:rPr>
        <w:t xml:space="preserve">EfficientNet-B0, pre-trained on ImageNet and fine-tuned on the EALPR character dataset, serves as the primary feature extraction backbone. Its compound-scaled architecture (1.0 depth, 1.0 width, 224 input resolution) processes 32x32 grayscale character images through 7 mobile inverted bottleneck (MBConv) blocks with squeeze-and-excitation optimization. The penultimate layer after Global Average Pooling produces a 1,280-dimensional feature vector capturing hierarchical representations from low-level edge orientations to high-level character topology. Five architectures were evaluated: VGG16, VGG19, ResNet50, ResNet101, and EfficientNet-B0.</w:t>
      </w:r>
    </w:p>
    <w:p>
      <w:pPr>
        <w:spacing w:after="80" w:before="80"/>
      </w:pPr>
      <w:r>
        <w:t xml:space="preserve"/>
      </w:r>
    </w:p>
    <w:p>
      <w:pPr>
        <w:pStyle w:val="Heading3"/>
        <w:spacing w:after="80" w:before="160"/>
      </w:pPr>
      <w:r>
        <w:rPr>
          <w:rFonts w:ascii="Arial" w:cs="Arial" w:eastAsia="Arial" w:hAnsi="Arial"/>
          <w:b/>
          <w:bCs/>
          <w:color w:val="2E5090"/>
          <w:sz w:val="24"/>
          <w:szCs w:val="24"/>
        </w:rPr>
        <w:t xml:space="preserve">Feature Engineering — LBP</w:t>
      </w:r>
    </w:p>
    <w:p>
      <w:pPr>
        <w:spacing w:after="80" w:before="80" w:line="360"/>
        <w:jc w:val="both"/>
      </w:pPr>
      <w:r>
        <w:rPr>
          <w:rFonts w:ascii="Arial" w:cs="Arial" w:eastAsia="Arial" w:hAnsi="Arial"/>
          <w:sz w:val="22"/>
          <w:szCs w:val="22"/>
        </w:rPr>
        <w:t xml:space="preserve">Local Binary Patterns (LBP) were computed using a circular neighborhood with radius=1 and 8 sampling points, producing a 59-dimensional uniform LBP histogram per character image. LBP captures micro-texture patterns around character strokes — the presence and distribution of edges, corners, and flat regions — providing rotation-invariant texture descriptors that complement the CNN's global spatial features. LBP demonstrated particular effectiveness in distinguishing characters with similar global shapes but different local texture distributions, such as 'ب' and 'ن'.</w:t>
      </w:r>
    </w:p>
    <w:p>
      <w:pPr>
        <w:spacing w:after="80" w:before="80"/>
      </w:pPr>
      <w:r>
        <w:t xml:space="preserve"/>
      </w:r>
    </w:p>
    <w:p>
      <w:pPr>
        <w:pStyle w:val="Heading3"/>
        <w:spacing w:after="80" w:before="160"/>
      </w:pPr>
      <w:r>
        <w:rPr>
          <w:rFonts w:ascii="Arial" w:cs="Arial" w:eastAsia="Arial" w:hAnsi="Arial"/>
          <w:b/>
          <w:bCs/>
          <w:color w:val="2E5090"/>
          <w:sz w:val="24"/>
          <w:szCs w:val="24"/>
        </w:rPr>
        <w:t xml:space="preserve">Feature Engineering — GLCM</w:t>
      </w:r>
    </w:p>
    <w:p>
      <w:pPr>
        <w:spacing w:after="80" w:before="80" w:line="360"/>
        <w:jc w:val="both"/>
      </w:pPr>
      <w:r>
        <w:rPr>
          <w:rFonts w:ascii="Arial" w:cs="Arial" w:eastAsia="Arial" w:hAnsi="Arial"/>
          <w:sz w:val="22"/>
          <w:szCs w:val="22"/>
        </w:rPr>
        <w:t xml:space="preserve">Gray-Level Co-occurrence Matrix (GLCM) features were extracted at four orientations (0°, 45°, 90°, 135°) and two distances (1 and 3 pixels), yielding 24 statistical descriptors per character including contrast, correlation, energy, homogeneity, and ASM. GLCM captures spatial intensity relationships that characterize the structural regularity of Arabic character stroke patterns, providing complementary information to LBP's local texture encoding.</w:t>
      </w:r>
    </w:p>
    <w:p>
      <w:pPr>
        <w:spacing w:after="80" w:before="80"/>
      </w:pPr>
      <w:r>
        <w:t xml:space="preserve"/>
      </w:r>
    </w:p>
    <w:p>
      <w:pPr>
        <w:pBdr>
          <w:top w:val="single" w:color="CCCCCC" w:sz="1"/>
          <w:bottom w:val="single" w:color="CCCCCC" w:sz="1"/>
        </w:pBdr>
        <w:spacing w:after="80" w:before="160"/>
        <w:jc w:val="center"/>
      </w:pPr>
      <w:r>
        <w:rPr>
          <w:rFonts w:ascii="Arial" w:cs="Arial" w:eastAsia="Arial" w:hAnsi="Arial"/>
          <w:i/>
          <w:iCs/>
          <w:color w:val="888888"/>
          <w:sz w:val="20"/>
          <w:szCs w:val="20"/>
        </w:rPr>
        <w:t xml:space="preserve">[ Figure 2: Feature Extraction: CNN Feature Maps, LBP Histograms, GLCM Descriptors — Insert Image Here ]</w:t>
      </w:r>
    </w:p>
    <w:p>
      <w:pPr>
        <w:spacing w:after="160" w:before="60"/>
        <w:jc w:val="center"/>
      </w:pPr>
      <w:r>
        <w:rPr>
          <w:rFonts w:ascii="Arial" w:cs="Arial" w:eastAsia="Arial" w:hAnsi="Arial"/>
          <w:i/>
          <w:iCs/>
          <w:color w:val="555555"/>
          <w:sz w:val="20"/>
          <w:szCs w:val="20"/>
        </w:rPr>
        <w:t xml:space="preserve">Figure 2: Feature extraction visualization. Top row: EfficientNet-B0 activation maps for selected characters. Middle row: LBP histograms showing texture distribution. Bottom row: GLCM contrast maps.</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3.4 Feature Fusion</w:t>
      </w:r>
    </w:p>
    <w:p>
      <w:pPr>
        <w:spacing w:after="80" w:before="80" w:line="360"/>
        <w:jc w:val="both"/>
      </w:pPr>
      <w:r>
        <w:rPr>
          <w:rFonts w:ascii="Arial" w:cs="Arial" w:eastAsia="Arial" w:hAnsi="Arial"/>
          <w:sz w:val="22"/>
          <w:szCs w:val="22"/>
        </w:rPr>
        <w:t xml:space="preserve">A Decision-Level Fusion strategy combines three feature streams into a unified representation for classification. The EfficientNet-B0 1,280-dimensional vector, the 59-dimensional LBP histogram, and the 24-dimensional GLCM descriptor are concatenated into a 1,363-dimensional fused feature vector. Additionally, 4 geometric properties of each character bounding box — width/height ratio, normalized x-position on plate, area relative to plate area, and horizontal neighbor distances — are appended, yielding a 1,367-dimensional final representation.</w:t>
      </w:r>
    </w:p>
    <w:p>
      <w:pPr>
        <w:spacing w:after="80" w:before="80"/>
      </w:pPr>
      <w:r>
        <w:t xml:space="preserve"/>
      </w:r>
    </w:p>
    <w:p>
      <w:pPr>
        <w:spacing w:after="80" w:before="80" w:line="360"/>
        <w:jc w:val="both"/>
      </w:pPr>
      <w:r>
        <w:rPr>
          <w:rFonts w:ascii="Arial" w:cs="Arial" w:eastAsia="Arial" w:hAnsi="Arial"/>
          <w:sz w:val="22"/>
          <w:szCs w:val="22"/>
        </w:rPr>
        <w:t xml:space="preserve">This spatial validation component enforces domain knowledge of Egyptian plate structure: digits occupy the left portion of the plate and letters occupy the right. A character classified as a letter but positioned in the digit zone receives a confidence penalty that promotes reclassification to the most probable digit class. This geometric fusion reduced the most common error type — digit/letter confusion — by 71% compared to texture-only classification.</w:t>
      </w:r>
    </w:p>
    <w:p>
      <w:pPr>
        <w:spacing w:after="80" w:before="80"/>
      </w:pPr>
      <w:r>
        <w:t xml:space="preserve"/>
      </w:r>
    </w:p>
    <w:p>
      <w:pPr>
        <w:pBdr>
          <w:top w:val="single" w:color="CCCCCC" w:sz="1"/>
          <w:bottom w:val="single" w:color="CCCCCC" w:sz="1"/>
        </w:pBdr>
        <w:spacing w:after="80" w:before="160"/>
        <w:jc w:val="center"/>
      </w:pPr>
      <w:r>
        <w:rPr>
          <w:rFonts w:ascii="Arial" w:cs="Arial" w:eastAsia="Arial" w:hAnsi="Arial"/>
          <w:i/>
          <w:iCs/>
          <w:color w:val="888888"/>
          <w:sz w:val="20"/>
          <w:szCs w:val="20"/>
        </w:rPr>
        <w:t xml:space="preserve">[ Figure 3: Feature Fusion Architecture Diagram — Insert Image Here ]</w:t>
      </w:r>
    </w:p>
    <w:p>
      <w:pPr>
        <w:spacing w:after="160" w:before="60"/>
        <w:jc w:val="center"/>
      </w:pPr>
      <w:r>
        <w:rPr>
          <w:rFonts w:ascii="Arial" w:cs="Arial" w:eastAsia="Arial" w:hAnsi="Arial"/>
          <w:i/>
          <w:iCs/>
          <w:color w:val="555555"/>
          <w:sz w:val="20"/>
          <w:szCs w:val="20"/>
        </w:rPr>
        <w:t xml:space="preserve">Figure 3: Feature fusion pipeline combining EfficientNet-B0 deep features, LBP texture descriptors, GLCM spatial features, and geometric bounding box properties into a unified 1,367-dimensional representation.</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3.5 Feature Reduction and Selection</w:t>
      </w:r>
    </w:p>
    <w:p>
      <w:pPr>
        <w:spacing w:after="80" w:before="80" w:line="360"/>
        <w:jc w:val="both"/>
      </w:pPr>
      <w:r>
        <w:rPr>
          <w:rFonts w:ascii="Arial" w:cs="Arial" w:eastAsia="Arial" w:hAnsi="Arial"/>
          <w:sz w:val="22"/>
          <w:szCs w:val="22"/>
        </w:rPr>
        <w:t xml:space="preserve">Feature reduction is achieved through two complementary mechanisms. The primary reduction is the intrinsic Global Average Pooling (GAP) layer of EfficientNet-B0, which spatially averages each of the 1,280 feature map channels across their 7x7 spatial extent, condensing 62,720 raw feature values into 1,280 channel-wise global descriptors. This 49-fold dimensionality reduction eliminates spatial redundancy while preserving channel-wise discriminative information.</w:t>
      </w:r>
    </w:p>
    <w:p>
      <w:pPr>
        <w:spacing w:after="80" w:before="80"/>
      </w:pPr>
      <w:r>
        <w:t xml:space="preserve"/>
      </w:r>
    </w:p>
    <w:p>
      <w:pPr>
        <w:spacing w:after="80" w:before="80" w:line="360"/>
        <w:jc w:val="both"/>
      </w:pPr>
      <w:r>
        <w:rPr>
          <w:rFonts w:ascii="Arial" w:cs="Arial" w:eastAsia="Arial" w:hAnsi="Arial"/>
          <w:sz w:val="22"/>
          <w:szCs w:val="22"/>
        </w:rPr>
        <w:t xml:space="preserve">A comparative evaluation of feature reduction strategies was conducted, including PCA retaining 95% of variance and raw pre-GAP features. GAP outperformed PCA (99.2% vs 98.1% accuracy) while providing faster inference (12 ms vs 9 ms), due to PCA's loss of fine-grained discriminative variance. The final fused 1,367-dimensional representation was validated to contain no redundant features through correlation analysis, with all features contributing positively to classification performance.</w:t>
      </w:r>
    </w:p>
    <w:p>
      <w:pPr>
        <w:spacing w:after="80" w:before="80"/>
      </w:pPr>
      <w:r>
        <w:t xml:space="preserve"/>
      </w:r>
    </w:p>
    <w:p>
      <w:pPr>
        <w:pStyle w:val="Heading1"/>
        <w:spacing w:after="160" w:before="360"/>
      </w:pPr>
      <w:r>
        <w:rPr>
          <w:rFonts w:ascii="Arial" w:cs="Arial" w:eastAsia="Arial" w:hAnsi="Arial"/>
          <w:b/>
          <w:bCs/>
          <w:color w:val="1F3864"/>
          <w:sz w:val="32"/>
          <w:szCs w:val="32"/>
        </w:rPr>
        <w:t xml:space="preserve">4. Proposed Model</w:t>
      </w:r>
    </w:p>
    <w:p>
      <w:pPr>
        <w:pBdr>
          <w:bottom w:val="single" w:color="2E5090" w:sz="6" w:space="1"/>
        </w:pBdr>
        <w:spacing w:after="120" w:before="120"/>
      </w:pPr>
      <w:r>
        <w:t xml:space="preserve"/>
      </w:r>
    </w:p>
    <w:p>
      <w:pPr>
        <w:spacing w:after="80" w:before="80" w:line="360"/>
        <w:jc w:val="both"/>
      </w:pPr>
      <w:r>
        <w:rPr>
          <w:rFonts w:ascii="Arial" w:cs="Arial" w:eastAsia="Arial" w:hAnsi="Arial"/>
          <w:sz w:val="22"/>
          <w:szCs w:val="22"/>
        </w:rPr>
        <w:t xml:space="preserve">The proposed architecture is a three-phase pipeline processing a full vehicle image to produce the recognized plate number string. Each phase is described below.</w:t>
      </w:r>
    </w:p>
    <w:p>
      <w:pPr>
        <w:spacing w:after="80" w:before="80"/>
      </w:pPr>
      <w:r>
        <w:t xml:space="preserve"/>
      </w:r>
    </w:p>
    <w:p>
      <w:pPr>
        <w:pBdr>
          <w:top w:val="single" w:color="CCCCCC" w:sz="1"/>
          <w:bottom w:val="single" w:color="CCCCCC" w:sz="1"/>
        </w:pBdr>
        <w:spacing w:after="80" w:before="160"/>
        <w:jc w:val="center"/>
      </w:pPr>
      <w:r>
        <w:rPr>
          <w:rFonts w:ascii="Arial" w:cs="Arial" w:eastAsia="Arial" w:hAnsi="Arial"/>
          <w:i/>
          <w:iCs/>
          <w:color w:val="888888"/>
          <w:sz w:val="20"/>
          <w:szCs w:val="20"/>
        </w:rPr>
        <w:t xml:space="preserve">[ Figure 4: Proposed EALPR System Architecture — Full Pipeline Diagram — Insert Image Here ]</w:t>
      </w:r>
    </w:p>
    <w:p>
      <w:pPr>
        <w:spacing w:after="160" w:before="60"/>
        <w:jc w:val="center"/>
      </w:pPr>
      <w:r>
        <w:rPr>
          <w:rFonts w:ascii="Arial" w:cs="Arial" w:eastAsia="Arial" w:hAnsi="Arial"/>
          <w:i/>
          <w:iCs/>
          <w:color w:val="555555"/>
          <w:sz w:val="20"/>
          <w:szCs w:val="20"/>
        </w:rPr>
        <w:t xml:space="preserve">Figure 4: Complete system architecture showing the three-phase pipeline: plate localization (YOLOv8), surgical character segmentation (hybrid YOLO + contour fallback + BBox Checker), and robust recognition (EfficientNet-B0 + feature fusion + TTA).</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Phase 1: Plate Localization</w:t>
      </w:r>
    </w:p>
    <w:p>
      <w:pPr>
        <w:spacing w:after="80" w:before="80" w:line="360"/>
        <w:jc w:val="both"/>
      </w:pPr>
      <w:r>
        <w:rPr>
          <w:rFonts w:ascii="Arial" w:cs="Arial" w:eastAsia="Arial" w:hAnsi="Arial"/>
          <w:sz w:val="22"/>
          <w:szCs w:val="22"/>
        </w:rPr>
        <w:t xml:space="preserve">YOLOv8-nano, fine-tuned on the EALPR vehicle dataset from COCO-pretrained weights, detects the license plate region of interest from the preprocessed full vehicle image. The detector was trained for 100 epochs with a batch size of 16 and achieved mAP@0.5 of 0.99 on the validation set. Plates detected below a confidence threshold of 0.45 trigger a secondary verification pass at reduced image scale.</w:t>
      </w:r>
    </w:p>
    <w:p>
      <w:pPr>
        <w:spacing w:after="80" w:before="80"/>
      </w:pPr>
      <w:r>
        <w:t xml:space="preserve"/>
      </w:r>
    </w:p>
    <w:p>
      <w:pPr>
        <w:pBdr>
          <w:top w:val="single" w:color="CCCCCC" w:sz="1"/>
          <w:bottom w:val="single" w:color="CCCCCC" w:sz="1"/>
        </w:pBdr>
        <w:spacing w:after="80" w:before="160"/>
        <w:jc w:val="center"/>
      </w:pPr>
      <w:r>
        <w:rPr>
          <w:rFonts w:ascii="Arial" w:cs="Arial" w:eastAsia="Arial" w:hAnsi="Arial"/>
          <w:i/>
          <w:iCs/>
          <w:color w:val="888888"/>
          <w:sz w:val="20"/>
          <w:szCs w:val="20"/>
        </w:rPr>
        <w:t xml:space="preserve">[ Figure 5: Phase 1: YOLOv8 Plate Detection Samples — Insert Image Here ]</w:t>
      </w:r>
    </w:p>
    <w:p>
      <w:pPr>
        <w:spacing w:after="160" w:before="60"/>
        <w:jc w:val="center"/>
      </w:pPr>
      <w:r>
        <w:rPr>
          <w:rFonts w:ascii="Arial" w:cs="Arial" w:eastAsia="Arial" w:hAnsi="Arial"/>
          <w:i/>
          <w:iCs/>
          <w:color w:val="555555"/>
          <w:sz w:val="20"/>
          <w:szCs w:val="20"/>
        </w:rPr>
        <w:t xml:space="preserve">Figure 5: Sample plate detection results from the YOLOv8 localizer. Green bounding boxes indicate detected plate regions with confidence scores displayed above each box.</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Phase 2: Surgical Character Segmentation</w:t>
      </w:r>
    </w:p>
    <w:p>
      <w:pPr>
        <w:spacing w:after="80" w:before="80" w:line="360"/>
        <w:jc w:val="both"/>
      </w:pPr>
      <w:r>
        <w:rPr>
          <w:rFonts w:ascii="Arial" w:cs="Arial" w:eastAsia="Arial" w:hAnsi="Arial"/>
          <w:sz w:val="22"/>
          <w:szCs w:val="22"/>
        </w:rPr>
        <w:t xml:space="preserve">A second YOLOv8 model trained for character detection within the cropped plate image serves as the primary segmentation method. When character detection confidence falls below 0.50, a contour-based fallback using Otsu thresholding and vertical projection analysis is triggered. The BBox Checker validates all detected boxes by enforcing aspect ratio constraints (0.2 &lt; w/h &lt; 2.5), minimum area thresholds, and horizontal alignment consistency. Non-Maximum Suppression with IoU=0.3 resolves overlapping predictions.</w:t>
      </w:r>
    </w:p>
    <w:p>
      <w:pPr>
        <w:spacing w:after="80" w:before="80"/>
      </w:pPr>
      <w:r>
        <w:t xml:space="preserve"/>
      </w:r>
    </w:p>
    <w:p>
      <w:pPr>
        <w:pBdr>
          <w:top w:val="single" w:color="CCCCCC" w:sz="1"/>
          <w:bottom w:val="single" w:color="CCCCCC" w:sz="1"/>
        </w:pBdr>
        <w:spacing w:after="80" w:before="160"/>
        <w:jc w:val="center"/>
      </w:pPr>
      <w:r>
        <w:rPr>
          <w:rFonts w:ascii="Arial" w:cs="Arial" w:eastAsia="Arial" w:hAnsi="Arial"/>
          <w:i/>
          <w:iCs/>
          <w:color w:val="888888"/>
          <w:sz w:val="20"/>
          <w:szCs w:val="20"/>
        </w:rPr>
        <w:t xml:space="preserve">[ Figure 6: Phase 2: Character Segmentation and BBox Cleaning — Insert Image Here ]</w:t>
      </w:r>
    </w:p>
    <w:p>
      <w:pPr>
        <w:spacing w:after="160" w:before="60"/>
        <w:jc w:val="center"/>
      </w:pPr>
      <w:r>
        <w:rPr>
          <w:rFonts w:ascii="Arial" w:cs="Arial" w:eastAsia="Arial" w:hAnsi="Arial"/>
          <w:i/>
          <w:iCs/>
          <w:color w:val="555555"/>
          <w:sz w:val="20"/>
          <w:szCs w:val="20"/>
        </w:rPr>
        <w:t xml:space="preserve">Figure 6: Character segmentation comparison. Left: raw YOLO character detections including hallucinated boxes from screw holes. Right: after BBox Checker filtering with validated character boxes.</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Phase 3: Recognition with TTA</w:t>
      </w:r>
    </w:p>
    <w:p>
      <w:pPr>
        <w:spacing w:after="80" w:before="80" w:line="360"/>
        <w:jc w:val="both"/>
      </w:pPr>
      <w:r>
        <w:rPr>
          <w:rFonts w:ascii="Arial" w:cs="Arial" w:eastAsia="Arial" w:hAnsi="Arial"/>
          <w:sz w:val="22"/>
          <w:szCs w:val="22"/>
        </w:rPr>
        <w:t xml:space="preserve">Each 32x32 cropped character image is classified by EfficientNet-B0 using Test-Time Augmentation (TTA): four variants per character (original, ±5° rotation, slight horizontal shift) are independently classified and their softmax scores combined by hard voting. The fused 1,367-dimensional feature representation is passed through a fully-connected classifier with Dropout(0.5) regularization. Characters are assembled left-to-right using their spatial positions into the final plate number string.</w:t>
      </w:r>
    </w:p>
    <w:p>
      <w:pPr>
        <w:spacing w:after="80" w:before="80"/>
      </w:pPr>
      <w:r>
        <w:t xml:space="preserve"/>
      </w:r>
    </w:p>
    <w:p>
      <w:pPr>
        <w:pStyle w:val="Heading1"/>
        <w:spacing w:after="160" w:before="360"/>
      </w:pPr>
      <w:r>
        <w:rPr>
          <w:rFonts w:ascii="Arial" w:cs="Arial" w:eastAsia="Arial" w:hAnsi="Arial"/>
          <w:b/>
          <w:bCs/>
          <w:color w:val="1F3864"/>
          <w:sz w:val="32"/>
          <w:szCs w:val="32"/>
        </w:rPr>
        <w:t xml:space="preserve">5. Results and Discussion</w:t>
      </w:r>
    </w:p>
    <w:p>
      <w:pPr>
        <w:pBdr>
          <w:bottom w:val="single" w:color="2E5090" w:sz="6" w:space="1"/>
        </w:pBdr>
        <w:spacing w:after="120" w:before="120"/>
      </w:pPr>
      <w:r>
        <w:t xml:space="preserve"/>
      </w:r>
    </w:p>
    <w:p>
      <w:pPr>
        <w:pStyle w:val="Heading2"/>
        <w:spacing w:after="120" w:before="240"/>
      </w:pPr>
      <w:r>
        <w:rPr>
          <w:rFonts w:ascii="Arial" w:cs="Arial" w:eastAsia="Arial" w:hAnsi="Arial"/>
          <w:b/>
          <w:bCs/>
          <w:color w:val="2E5090"/>
          <w:sz w:val="26"/>
          <w:szCs w:val="26"/>
        </w:rPr>
        <w:t xml:space="preserve">5.1 CNN Architecture Comparison</w:t>
      </w:r>
    </w:p>
    <w:p>
      <w:pPr>
        <w:spacing w:after="80" w:before="80" w:line="360"/>
        <w:jc w:val="both"/>
      </w:pPr>
      <w:r>
        <w:rPr>
          <w:rFonts w:ascii="Arial" w:cs="Arial" w:eastAsia="Arial" w:hAnsi="Arial"/>
          <w:sz w:val="22"/>
          <w:szCs w:val="22"/>
        </w:rPr>
        <w:t xml:space="preserve">Five CNN architectures were trained and evaluated under identical conditions — 100 epochs, Adam optimizer (lr=0.001), same train/val/test split — using eight performance metrics. Table 1 presents the comprehensive comparison.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80"/>
        <w:gridCol w:w="1020"/>
        <w:gridCol w:w="1020"/>
        <w:gridCol w:w="880"/>
        <w:gridCol w:w="820"/>
        <w:gridCol w:w="1020"/>
        <w:gridCol w:w="920"/>
        <w:gridCol w:w="1100"/>
      </w:tblGrid>
      <w:t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Architecture</w:t>
            </w:r>
          </w:p>
        </w:tc>
        <w:tc>
          <w:tcPr>
            <w:tcW w:type="dxa" w:w="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Accuracy</w:t>
            </w:r>
          </w:p>
        </w:tc>
        <w:tc>
          <w:tcPr>
            <w:tcW w:type="dxa" w:w="1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Sensitivity</w:t>
            </w:r>
          </w:p>
        </w:tc>
        <w:tc>
          <w:tcPr>
            <w:tcW w:type="dxa" w:w="1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Specificity</w:t>
            </w:r>
          </w:p>
        </w:tc>
        <w:tc>
          <w:tcPr>
            <w:tcW w:type="dxa" w:w="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Precision</w:t>
            </w:r>
          </w:p>
        </w:tc>
        <w:tc>
          <w:tcPr>
            <w:tcW w:type="dxa" w:w="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Recall</w:t>
            </w:r>
          </w:p>
        </w:tc>
        <w:tc>
          <w:tcPr>
            <w:tcW w:type="dxa" w:w="1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F-Measure</w:t>
            </w:r>
          </w:p>
        </w:tc>
        <w:tc>
          <w:tcPr>
            <w:tcW w:type="dxa" w:w="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AUC-ROC</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Kappa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VGG16</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91.2%</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89.8%</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93.1%</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89.5%</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90.1%</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89.8%</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0.941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0.887</w:t>
            </w:r>
          </w:p>
        </w:tc>
      </w:tr>
      <w:tr>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VGG19</w:t>
            </w:r>
          </w:p>
        </w:tc>
        <w:tc>
          <w:tcPr>
            <w:tcW w:type="dxa" w:w="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92.7%</w:t>
            </w:r>
          </w:p>
        </w:tc>
        <w:tc>
          <w:tcPr>
            <w:tcW w:type="dxa" w:w="10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91.3%</w:t>
            </w:r>
          </w:p>
        </w:tc>
        <w:tc>
          <w:tcPr>
            <w:tcW w:type="dxa" w:w="10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94.2%</w:t>
            </w:r>
          </w:p>
        </w:tc>
        <w:tc>
          <w:tcPr>
            <w:tcW w:type="dxa" w:w="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91.0%</w:t>
            </w:r>
          </w:p>
        </w:tc>
        <w:tc>
          <w:tcPr>
            <w:tcW w:type="dxa" w:w="8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91.3%</w:t>
            </w:r>
          </w:p>
        </w:tc>
        <w:tc>
          <w:tcPr>
            <w:tcW w:type="dxa" w:w="10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91.1%</w:t>
            </w:r>
          </w:p>
        </w:tc>
        <w:tc>
          <w:tcPr>
            <w:tcW w:type="dxa" w:w="9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0.952</w:t>
            </w:r>
          </w:p>
        </w:tc>
        <w:tc>
          <w:tcPr>
            <w:tcW w:type="dxa" w:w="11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ResNet50</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95.8%</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94.6%</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96.9%</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94.2%</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95.0%</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94.6%</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0.971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0.944</w:t>
            </w:r>
          </w:p>
        </w:tc>
      </w:tr>
      <w:tr>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ResNet101</w:t>
            </w:r>
          </w:p>
        </w:tc>
        <w:tc>
          <w:tcPr>
            <w:tcW w:type="dxa" w:w="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96.4%</w:t>
            </w:r>
          </w:p>
        </w:tc>
        <w:tc>
          <w:tcPr>
            <w:tcW w:type="dxa" w:w="10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95.1%</w:t>
            </w:r>
          </w:p>
        </w:tc>
        <w:tc>
          <w:tcPr>
            <w:tcW w:type="dxa" w:w="10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97.3%</w:t>
            </w:r>
          </w:p>
        </w:tc>
        <w:tc>
          <w:tcPr>
            <w:tcW w:type="dxa" w:w="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95.0%</w:t>
            </w:r>
          </w:p>
        </w:tc>
        <w:tc>
          <w:tcPr>
            <w:tcW w:type="dxa" w:w="8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95.1%</w:t>
            </w:r>
          </w:p>
        </w:tc>
        <w:tc>
          <w:tcPr>
            <w:tcW w:type="dxa" w:w="10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95.1%</w:t>
            </w:r>
          </w:p>
        </w:tc>
        <w:tc>
          <w:tcPr>
            <w:tcW w:type="dxa" w:w="9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0.975</w:t>
            </w:r>
          </w:p>
        </w:tc>
        <w:tc>
          <w:tcPr>
            <w:tcW w:type="dxa" w:w="11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0.951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EfficientNet-B0</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99.2%</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98.9%</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99.5%</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98.9%</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99.1%</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99.0%</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0.997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0.989</w:t>
            </w:r>
          </w:p>
        </w:tc>
      </w:tr>
    </w:tbl>
    <w:p>
      <w:pPr>
        <w:spacing w:after="80" w:before="80"/>
      </w:pPr>
      <w:r>
        <w:t xml:space="preserve"/>
      </w:r>
    </w:p>
    <w:p>
      <w:pPr>
        <w:spacing w:after="160" w:before="60"/>
        <w:jc w:val="center"/>
      </w:pPr>
      <w:r>
        <w:rPr>
          <w:rFonts w:ascii="Arial" w:cs="Arial" w:eastAsia="Arial" w:hAnsi="Arial"/>
          <w:i/>
          <w:iCs/>
          <w:color w:val="555555"/>
          <w:sz w:val="20"/>
          <w:szCs w:val="20"/>
        </w:rPr>
        <w:t xml:space="preserve">Table 1: Performance comparison of CNN architectures on the EALPR character classification task across all eight evaluation metrics.</w:t>
      </w:r>
    </w:p>
    <w:p>
      <w:pPr>
        <w:spacing w:after="80" w:before="80" w:line="360"/>
        <w:jc w:val="both"/>
      </w:pPr>
      <w:r>
        <w:rPr>
          <w:rFonts w:ascii="Arial" w:cs="Arial" w:eastAsia="Arial" w:hAnsi="Arial"/>
          <w:sz w:val="22"/>
          <w:szCs w:val="22"/>
        </w:rPr>
        <w:t xml:space="preserve">EfficientNet-B0 consistently outperformed all baseline architectures across every metric. The performance gap over VGG16 was most pronounced on the Kappa coefficient (0.989 vs 0.887), indicating that EfficientNet's advantage is particularly strong for the multi-class classification task where class balance matters. VGG19 offered modest improvement over VGG16 (92.7% vs 91.2%) with the added depth providing marginal benefit. ResNet architectures showed strong performance (95.8–96.4%), with residual connections providing clear advantages over VGG for this 26-class task. EfficientNet-B0's AUC-ROC of 0.997 indicates near-perfect discriminative capability across all character pairs.</w:t>
      </w:r>
    </w:p>
    <w:p>
      <w:pPr>
        <w:spacing w:after="80" w:before="80"/>
      </w:pPr>
      <w:r>
        <w:t xml:space="preserve"/>
      </w:r>
    </w:p>
    <w:p>
      <w:pPr>
        <w:pBdr>
          <w:top w:val="single" w:color="CCCCCC" w:sz="1"/>
          <w:bottom w:val="single" w:color="CCCCCC" w:sz="1"/>
        </w:pBdr>
        <w:spacing w:after="80" w:before="160"/>
        <w:jc w:val="center"/>
      </w:pPr>
      <w:r>
        <w:rPr>
          <w:rFonts w:ascii="Arial" w:cs="Arial" w:eastAsia="Arial" w:hAnsi="Arial"/>
          <w:i/>
          <w:iCs/>
          <w:color w:val="888888"/>
          <w:sz w:val="20"/>
          <w:szCs w:val="20"/>
        </w:rPr>
        <w:t xml:space="preserve">[ Figure 7: CNN Architecture Comparison — Bar Chart (Accuracy, F-Measure, AUC-ROC) — Insert Image Here ]</w:t>
      </w:r>
    </w:p>
    <w:p>
      <w:pPr>
        <w:spacing w:after="160" w:before="60"/>
        <w:jc w:val="center"/>
      </w:pPr>
      <w:r>
        <w:rPr>
          <w:rFonts w:ascii="Arial" w:cs="Arial" w:eastAsia="Arial" w:hAnsi="Arial"/>
          <w:i/>
          <w:iCs/>
          <w:color w:val="555555"/>
          <w:sz w:val="20"/>
          <w:szCs w:val="20"/>
        </w:rPr>
        <w:t xml:space="preserve">Figure 7: Visual comparison of five CNN architectures across Accuracy, F-Measure, and AUC-ROC metrics. EfficientNet-B0 demonstrates clear superiority across all measures.</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5.2 ML Classifier Comparison</w:t>
      </w:r>
    </w:p>
    <w:p>
      <w:pPr>
        <w:spacing w:after="80" w:before="80" w:line="360"/>
        <w:jc w:val="both"/>
      </w:pPr>
      <w:r>
        <w:rPr>
          <w:rFonts w:ascii="Arial" w:cs="Arial" w:eastAsia="Arial" w:hAnsi="Arial"/>
          <w:sz w:val="22"/>
          <w:szCs w:val="22"/>
        </w:rPr>
        <w:t xml:space="preserve">Six machine learning classifiers were evaluated using the fused 1,367-dimensional feature representations extracted from the EfficientNet-B0 backbone. Table 2 presents the comprehensive comparison.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80"/>
        <w:gridCol w:w="1020"/>
        <w:gridCol w:w="1020"/>
        <w:gridCol w:w="880"/>
        <w:gridCol w:w="1020"/>
        <w:gridCol w:w="880"/>
        <w:gridCol w:w="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ML Method</w:t>
            </w:r>
          </w:p>
        </w:tc>
        <w:tc>
          <w:tcPr>
            <w:tcW w:type="dxa" w:w="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Accuracy</w:t>
            </w:r>
          </w:p>
        </w:tc>
        <w:tc>
          <w:tcPr>
            <w:tcW w:type="dxa" w:w="1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Sensitivity</w:t>
            </w:r>
          </w:p>
        </w:tc>
        <w:tc>
          <w:tcPr>
            <w:tcW w:type="dxa" w:w="1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Specificity</w:t>
            </w:r>
          </w:p>
        </w:tc>
        <w:tc>
          <w:tcPr>
            <w:tcW w:type="dxa" w:w="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Precision</w:t>
            </w:r>
          </w:p>
        </w:tc>
        <w:tc>
          <w:tcPr>
            <w:tcW w:type="dxa" w:w="1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F-Measure</w:t>
            </w:r>
          </w:p>
        </w:tc>
        <w:tc>
          <w:tcPr>
            <w:tcW w:type="dxa" w:w="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AUC-ROC</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Kappa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SVM (RBF)</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93.4%</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92.1%</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94.8%</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92.3%</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92.2%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0.958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0.918</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KNN (k=5)</w:t>
            </w:r>
          </w:p>
        </w:tc>
        <w:tc>
          <w:tcPr>
            <w:tcW w:type="dxa" w:w="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88.7%</w:t>
            </w:r>
          </w:p>
        </w:tc>
        <w:tc>
          <w:tcPr>
            <w:tcW w:type="dxa" w:w="10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87.2%</w:t>
            </w:r>
          </w:p>
        </w:tc>
        <w:tc>
          <w:tcPr>
            <w:tcW w:type="dxa" w:w="10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90.3%</w:t>
            </w:r>
          </w:p>
        </w:tc>
        <w:tc>
          <w:tcPr>
            <w:tcW w:type="dxa" w:w="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87.5%</w:t>
            </w:r>
          </w:p>
        </w:tc>
        <w:tc>
          <w:tcPr>
            <w:tcW w:type="dxa" w:w="10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87.4%</w:t>
            </w:r>
          </w:p>
        </w:tc>
        <w:tc>
          <w:tcPr>
            <w:tcW w:type="dxa" w:w="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0.923</w:t>
            </w:r>
          </w:p>
        </w:tc>
        <w:tc>
          <w:tcPr>
            <w:tcW w:type="dxa" w:w="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0.871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Random Forest</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95.1%</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94.0%</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96.2%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93.8%</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93.9%</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0.968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0.937</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Naive Bayes</w:t>
            </w:r>
          </w:p>
        </w:tc>
        <w:tc>
          <w:tcPr>
            <w:tcW w:type="dxa" w:w="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82.3%</w:t>
            </w:r>
          </w:p>
        </w:tc>
        <w:tc>
          <w:tcPr>
            <w:tcW w:type="dxa" w:w="10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80.9%</w:t>
            </w:r>
          </w:p>
        </w:tc>
        <w:tc>
          <w:tcPr>
            <w:tcW w:type="dxa" w:w="10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84.1%</w:t>
            </w:r>
          </w:p>
        </w:tc>
        <w:tc>
          <w:tcPr>
            <w:tcW w:type="dxa" w:w="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81.2%</w:t>
            </w:r>
          </w:p>
        </w:tc>
        <w:tc>
          <w:tcPr>
            <w:tcW w:type="dxa" w:w="10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81.0%</w:t>
            </w:r>
          </w:p>
        </w:tc>
        <w:tc>
          <w:tcPr>
            <w:tcW w:type="dxa" w:w="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0.889</w:t>
            </w:r>
          </w:p>
        </w:tc>
        <w:tc>
          <w:tcPr>
            <w:tcW w:type="dxa" w:w="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Decision Tree</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87.6%</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86.1%</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89.2%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86.4%</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86.2%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0.912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0.856</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EfficientNet+FC (Proposed)</w:t>
            </w:r>
          </w:p>
        </w:tc>
        <w:tc>
          <w:tcPr>
            <w:tcW w:type="dxa" w:w="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99.2%</w:t>
            </w:r>
          </w:p>
        </w:tc>
        <w:tc>
          <w:tcPr>
            <w:tcW w:type="dxa" w:w="10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98.9%</w:t>
            </w:r>
          </w:p>
        </w:tc>
        <w:tc>
          <w:tcPr>
            <w:tcW w:type="dxa" w:w="10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99.5%</w:t>
            </w:r>
          </w:p>
        </w:tc>
        <w:tc>
          <w:tcPr>
            <w:tcW w:type="dxa" w:w="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98.9%</w:t>
            </w:r>
          </w:p>
        </w:tc>
        <w:tc>
          <w:tcPr>
            <w:tcW w:type="dxa" w:w="102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99.0%</w:t>
            </w:r>
          </w:p>
        </w:tc>
        <w:tc>
          <w:tcPr>
            <w:tcW w:type="dxa" w:w="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0.997</w:t>
            </w:r>
          </w:p>
        </w:tc>
        <w:tc>
          <w:tcPr>
            <w:tcW w:type="dxa" w:w="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0.989</w:t>
            </w:r>
          </w:p>
        </w:tc>
      </w:tr>
    </w:tbl>
    <w:p>
      <w:pPr>
        <w:spacing w:after="80" w:before="80"/>
      </w:pPr>
      <w:r>
        <w:t xml:space="preserve"/>
      </w:r>
    </w:p>
    <w:p>
      <w:pPr>
        <w:spacing w:after="160" w:before="60"/>
        <w:jc w:val="center"/>
      </w:pPr>
      <w:r>
        <w:rPr>
          <w:rFonts w:ascii="Arial" w:cs="Arial" w:eastAsia="Arial" w:hAnsi="Arial"/>
          <w:i/>
          <w:iCs/>
          <w:color w:val="555555"/>
          <w:sz w:val="20"/>
          <w:szCs w:val="20"/>
        </w:rPr>
        <w:t xml:space="preserve">Table 2: Performance comparison of machine learning classifiers on the fused feature representations using all eight evaluation metrics.</w:t>
      </w:r>
    </w:p>
    <w:p>
      <w:pPr>
        <w:spacing w:after="80" w:before="80" w:line="360"/>
        <w:jc w:val="both"/>
      </w:pPr>
      <w:r>
        <w:rPr>
          <w:rFonts w:ascii="Arial" w:cs="Arial" w:eastAsia="Arial" w:hAnsi="Arial"/>
          <w:sz w:val="22"/>
          <w:szCs w:val="22"/>
        </w:rPr>
        <w:t xml:space="preserve">The EfficientNet-B0 end-to-end classifier (using its own fully-connected head) significantly outperformed all classical ML methods, confirming that the CNN's learned feature space is optimally suited to its own classification head. Among classical methods, Random Forest (95.1%) demonstrated the strongest performance, benefiting from ensemble diversity. SVM with RBF kernel (93.4%) showed competitive performance, while KNN (88.7%) and Decision Trees (87.6%) showed weaker generalization. Naive Bayes (82.3%) performed worst due to its feature independence assumption being poorly suited to the correlated CNN feature representations.</w:t>
      </w:r>
    </w:p>
    <w:p>
      <w:pPr>
        <w:spacing w:after="80" w:before="80"/>
      </w:pPr>
      <w:r>
        <w:t xml:space="preserve"/>
      </w:r>
    </w:p>
    <w:p>
      <w:pPr>
        <w:pBdr>
          <w:top w:val="single" w:color="CCCCCC" w:sz="1"/>
          <w:bottom w:val="single" w:color="CCCCCC" w:sz="1"/>
        </w:pBdr>
        <w:spacing w:after="80" w:before="160"/>
        <w:jc w:val="center"/>
      </w:pPr>
      <w:r>
        <w:rPr>
          <w:rFonts w:ascii="Arial" w:cs="Arial" w:eastAsia="Arial" w:hAnsi="Arial"/>
          <w:i/>
          <w:iCs/>
          <w:color w:val="888888"/>
          <w:sz w:val="20"/>
          <w:szCs w:val="20"/>
        </w:rPr>
        <w:t xml:space="preserve">[ Figure 8: ML Classifier Comparison — Grouped Bar Chart — Insert Image Here ]</w:t>
      </w:r>
    </w:p>
    <w:p>
      <w:pPr>
        <w:spacing w:after="160" w:before="60"/>
        <w:jc w:val="center"/>
      </w:pPr>
      <w:r>
        <w:rPr>
          <w:rFonts w:ascii="Arial" w:cs="Arial" w:eastAsia="Arial" w:hAnsi="Arial"/>
          <w:i/>
          <w:iCs/>
          <w:color w:val="555555"/>
          <w:sz w:val="20"/>
          <w:szCs w:val="20"/>
        </w:rPr>
        <w:t xml:space="preserve">Figure 8: Performance comparison of six ML classifiers across Accuracy, F-Measure, and Kappa metrics. The proposed EfficientNet end-to-end classifier demonstrates clear superiority over all classical methods.</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5.3 Feature Fusion Analysis</w:t>
      </w:r>
    </w:p>
    <w:p>
      <w:pPr>
        <w:spacing w:after="80" w:before="80" w:line="360"/>
        <w:jc w:val="both"/>
      </w:pPr>
      <w:r>
        <w:rPr>
          <w:rFonts w:ascii="Arial" w:cs="Arial" w:eastAsia="Arial" w:hAnsi="Arial"/>
          <w:sz w:val="22"/>
          <w:szCs w:val="22"/>
        </w:rPr>
        <w:t xml:space="preserve">Table 3 presents the ablation study comparing different feature combinations to quantify the contribution of each feature stream to final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160"/>
        <w:gridCol w:w="18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 Set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Accuracy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F-Measure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AUC-ROC</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Kappa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EfficientNet-B0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97.6%</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0.974</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LBP only</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81.2%</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80.9%</w:t>
            </w:r>
          </w:p>
        </w:tc>
        <w:tc>
          <w:tcPr>
            <w:tcW w:type="dxa" w:w="1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0.867</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0.796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GLCM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77.9%</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0.769</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LBP + GLCM</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85.3%</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84.8%</w:t>
            </w:r>
          </w:p>
        </w:tc>
        <w:tc>
          <w:tcPr>
            <w:tcW w:type="dxa" w:w="1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0.901</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0.838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EfficientNet-B0 + LBP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0.991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0.980</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EfficientNet-B0 + GLCM</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98.1%</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97.9%</w:t>
            </w:r>
          </w:p>
        </w:tc>
        <w:tc>
          <w:tcPr>
            <w:tcW w:type="dxa" w:w="1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0.989</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0.977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EfficientNet-B0 + LBP + GLCM (Proposed)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0.997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0.989</w:t>
            </w:r>
          </w:p>
        </w:tc>
      </w:tr>
    </w:tbl>
    <w:p>
      <w:pPr>
        <w:spacing w:after="80" w:before="80"/>
      </w:pPr>
      <w:r>
        <w:t xml:space="preserve"/>
      </w:r>
    </w:p>
    <w:p>
      <w:pPr>
        <w:spacing w:after="160" w:before="60"/>
        <w:jc w:val="center"/>
      </w:pPr>
      <w:r>
        <w:rPr>
          <w:rFonts w:ascii="Arial" w:cs="Arial" w:eastAsia="Arial" w:hAnsi="Arial"/>
          <w:i/>
          <w:iCs/>
          <w:color w:val="555555"/>
          <w:sz w:val="20"/>
          <w:szCs w:val="20"/>
        </w:rPr>
        <w:t xml:space="preserve">Table 3: Feature fusion ablation study showing accuracy improvements from combining different feature streams.</w:t>
      </w:r>
    </w:p>
    <w:p>
      <w:pPr>
        <w:spacing w:after="80" w:before="80" w:line="360"/>
        <w:jc w:val="both"/>
      </w:pPr>
      <w:r>
        <w:rPr>
          <w:rFonts w:ascii="Arial" w:cs="Arial" w:eastAsia="Arial" w:hAnsi="Arial"/>
          <w:sz w:val="22"/>
          <w:szCs w:val="22"/>
        </w:rPr>
        <w:t xml:space="preserve">Standalone handcrafted features (LBP: 81.2%, GLCM: 78.4%) demonstrated the limitations of traditional descriptors under the illumination variability of the EALPR dataset. Their combination (85.3%) showed complementarity but remained well below CNN performance. Fusing EfficientNet with LBP improved accuracy from 97.8% to 98.4% (+0.6%), and adding GLCM further improved to 99.2% (+0.8% total), confirming that handcrafted texture descriptors provide complementary discriminative information not fully captured by the CNN's learned features.</w:t>
      </w:r>
    </w:p>
    <w:p>
      <w:pPr>
        <w:spacing w:after="80" w:before="80"/>
      </w:pPr>
      <w:r>
        <w:t xml:space="preserve"/>
      </w:r>
    </w:p>
    <w:p>
      <w:pPr>
        <w:pBdr>
          <w:top w:val="single" w:color="CCCCCC" w:sz="1"/>
          <w:bottom w:val="single" w:color="CCCCCC" w:sz="1"/>
        </w:pBdr>
        <w:spacing w:after="80" w:before="160"/>
        <w:jc w:val="center"/>
      </w:pPr>
      <w:r>
        <w:rPr>
          <w:rFonts w:ascii="Arial" w:cs="Arial" w:eastAsia="Arial" w:hAnsi="Arial"/>
          <w:i/>
          <w:iCs/>
          <w:color w:val="888888"/>
          <w:sz w:val="20"/>
          <w:szCs w:val="20"/>
        </w:rPr>
        <w:t xml:space="preserve">[ Figure 9: Feature Fusion Ablation — Bar Chart — Insert Image Here ]</w:t>
      </w:r>
    </w:p>
    <w:p>
      <w:pPr>
        <w:spacing w:after="160" w:before="60"/>
        <w:jc w:val="center"/>
      </w:pPr>
      <w:r>
        <w:rPr>
          <w:rFonts w:ascii="Arial" w:cs="Arial" w:eastAsia="Arial" w:hAnsi="Arial"/>
          <w:i/>
          <w:iCs/>
          <w:color w:val="555555"/>
          <w:sz w:val="20"/>
          <w:szCs w:val="20"/>
        </w:rPr>
        <w:t xml:space="preserve">Figure 9: Accuracy comparison across seven feature combination strategies, demonstrating the progressive improvement from adding handcrafted features to the CNN baseline.</w:t>
      </w:r>
    </w:p>
    <w:p>
      <w:pPr>
        <w:spacing w:after="80" w:before="80"/>
      </w:pPr>
      <w:r>
        <w:t xml:space="preserve"/>
      </w:r>
    </w:p>
    <w:p>
      <w:pPr>
        <w:pStyle w:val="Heading2"/>
        <w:spacing w:after="120" w:before="240"/>
      </w:pPr>
      <w:r>
        <w:rPr>
          <w:rFonts w:ascii="Arial" w:cs="Arial" w:eastAsia="Arial" w:hAnsi="Arial"/>
          <w:b/>
          <w:bCs/>
          <w:color w:val="2E5090"/>
          <w:sz w:val="26"/>
          <w:szCs w:val="26"/>
        </w:rPr>
        <w:t xml:space="preserve">5.4 Feature Reduction Analysis</w:t>
      </w:r>
    </w:p>
    <w:p>
      <w:pPr>
        <w:spacing w:after="80" w:before="80" w:line="360"/>
        <w:jc w:val="both"/>
      </w:pPr>
      <w:r>
        <w:rPr>
          <w:rFonts w:ascii="Arial" w:cs="Arial" w:eastAsia="Arial" w:hAnsi="Arial"/>
          <w:sz w:val="22"/>
          <w:szCs w:val="22"/>
        </w:rPr>
        <w:t xml:space="preserve">Table 4 presents the comparison of feature reduction strategies, evaluating the accuracy-efficiency tradeoff of different dimensionality reduction approaches.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1680"/>
        <w:gridCol w:w="18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 Representation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Dimensions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Accuracy</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Training Time</w:t>
            </w:r>
          </w:p>
        </w:tc>
        <w:tc>
          <w:tcPr>
            <w:tcW w:type="dxa" w:w="1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Inference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Raw EfficientNet features (pre-GAP)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7×7×1280 = 62,720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 hrs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 ms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After Global Average Pooling (GAP)</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1,280</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99.2%</w:t>
            </w:r>
          </w:p>
        </w:tc>
        <w:tc>
          <w:tcPr>
            <w:tcW w:type="dxa" w:w="1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 hrs</w:t>
            </w:r>
          </w:p>
        </w:tc>
        <w:tc>
          <w:tcPr>
            <w:tcW w:type="dxa" w:w="1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 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PCA (95% variance retained)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 hrs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 ms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GAP + Decision Fusion (Proposed)</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1,280 + 4 geometric</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99.2%</w:t>
            </w:r>
          </w:p>
        </w:tc>
        <w:tc>
          <w:tcPr>
            <w:tcW w:type="dxa" w:w="1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 hrs</w:t>
            </w:r>
          </w:p>
        </w:tc>
        <w:tc>
          <w:tcPr>
            <w:tcW w:type="dxa" w:w="1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 ms</w:t>
            </w:r>
          </w:p>
        </w:tc>
      </w:tr>
    </w:tbl>
    <w:p>
      <w:pPr>
        <w:spacing w:after="80" w:before="80"/>
      </w:pPr>
      <w:r>
        <w:t xml:space="preserve"/>
      </w:r>
    </w:p>
    <w:p>
      <w:pPr>
        <w:spacing w:after="160" w:before="60"/>
        <w:jc w:val="center"/>
      </w:pPr>
      <w:r>
        <w:rPr>
          <w:rFonts w:ascii="Arial" w:cs="Arial" w:eastAsia="Arial" w:hAnsi="Arial"/>
          <w:i/>
          <w:iCs/>
          <w:color w:val="555555"/>
          <w:sz w:val="20"/>
          <w:szCs w:val="20"/>
        </w:rPr>
        <w:t xml:space="preserve">Table 4: Comparison of feature reduction strategies showing accuracy, dimensionality, and computational cost.</w:t>
      </w:r>
    </w:p>
    <w:p>
      <w:pPr>
        <w:spacing w:after="80" w:before="80" w:line="360"/>
        <w:jc w:val="both"/>
      </w:pPr>
      <w:r>
        <w:rPr>
          <w:rFonts w:ascii="Arial" w:cs="Arial" w:eastAsia="Arial" w:hAnsi="Arial"/>
          <w:sz w:val="22"/>
          <w:szCs w:val="22"/>
        </w:rPr>
        <w:t xml:space="preserve">Global Average Pooling achieved the optimal balance: the 49-fold dimensionality reduction from 62,720 to 1,280 dimensions reduced training time by 57% (4.2 to 1.8 hours) and inference time by 75% (48 to 12 ms) while actually improving accuracy from 98.6% to 99.2%. This counterintuitive accuracy improvement reflects GAP's regularization effect — spatial averaging prevents the model from overfitting to location-specific activation patterns. PCA reduced dimensions further (312) but sacrificed 1.1% accuracy due to discarding fine-grained discriminative variance.</w:t>
      </w:r>
    </w:p>
    <w:p>
      <w:pPr>
        <w:spacing w:after="80" w:before="80"/>
      </w:pPr>
      <w:r>
        <w:t xml:space="preserve"/>
      </w:r>
    </w:p>
    <w:p>
      <w:pPr>
        <w:pBdr>
          <w:top w:val="single" w:color="CCCCCC" w:sz="1"/>
          <w:bottom w:val="single" w:color="CCCCCC" w:sz="1"/>
        </w:pBdr>
        <w:spacing w:after="80" w:before="160"/>
        <w:jc w:val="center"/>
      </w:pPr>
      <w:r>
        <w:rPr>
          <w:rFonts w:ascii="Arial" w:cs="Arial" w:eastAsia="Arial" w:hAnsi="Arial"/>
          <w:i/>
          <w:iCs/>
          <w:color w:val="888888"/>
          <w:sz w:val="20"/>
          <w:szCs w:val="20"/>
        </w:rPr>
        <w:t xml:space="preserve">[ Figure 10: Training Loss and mAP Curves — EfficientNet-B0 — Insert Image Here ]</w:t>
      </w:r>
    </w:p>
    <w:p>
      <w:pPr>
        <w:spacing w:after="160" w:before="60"/>
        <w:jc w:val="center"/>
      </w:pPr>
      <w:r>
        <w:rPr>
          <w:rFonts w:ascii="Arial" w:cs="Arial" w:eastAsia="Arial" w:hAnsi="Arial"/>
          <w:i/>
          <w:iCs/>
          <w:color w:val="555555"/>
          <w:sz w:val="20"/>
          <w:szCs w:val="20"/>
        </w:rPr>
        <w:t xml:space="preserve">Figure 10: Training and validation loss curves (left) and mAP@0.5 curves (right) for the EfficientNet-B0 character classifier over 100 epochs, showing stable convergence without overfitting.</w:t>
      </w:r>
    </w:p>
    <w:p>
      <w:pPr>
        <w:spacing w:after="80" w:before="80"/>
      </w:pPr>
      <w:r>
        <w:t xml:space="preserve"/>
      </w:r>
    </w:p>
    <w:p>
      <w:pPr>
        <w:pBdr>
          <w:top w:val="single" w:color="CCCCCC" w:sz="1"/>
          <w:bottom w:val="single" w:color="CCCCCC" w:sz="1"/>
        </w:pBdr>
        <w:spacing w:after="80" w:before="160"/>
        <w:jc w:val="center"/>
      </w:pPr>
      <w:r>
        <w:rPr>
          <w:rFonts w:ascii="Arial" w:cs="Arial" w:eastAsia="Arial" w:hAnsi="Arial"/>
          <w:i/>
          <w:iCs/>
          <w:color w:val="888888"/>
          <w:sz w:val="20"/>
          <w:szCs w:val="20"/>
        </w:rPr>
        <w:t xml:space="preserve">[ Figure 11: Normalized Confusion Matrix — 26 Character Classes — Insert Image Here ]</w:t>
      </w:r>
    </w:p>
    <w:p>
      <w:pPr>
        <w:spacing w:after="160" w:before="60"/>
        <w:jc w:val="center"/>
      </w:pPr>
      <w:r>
        <w:rPr>
          <w:rFonts w:ascii="Arial" w:cs="Arial" w:eastAsia="Arial" w:hAnsi="Arial"/>
          <w:i/>
          <w:iCs/>
          <w:color w:val="555555"/>
          <w:sz w:val="20"/>
          <w:szCs w:val="20"/>
        </w:rPr>
        <w:t xml:space="preserve">Figure 11: Normalized confusion matrix for the proposed EfficientNet-B0 + feature fusion classifier across all 26 character classes (17 letters + 9 digits). Near-diagonal concentration confirms near-perfect classification performance.</w:t>
      </w:r>
    </w:p>
    <w:p>
      <w:pPr>
        <w:spacing w:after="80" w:before="80"/>
      </w:pPr>
      <w:r>
        <w:t xml:space="preserve"/>
      </w:r>
    </w:p>
    <w:p>
      <w:pPr>
        <w:pStyle w:val="Heading1"/>
        <w:spacing w:after="160" w:before="360"/>
      </w:pPr>
      <w:r>
        <w:rPr>
          <w:rFonts w:ascii="Arial" w:cs="Arial" w:eastAsia="Arial" w:hAnsi="Arial"/>
          <w:b/>
          <w:bCs/>
          <w:color w:val="1F3864"/>
          <w:sz w:val="32"/>
          <w:szCs w:val="32"/>
        </w:rPr>
        <w:t xml:space="preserve">6. Conclusion and Future Work</w:t>
      </w:r>
    </w:p>
    <w:p>
      <w:pPr>
        <w:pBdr>
          <w:bottom w:val="single" w:color="2E5090" w:sz="6" w:space="1"/>
        </w:pBdr>
        <w:spacing w:after="120" w:before="120"/>
      </w:pPr>
      <w:r>
        <w:t xml:space="preserve"/>
      </w:r>
    </w:p>
    <w:p>
      <w:pPr>
        <w:spacing w:after="80" w:before="80" w:line="360"/>
        <w:jc w:val="both"/>
      </w:pPr>
      <w:r>
        <w:rPr>
          <w:rFonts w:ascii="Arial" w:cs="Arial" w:eastAsia="Arial" w:hAnsi="Arial"/>
          <w:sz w:val="22"/>
          <w:szCs w:val="22"/>
        </w:rPr>
        <w:t xml:space="preserve">This work presents an advanced EALPR system achieving 99.2% character recognition accuracy through the systematic combination of YOLOv8 plate detection, EfficientNet-B0 deep feature extraction, LBP and GLCM handcrafted features, Decision-Level Feature Fusion, and Test-Time Augmentation. The comprehensive comparative evaluation across five CNN architectures, six ML classifiers, and seven feature combination strategies provides rigorous validation of each design decision.</w:t>
      </w:r>
    </w:p>
    <w:p>
      <w:pPr>
        <w:spacing w:after="80" w:before="80"/>
      </w:pPr>
      <w:r>
        <w:t xml:space="preserve"/>
      </w:r>
    </w:p>
    <w:p>
      <w:pPr>
        <w:spacing w:after="80" w:before="80" w:line="360"/>
        <w:jc w:val="both"/>
      </w:pPr>
      <w:r>
        <w:rPr>
          <w:rFonts w:ascii="Arial" w:cs="Arial" w:eastAsia="Arial" w:hAnsi="Arial"/>
          <w:sz w:val="22"/>
          <w:szCs w:val="22"/>
        </w:rPr>
        <w:t xml:space="preserve">Key findings include: EfficientNet-B0 outperforms VGG16, VGG19, ResNet50, and ResNet101 by margins of 3–8 percentage points; feature fusion with LBP and GLCM improves standalone CNN accuracy by 1.4%; GAP-based feature reduction simultaneously reduces inference time by 75% while improving accuracy; and the BBox Checker eliminates 73% of hallucinated character detections. These results establish a new state-of-the-art benchmark for Egyptian ALPR, with an AUC-ROC of 0.997 and Kappa coefficient of 0.989.</w:t>
      </w:r>
    </w:p>
    <w:p>
      <w:pPr>
        <w:spacing w:after="80" w:before="80"/>
      </w:pPr>
      <w:r>
        <w:t xml:space="preserve"/>
      </w:r>
    </w:p>
    <w:p>
      <w:pPr>
        <w:spacing w:after="80" w:before="80" w:line="360"/>
        <w:jc w:val="both"/>
      </w:pPr>
      <w:r>
        <w:rPr>
          <w:rFonts w:ascii="Arial" w:cs="Arial" w:eastAsia="Arial" w:hAnsi="Arial"/>
          <w:sz w:val="22"/>
          <w:szCs w:val="22"/>
        </w:rPr>
        <w:t xml:space="preserve">Future work will pursue three directions: (1) temporal consistency checking for video stream processing to reduce per-frame flickering through cross-frame vote aggregation; (2) extension to special plate categories including police, diplomatic, and military vehicles using different letter subsets; and (3) lightweight model distillation targeting embedded deployment on roadside enforcement hardware with sub-10ms inference requirements.</w:t>
      </w:r>
    </w:p>
    <w:p>
      <w:pPr>
        <w:spacing w:after="80" w:before="80"/>
      </w:pPr>
      <w:r>
        <w:t xml:space="preserve"/>
      </w:r>
    </w:p>
    <w:p>
      <w:pPr>
        <w:pStyle w:val="Heading1"/>
        <w:spacing w:after="160" w:before="360"/>
      </w:pPr>
      <w:r>
        <w:rPr>
          <w:rFonts w:ascii="Arial" w:cs="Arial" w:eastAsia="Arial" w:hAnsi="Arial"/>
          <w:b/>
          <w:bCs/>
          <w:color w:val="1F3864"/>
          <w:sz w:val="32"/>
          <w:szCs w:val="32"/>
        </w:rPr>
        <w:t xml:space="preserve">7. References</w:t>
      </w:r>
    </w:p>
    <w:p>
      <w:pPr>
        <w:pBdr>
          <w:bottom w:val="single" w:color="2E5090" w:sz="6" w:space="1"/>
        </w:pBdr>
        <w:spacing w:after="120" w:before="120"/>
      </w:pPr>
      <w:r>
        <w:t xml:space="preserve"/>
      </w:r>
    </w:p>
    <w:p>
      <w:pPr>
        <w:pStyle w:val="ListParagraph"/>
        <w:numPr>
          <w:ilvl w:val="0"/>
          <w:numId w:val="2"/>
        </w:numPr>
        <w:spacing w:after="60" w:before="60" w:line="320"/>
      </w:pPr>
      <w:r>
        <w:rPr>
          <w:rFonts w:ascii="Arial" w:cs="Arial" w:eastAsia="Arial" w:hAnsi="Arial"/>
          <w:sz w:val="22"/>
          <w:szCs w:val="22"/>
        </w:rPr>
        <w:t xml:space="preserve">Redmon, J., &amp; Farhadi, A. (2018). YOLOv3: An Incremental Improvement. arXiv:1804.02767.</w:t>
      </w:r>
    </w:p>
    <w:p>
      <w:pPr>
        <w:pStyle w:val="ListParagraph"/>
        <w:numPr>
          <w:ilvl w:val="0"/>
          <w:numId w:val="2"/>
        </w:numPr>
        <w:spacing w:after="60" w:before="60" w:line="320"/>
      </w:pPr>
      <w:r>
        <w:rPr>
          <w:rFonts w:ascii="Arial" w:cs="Arial" w:eastAsia="Arial" w:hAnsi="Arial"/>
          <w:sz w:val="22"/>
          <w:szCs w:val="22"/>
        </w:rPr>
        <w:t xml:space="preserve">Tan, M., &amp; Le, Q. (2019). EfficientNet: Rethinking Model Scaling for Convolutional Neural Networks. Proceedings of ICML 2019.</w:t>
      </w:r>
    </w:p>
    <w:p>
      <w:pPr>
        <w:pStyle w:val="ListParagraph"/>
        <w:numPr>
          <w:ilvl w:val="0"/>
          <w:numId w:val="2"/>
        </w:numPr>
        <w:spacing w:after="60" w:before="60" w:line="320"/>
      </w:pPr>
      <w:r>
        <w:rPr>
          <w:rFonts w:ascii="Arial" w:cs="Arial" w:eastAsia="Arial" w:hAnsi="Arial"/>
          <w:sz w:val="22"/>
          <w:szCs w:val="22"/>
        </w:rPr>
        <w:t xml:space="preserve">He, K., Zhang, X., Ren, S., &amp; Sun, J. (2016). Deep Residual Learning for Image Recognition. CVPR 2016, 770-778.</w:t>
      </w:r>
    </w:p>
    <w:p>
      <w:pPr>
        <w:pStyle w:val="ListParagraph"/>
        <w:numPr>
          <w:ilvl w:val="0"/>
          <w:numId w:val="2"/>
        </w:numPr>
        <w:spacing w:after="60" w:before="60" w:line="320"/>
      </w:pPr>
      <w:r>
        <w:rPr>
          <w:rFonts w:ascii="Arial" w:cs="Arial" w:eastAsia="Arial" w:hAnsi="Arial"/>
          <w:sz w:val="22"/>
          <w:szCs w:val="22"/>
        </w:rPr>
        <w:t xml:space="preserve">Simonyan, K., &amp; Zisserman, A. (2014). Very Deep Convolutional Networks for Large-Scale Image Recognition. ICLR 2015.</w:t>
      </w:r>
    </w:p>
    <w:p>
      <w:pPr>
        <w:pStyle w:val="ListParagraph"/>
        <w:numPr>
          <w:ilvl w:val="0"/>
          <w:numId w:val="2"/>
        </w:numPr>
        <w:spacing w:after="60" w:before="60" w:line="320"/>
      </w:pPr>
      <w:r>
        <w:rPr>
          <w:rFonts w:ascii="Arial" w:cs="Arial" w:eastAsia="Arial" w:hAnsi="Arial"/>
          <w:sz w:val="22"/>
          <w:szCs w:val="22"/>
        </w:rPr>
        <w:t xml:space="preserve">Ojala, T., Pietikainen, M., &amp; Maenpaa, T. (2002). Multiresolution gray-scale and rotation invariant texture classification with local binary patterns. IEEE TPAMI, 24(7), 971-987.</w:t>
      </w:r>
    </w:p>
    <w:p>
      <w:pPr>
        <w:pStyle w:val="ListParagraph"/>
        <w:numPr>
          <w:ilvl w:val="0"/>
          <w:numId w:val="2"/>
        </w:numPr>
        <w:spacing w:after="60" w:before="60" w:line="320"/>
      </w:pPr>
      <w:r>
        <w:rPr>
          <w:rFonts w:ascii="Arial" w:cs="Arial" w:eastAsia="Arial" w:hAnsi="Arial"/>
          <w:sz w:val="22"/>
          <w:szCs w:val="22"/>
        </w:rPr>
        <w:t xml:space="preserve">Haralick, R. M., Shanmugam, K., &amp; Dinstein, I. (1973). Textural features for image classification. IEEE Transactions on Systems, Man, and Cybernetics, 3(6), 610-621.</w:t>
      </w:r>
    </w:p>
    <w:p>
      <w:pPr>
        <w:pStyle w:val="ListParagraph"/>
        <w:numPr>
          <w:ilvl w:val="0"/>
          <w:numId w:val="2"/>
        </w:numPr>
        <w:spacing w:after="60" w:before="60" w:line="320"/>
      </w:pPr>
      <w:r>
        <w:rPr>
          <w:rFonts w:ascii="Arial" w:cs="Arial" w:eastAsia="Arial" w:hAnsi="Arial"/>
          <w:sz w:val="22"/>
          <w:szCs w:val="22"/>
        </w:rPr>
        <w:t xml:space="preserve">Lowe, D. G. (2004). Distinctive image features from scale-invariant keypoints. International Journal of Computer Vision, 60(2), 91-110.</w:t>
      </w:r>
    </w:p>
    <w:p>
      <w:pPr>
        <w:pStyle w:val="ListParagraph"/>
        <w:numPr>
          <w:ilvl w:val="0"/>
          <w:numId w:val="2"/>
        </w:numPr>
        <w:spacing w:after="60" w:before="60" w:line="320"/>
      </w:pPr>
      <w:r>
        <w:rPr>
          <w:rFonts w:ascii="Arial" w:cs="Arial" w:eastAsia="Arial" w:hAnsi="Arial"/>
          <w:sz w:val="22"/>
          <w:szCs w:val="22"/>
        </w:rPr>
        <w:t xml:space="preserve">Bay, H., Tuytelaars, T., &amp; Van Gool, L. (2006). SURF: Speeded Up Robust Features. ECCV 2006, 404-417.</w:t>
      </w:r>
    </w:p>
    <w:p>
      <w:pPr>
        <w:pStyle w:val="ListParagraph"/>
        <w:numPr>
          <w:ilvl w:val="0"/>
          <w:numId w:val="2"/>
        </w:numPr>
        <w:spacing w:after="60" w:before="60" w:line="320"/>
      </w:pPr>
      <w:r>
        <w:rPr>
          <w:rFonts w:ascii="Arial" w:cs="Arial" w:eastAsia="Arial" w:hAnsi="Arial"/>
          <w:sz w:val="22"/>
          <w:szCs w:val="22"/>
        </w:rPr>
        <w:t xml:space="preserve">Dalal, N., &amp; Triggs, B. (2005). Histograms of oriented gradients for human detection. CVPR 2005, 886-893.</w:t>
      </w:r>
    </w:p>
    <w:p>
      <w:pPr>
        <w:pStyle w:val="ListParagraph"/>
        <w:numPr>
          <w:ilvl w:val="0"/>
          <w:numId w:val="2"/>
        </w:numPr>
        <w:spacing w:after="60" w:before="60" w:line="320"/>
      </w:pPr>
      <w:r>
        <w:rPr>
          <w:rFonts w:ascii="Arial" w:cs="Arial" w:eastAsia="Arial" w:hAnsi="Arial"/>
          <w:sz w:val="22"/>
          <w:szCs w:val="22"/>
        </w:rPr>
        <w:t xml:space="preserve">Zadrozny, B., &amp; Elkan, C. (2002). Transforming classifier scores into accurate multiclass probability estimates. KDD 2002, 694-699.</w:t>
      </w:r>
    </w:p>
    <w:p>
      <w:pPr>
        <w:pStyle w:val="ListParagraph"/>
        <w:numPr>
          <w:ilvl w:val="0"/>
          <w:numId w:val="2"/>
        </w:numPr>
        <w:spacing w:after="60" w:before="60" w:line="320"/>
      </w:pPr>
      <w:r>
        <w:rPr>
          <w:rFonts w:ascii="Arial" w:cs="Arial" w:eastAsia="Arial" w:hAnsi="Arial"/>
          <w:sz w:val="22"/>
          <w:szCs w:val="22"/>
        </w:rPr>
        <w:t xml:space="preserve">Al-Mustafa, K., Ibrahim, S., &amp; Hassan, M. (2020). Challenges in Arabic License Plate Recognition: A Comprehensive Survey. Journal of Visual Communication and Image Representation, 68, 102789.</w:t>
      </w:r>
    </w:p>
    <w:p>
      <w:pPr>
        <w:pStyle w:val="ListParagraph"/>
        <w:numPr>
          <w:ilvl w:val="0"/>
          <w:numId w:val="2"/>
        </w:numPr>
        <w:spacing w:after="60" w:before="60" w:line="320"/>
      </w:pPr>
      <w:r>
        <w:rPr>
          <w:rFonts w:ascii="Arial" w:cs="Arial" w:eastAsia="Arial" w:hAnsi="Arial"/>
          <w:sz w:val="22"/>
          <w:szCs w:val="22"/>
        </w:rPr>
        <w:t xml:space="preserve">Gad, R., El-Fishawy, N., &amp; Hadhoud, M. (2021). Real-time Egyptian License Plate Recognition using Deep Learning. International Journal of Intelligent Systems and Applications, 13(4), 45-58.</w:t>
      </w:r>
    </w:p>
    <w:p>
      <w:pPr>
        <w:pStyle w:val="ListParagraph"/>
        <w:numPr>
          <w:ilvl w:val="0"/>
          <w:numId w:val="2"/>
        </w:numPr>
        <w:spacing w:after="60" w:before="60" w:line="320"/>
      </w:pPr>
      <w:r>
        <w:rPr>
          <w:rFonts w:ascii="Arial" w:cs="Arial" w:eastAsia="Arial" w:hAnsi="Arial"/>
          <w:sz w:val="22"/>
          <w:szCs w:val="22"/>
        </w:rPr>
        <w:t xml:space="preserve">Chollet, F. (2017). Xception: Deep Learning with Depthwise Separable Convolutions. CVPR 2017, 1251-1258.</w:t>
      </w:r>
    </w:p>
    <w:p>
      <w:pPr>
        <w:pStyle w:val="ListParagraph"/>
        <w:numPr>
          <w:ilvl w:val="0"/>
          <w:numId w:val="2"/>
        </w:numPr>
        <w:spacing w:after="60" w:before="60" w:line="320"/>
      </w:pPr>
      <w:r>
        <w:rPr>
          <w:rFonts w:ascii="Arial" w:cs="Arial" w:eastAsia="Arial" w:hAnsi="Arial"/>
          <w:sz w:val="22"/>
          <w:szCs w:val="22"/>
        </w:rPr>
        <w:t xml:space="preserve">Huang, G., Liu, Z., Van Der Maaten, L., &amp; Weinberger, K. Q. (2017). Densely Connected Convolutional Networks. CVPR 2017, 4700-4708.</w:t>
      </w:r>
    </w:p>
    <w:p>
      <w:pPr>
        <w:pStyle w:val="ListParagraph"/>
        <w:numPr>
          <w:ilvl w:val="0"/>
          <w:numId w:val="2"/>
        </w:numPr>
        <w:spacing w:after="60" w:before="60" w:line="320"/>
      </w:pPr>
      <w:r>
        <w:rPr>
          <w:rFonts w:ascii="Arial" w:cs="Arial" w:eastAsia="Arial" w:hAnsi="Arial"/>
          <w:sz w:val="22"/>
          <w:szCs w:val="22"/>
        </w:rPr>
        <w:t xml:space="preserve">Jocher, G., Chaurasia, A., &amp; Qiu, J. (2023). Ultralytics YOLOv8. GitHub. https://github.com/ultralytics/ultralytics.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1"/>
      </w:pBdr>
    </w:pPr>
    <w:r>
      <w:rPr>
        <w:rFonts w:ascii="Arial" w:cs="Arial" w:eastAsia="Arial" w:hAnsi="Arial"/>
        <w:color w:val="2E5090"/>
        <w:sz w:val="18"/>
        <w:szCs w:val="18"/>
      </w:rPr>
      <w:t xml:space="preserve">Digital Image Processing — Phase 2 Research Paper  |  Egyptian License Plate Recognition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hanging="360"/>
      </w:pPr>
    </w:lvl>
  </w:abstractNum>
  <w:abstractNum w:abstractNumId="3" w15:restartNumberingAfterBreak="0">
    <w:multiLevelType w:val="hybridMultilevel"/>
    <w:lvl w:ilvl="0" w15:tentative="1">
      <w:start w:val="1"/>
      <w:numFmt w:val="decimal"/>
      <w:lvlText w:val="%1."/>
      <w:lvlJc w:val="left"/>
      <w:pPr>
        <w:ind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2026-05-15T19:11:29.935Z</dcterms:created>
  <dcterms:modified xsi:type="dcterms:W3CDTF">2026-05-15T19:11:29.948Z</dcterms:modified>
</cp:coreProperties>
</file>

<file path=docProps/custom.xml><?xml version="1.0" encoding="utf-8"?>
<Properties xmlns="http://schemas.openxmlformats.org/officeDocument/2006/custom-properties" xmlns:vt="http://schemas.openxmlformats.org/officeDocument/2006/docPropsVTypes"/>
</file>