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Sensitivity analyses: overdose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6"/>
        <w:gridCol w:w="2232"/>
        <w:gridCol w:w="1512"/>
        <w:gridCol w:w="2232"/>
        <w:gridCol w:w="2952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Sensitivity 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Dose adjustment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Episodes at 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at reinitiation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1-month risk, %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1-month risk difference, pp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(95% CI)</w:t>
            </w:r>
          </w:p>
        </w:tc>
      </w:tr>
      <w:tr>
        <w:trPr>
          <w:trHeight w:val="360" w:hRule="auto"/>
        </w:trPr>
        body 1
        <w:tc>
          <w:tcPr>
            <w:gridSpan w:val="5"/>
            <w:tcBorders>
              <w:bottom w:val="single" w:sz="6" w:space="0" w:color="9EADBA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Primary Analysis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First interruption in any episode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gridSpan w:val="5"/>
            <w:tcBorders>
              <w:bottom w:val="single" w:sz="6" w:space="0" w:color="9EADBA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Sample restriction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First interruption in first episode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Missed at &lt;80mg of methadone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Missed at ≥80mg of methadone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Restricted to high fentanyl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1-year or longer cumulative OAT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 days of no OAT dispensation before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Alternative trial: Interruption of 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gridSpan w:val="5"/>
            <w:tcBorders>
              <w:bottom w:val="single" w:sz="6" w:space="0" w:color="9EADBA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Timeline restriction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Restricted to post-fentanyl era (≥ 04/01/2012)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gridSpan w:val="5"/>
            <w:tcBorders>
              <w:bottom w:val="single" w:sz="6" w:space="0" w:color="9EADBA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Exposure classification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 category dose adjustment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body46
        <w:tc>
          <w:tcPr>
            <w:gridSpan w:val="5"/>
            <w:tcBorders>
              <w:bottom w:val="single" w:sz="6" w:space="0" w:color="9EADBA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Outcome definition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Overdose-related acute care visits or death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All-cause acute care visits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body55
        <w:tc>
          <w:tcPr>
            <w:gridSpan w:val="5"/>
            <w:tcBorders>
              <w:bottom w:val="single" w:sz="6" w:space="0" w:color="9EADBA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Causal contrast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Censoring at subsequent interruption of &gt;2 days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body60
        <w:tc>
          <w:tcPr>
            <w:gridSpan w:val="5"/>
            <w:tcBorders>
              <w:bottom w:val="single" w:sz="6" w:space="0" w:color="9EADBA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Model specification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High-dimensional propensity score (hdPS)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hdPS with machine learning algorithm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Overlap weights based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PS model with additional provider-level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Risk differences are percentage-point contrasts versus no dose change. † Estimates suppressed when the minimum event-count rule was not met.</w:t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pStyle w:val="Titre1"/>
      </w:pPr>
      <w:r>
        <w:t xml:space="preserve">Sensitivity analyses: treatment discontinuation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6"/>
        <w:gridCol w:w="2232"/>
        <w:gridCol w:w="1512"/>
        <w:gridCol w:w="2232"/>
        <w:gridCol w:w="2952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Sensitivity 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Dose adjustment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Episodes at risk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at reinitiation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12-month risk, %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12-month risk difference, pp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(95% CI)</w:t>
            </w:r>
          </w:p>
        </w:tc>
      </w:tr>
      <w:tr>
        <w:trPr>
          <w:trHeight w:val="360" w:hRule="auto"/>
        </w:trPr>
        body 1
        <w:tc>
          <w:tcPr>
            <w:gridSpan w:val="5"/>
            <w:tcBorders>
              <w:bottom w:val="single" w:sz="6" w:space="0" w:color="9EADBA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Primary Analysis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First interruption in any episode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gridSpan w:val="5"/>
            <w:tcBorders>
              <w:bottom w:val="single" w:sz="6" w:space="0" w:color="9EADBA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Sample restriction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First interruption in first episode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Missed at &lt;80mg of methadone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Missed at ≥80mg of methadone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Restricted to high fentanyl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1-year or longer cumulative OAT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 days of no OAT dispensation before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Alternative trial: Interruption of 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gridSpan w:val="5"/>
            <w:tcBorders>
              <w:bottom w:val="single" w:sz="6" w:space="0" w:color="9EADBA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Timeline restriction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Restricted to post-fentanyl era (≥ 04/01/2012)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gridSpan w:val="5"/>
            <w:tcBorders>
              <w:bottom w:val="single" w:sz="6" w:space="0" w:color="9EADBA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Exposure classification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 category dose adjustment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body46
        <w:tc>
          <w:tcPr>
            <w:gridSpan w:val="5"/>
            <w:tcBorders>
              <w:bottom w:val="single" w:sz="6" w:space="0" w:color="9EADBA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Outcome definition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dispensation of OAT for 30 consecutive days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gridSpan w:val="5"/>
            <w:tcBorders>
              <w:bottom w:val="single" w:sz="6" w:space="0" w:color="9EADBA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Causal contrast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Censoring at subsequent interruption of &gt;2 days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body56
        <w:tc>
          <w:tcPr>
            <w:gridSpan w:val="5"/>
            <w:tcBorders>
              <w:bottom w:val="single" w:sz="6" w:space="0" w:color="9EADBA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1F4E78"/>
              </w:rPr>
              <w:t xml:space="preserve">Model specification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High-dimensional propensity score (hdPS)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9EADB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hdPS with machine learning algorithm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Overlap weights based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PS model with additional provider-level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 dose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&lt;50%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≥50% reduction/≤40mg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Dose increase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Risk differences are percentage-point contrasts versus no dose change. † Estimates suppressed when fewer than 5 events occurred in at least one treatment arm.</w:t>
      </w:r>
    </w:p>
    <w:sectPr>
      <w:pgMar w:header="708" w:bottom="792" w:top="792" w:right="792" w:left="79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2026-09-03T23:45:51Z</dcterms:modified>
  <cp:category/>
</cp:coreProperties>
</file>