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Patient Admission &amp; Discharge Policy</w:t>
      </w:r>
    </w:p>
    <w:p>
      <w:r>
        <w:t>Document ID: ANGH-01_ | Department: 01_Clinical_Operations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Defines the standard process for elective and emergency admission, patient identification, bed allocation, transfer, discharge planning, and post-discharge documentation.</w:t>
      </w:r>
    </w:p>
    <w:p>
      <w:pPr>
        <w:pStyle w:val="Heading2"/>
      </w:pPr>
      <w:r>
        <w:t>Admission Process</w:t>
      </w:r>
    </w:p>
    <w:p>
      <w:pPr>
        <w:pStyle w:val="ListBullet"/>
      </w:pPr>
      <w:r>
        <w:t>Registration verifies patient identity using two identifiers.</w:t>
      </w:r>
    </w:p>
    <w:p>
      <w:pPr>
        <w:pStyle w:val="ListBullet"/>
      </w:pPr>
      <w:r>
        <w:t>The admitting clinician records diagnosis, clinical priority, allergies, medication history, and required level of care.</w:t>
      </w:r>
    </w:p>
    <w:p>
      <w:pPr>
        <w:pStyle w:val="ListBullet"/>
      </w:pPr>
      <w:r>
        <w:t>Bed Management assigns an appropriate bed based on acuity, isolation status, gender, and specialty.</w:t>
      </w:r>
    </w:p>
    <w:p>
      <w:pPr>
        <w:pStyle w:val="ListBullet"/>
      </w:pPr>
      <w:r>
        <w:t>Nursing completes the initial assessment within 30 minutes of arrival to the ward.</w:t>
      </w:r>
    </w:p>
    <w:p>
      <w:pPr>
        <w:pStyle w:val="Heading2"/>
      </w:pPr>
      <w:r>
        <w:t>Discharge Process</w:t>
      </w:r>
    </w:p>
    <w:p>
      <w:pPr>
        <w:pStyle w:val="ListBullet"/>
      </w:pPr>
      <w:r>
        <w:t>The responsible clinician confirms clinical readiness and discharge orders.</w:t>
      </w:r>
    </w:p>
    <w:p>
      <w:pPr>
        <w:pStyle w:val="ListBullet"/>
      </w:pPr>
      <w:r>
        <w:t>Pharmacy reconciles discharge medications and provides counselling when required.</w:t>
      </w:r>
    </w:p>
    <w:p>
      <w:pPr>
        <w:pStyle w:val="ListBullet"/>
      </w:pPr>
      <w:r>
        <w:t>Billing confirms financial clearance or approved credit/insurance arrangements.</w:t>
      </w:r>
    </w:p>
    <w:p>
      <w:pPr>
        <w:pStyle w:val="ListBullet"/>
      </w:pPr>
      <w:r>
        <w:t>The patient receives a discharge summary, medication instructions, follow-up appointment, and emergency contact guidance.</w:t>
      </w:r>
    </w:p>
    <w:p>
      <w:pPr>
        <w:pStyle w:val="Heading2"/>
      </w:pPr>
      <w:r>
        <w:t>KPIs</w:t>
      </w:r>
    </w:p>
    <w:p>
      <w:r>
        <w:t>Admission registration accuracy target: 99%. Discharge summary completion before departure target: 98%. Average discharge processing time target: below 45 minutes.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Patient Admission &amp; Discharge Policy, 01_Clinical_Operations,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