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Emergency Department Operations SOP</w:t>
      </w:r>
    </w:p>
    <w:p>
      <w:r>
        <w:t>Document ID: ANGH-02_ | Department: 01_Clinical_Operations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Standardizes triage, emergency assessment, stabilization, referral, observation, admission, and discharge.</w:t>
      </w:r>
    </w:p>
    <w:p>
      <w:pPr>
        <w:pStyle w:val="Heading2"/>
      </w:pPr>
      <w:r>
        <w:t>Triage</w:t>
      </w:r>
    </w:p>
    <w:p>
      <w:r>
        <w:t>A registered nurse assigns triage priority using the hospital's five-level acuity model. Immediate threats to airway, breathing, circulation, consciousness, or severe bleeding receive the highest priority.</w:t>
      </w:r>
    </w:p>
    <w:p>
      <w:pPr>
        <w:pStyle w:val="Heading2"/>
      </w:pPr>
      <w:r>
        <w:t>Clinical Workflow</w:t>
      </w:r>
    </w:p>
    <w:p>
      <w:pPr>
        <w:pStyle w:val="ListBullet"/>
      </w:pPr>
      <w:r>
        <w:t>Triage → registration → clinician assessment → diagnostics/treatment → reassessment → disposition.</w:t>
      </w:r>
    </w:p>
    <w:p>
      <w:pPr>
        <w:pStyle w:val="ListBullet"/>
      </w:pPr>
      <w:r>
        <w:t>Critical patients are transferred directly to the resuscitation area.</w:t>
      </w:r>
    </w:p>
    <w:p>
      <w:pPr>
        <w:pStyle w:val="ListBullet"/>
      </w:pPr>
      <w:r>
        <w:t>Patients requiring admission are handed over using a structured clinical handoff.</w:t>
      </w:r>
    </w:p>
    <w:p>
      <w:pPr>
        <w:pStyle w:val="Heading2"/>
      </w:pPr>
      <w:r>
        <w:t>Escalation</w:t>
      </w:r>
    </w:p>
    <w:p>
      <w:r>
        <w:t>Any deterioration, abnormal critical result, suspected sepsis, major trauma, or unmanageable workload must be escalated to the ED consultant and nursing supervisor.</w:t>
      </w:r>
    </w:p>
    <w:p>
      <w:pPr>
        <w:pStyle w:val="Heading2"/>
      </w:pPr>
      <w:r>
        <w:t>KPIs</w:t>
      </w:r>
    </w:p>
    <w:p>
      <w:r>
        <w:t>Door-to-triage target: ≤10 minutes. Door-to-provider target for high-acuity cases: ≤15 minutes. Left-without-being-seen target: &lt;2%.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Emergency Department Operations SOP, 01_Clinical_Operations,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