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Laboratory Specimen Collection &amp; Reporting SOP</w:t>
      </w:r>
    </w:p>
    <w:p>
      <w:r>
        <w:t>Document ID: ANGH-05_ | Department: 02_Pharmacy_and_Laboratory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Ensures specimen identification, collection, transport, analysis, result validation, and reporting are controlled.</w:t>
      </w:r>
    </w:p>
    <w:p>
      <w:pPr>
        <w:pStyle w:val="Heading2"/>
      </w:pPr>
      <w:r>
        <w:t>Specimen Collection</w:t>
      </w:r>
    </w:p>
    <w:p>
      <w:pPr>
        <w:pStyle w:val="ListBullet"/>
      </w:pPr>
      <w:r>
        <w:t>Verify patient using two identifiers.</w:t>
      </w:r>
    </w:p>
    <w:p>
      <w:pPr>
        <w:pStyle w:val="ListBullet"/>
      </w:pPr>
      <w:r>
        <w:t>Label specimen immediately at the collection point.</w:t>
      </w:r>
    </w:p>
    <w:p>
      <w:pPr>
        <w:pStyle w:val="ListBullet"/>
      </w:pPr>
      <w:r>
        <w:t>Record collection time and collector identity.</w:t>
      </w:r>
    </w:p>
    <w:p>
      <w:pPr>
        <w:pStyle w:val="ListBullet"/>
      </w:pPr>
      <w:r>
        <w:t>Reject specimens that are unlabeled, mismatched, leaking, or unsuitable for the requested test.</w:t>
      </w:r>
    </w:p>
    <w:p>
      <w:pPr>
        <w:pStyle w:val="Heading2"/>
      </w:pPr>
      <w:r>
        <w:t>Critical Results</w:t>
      </w:r>
    </w:p>
    <w:p>
      <w:r>
        <w:t>Critical laboratory results are communicated to the responsible clinical team immediately and read-back is documented.</w:t>
      </w:r>
    </w:p>
    <w:p>
      <w:pPr>
        <w:pStyle w:val="Heading2"/>
      </w:pPr>
      <w:r>
        <w:t>Turnaround Times</w:t>
      </w:r>
    </w:p>
    <w:p>
      <w:r>
        <w:t>Routine CBC target: ≤90 minutes. Routine chemistry target: ≤120 minutes. Urgent tests follow department-specific escalation targets.</w:t>
      </w:r>
    </w:p>
    <w:p>
      <w:pPr>
        <w:pStyle w:val="Heading2"/>
      </w:pPr>
      <w:r>
        <w:t>Quality Controls</w:t>
      </w:r>
    </w:p>
    <w:p>
      <w:r>
        <w:t>Daily internal quality controls are reviewed before releasing affected analytical results. External quality assessment participation is maintained for applicable tests.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Laboratory Specimen Collection &amp; Reporting SOP, 02_Pharmacy_and_Laboratory,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