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Blood Bank Operations &amp; Transfusion Policy</w:t>
      </w:r>
    </w:p>
    <w:p>
      <w:r>
        <w:t>Document ID: ANGH-06_ | Department: 02_Pharmacy_and_Laboratory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Defines safe blood request, compatibility testing, storage, issue, bedside verification, administration, reaction management, and traceability.</w:t>
      </w:r>
    </w:p>
    <w:p>
      <w:pPr>
        <w:pStyle w:val="Heading2"/>
      </w:pPr>
      <w:r>
        <w:t>Blood Request</w:t>
      </w:r>
    </w:p>
    <w:p>
      <w:r>
        <w:t>The authorized clinician documents indication, component type, quantity, urgency, and relevant clinical information.</w:t>
      </w:r>
    </w:p>
    <w:p>
      <w:pPr>
        <w:pStyle w:val="Heading2"/>
      </w:pPr>
      <w:r>
        <w:t>Compatibility and Issue</w:t>
      </w:r>
    </w:p>
    <w:p>
      <w:pPr>
        <w:pStyle w:val="ListBullet"/>
      </w:pPr>
      <w:r>
        <w:t>Patient identification and sample labelling are verified before testing.</w:t>
      </w:r>
    </w:p>
    <w:p>
      <w:pPr>
        <w:pStyle w:val="ListBullet"/>
      </w:pPr>
      <w:r>
        <w:t>Blood components are issued only against an authorized request.</w:t>
      </w:r>
    </w:p>
    <w:p>
      <w:pPr>
        <w:pStyle w:val="ListBullet"/>
      </w:pPr>
      <w:r>
        <w:t>Temperature-controlled storage is monitored continuously or through approved validated monitoring systems.</w:t>
      </w:r>
    </w:p>
    <w:p>
      <w:pPr>
        <w:pStyle w:val="Heading2"/>
      </w:pPr>
      <w:r>
        <w:t>Bedside Verification</w:t>
      </w:r>
    </w:p>
    <w:p>
      <w:pPr>
        <w:pStyle w:val="ListBullet"/>
      </w:pPr>
      <w:r>
        <w:t>Two qualified staff verify patient identity, blood group, component type, unit number, expiry, and compatibility documentation before transfusion.</w:t>
      </w:r>
    </w:p>
    <w:p>
      <w:pPr>
        <w:pStyle w:val="Heading2"/>
      </w:pPr>
      <w:r>
        <w:t>Transfusion Reaction</w:t>
      </w:r>
    </w:p>
    <w:p>
      <w:r>
        <w:t>Stop transfusion immediately if a reaction is suspected, maintain IV access with appropriate fluid, notify the physician and blood bank, and document the event according to incident-reporting procedures.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Blood Bank Operations &amp; Transfusion Policy, 02_Pharmacy_and_Laboratory,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