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Insurance Claims &amp; Pre-Authorization SOP</w:t>
      </w:r>
    </w:p>
    <w:p>
      <w:r>
        <w:t>Document ID: ANGH-08_ | Department: 03_Finance_and_Billing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Standardizes insurance eligibility, pre-authorization, claim preparation, submission, rejection handling, and reconciliation.</w:t>
      </w:r>
    </w:p>
    <w:p>
      <w:pPr>
        <w:pStyle w:val="Heading2"/>
      </w:pPr>
      <w:r>
        <w:t>Eligibility</w:t>
      </w:r>
    </w:p>
    <w:p>
      <w:r>
        <w:t>Insurance desk verifies policy status, member details, coverage limits, exclusions, and required referral/pre-authorization.</w:t>
      </w:r>
    </w:p>
    <w:p>
      <w:pPr>
        <w:pStyle w:val="Heading2"/>
      </w:pPr>
      <w:r>
        <w:t>Pre-Authorization</w:t>
      </w:r>
    </w:p>
    <w:p>
      <w:pPr>
        <w:pStyle w:val="ListBullet"/>
      </w:pPr>
      <w:r>
        <w:t>Collect clinical justification and required reports.</w:t>
      </w:r>
    </w:p>
    <w:p>
      <w:pPr>
        <w:pStyle w:val="ListBullet"/>
      </w:pPr>
      <w:r>
        <w:t>Submit authorization through the insurer's approved channel.</w:t>
      </w:r>
    </w:p>
    <w:p>
      <w:pPr>
        <w:pStyle w:val="ListBullet"/>
      </w:pPr>
      <w:r>
        <w:t>Track authorization number, approved services, validity period, and financial limits.</w:t>
      </w:r>
    </w:p>
    <w:p>
      <w:pPr>
        <w:pStyle w:val="ListBullet"/>
      </w:pPr>
      <w:r>
        <w:t>Escalate delayed approvals that may affect patient care.</w:t>
      </w:r>
    </w:p>
    <w:p>
      <w:pPr>
        <w:pStyle w:val="Heading2"/>
      </w:pPr>
      <w:r>
        <w:t>Claims</w:t>
      </w:r>
    </w:p>
    <w:p>
      <w:r>
        <w:t>Claims include patient identifiers, service codes, clinical documentation, approved authorization, invoices, and required attachments.</w:t>
      </w:r>
    </w:p>
    <w:p>
      <w:pPr>
        <w:pStyle w:val="Heading2"/>
      </w:pPr>
      <w:r>
        <w:t>KPIs</w:t>
      </w:r>
    </w:p>
    <w:p>
      <w:r>
        <w:t>Clean-claim rate ≥95%. Pre-authorization turnaround for standard requests ≤4 hours. Claims rejection rate target &lt;5%.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Insurance Claims &amp; Pre-Authorization SOP, 03_Finance_and_Billing,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