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Incident Reporting &amp; Patient Safety Policy</w:t>
      </w:r>
    </w:p>
    <w:p>
      <w:r>
        <w:t>Document ID: ANGH-15_ | Department: 07_Quality_and_Compliance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Creates a non-punitive mechanism for reporting safety incidents, near misses, adverse events, and hazards.</w:t>
      </w:r>
    </w:p>
    <w:p>
      <w:pPr>
        <w:pStyle w:val="Heading2"/>
      </w:pPr>
      <w:r>
        <w:t>Reportable Events</w:t>
      </w:r>
    </w:p>
    <w:p>
      <w:pPr>
        <w:pStyle w:val="ListBullet"/>
      </w:pPr>
      <w:r>
        <w:t>Medication errors and near misses.</w:t>
      </w:r>
    </w:p>
    <w:p>
      <w:pPr>
        <w:pStyle w:val="ListBullet"/>
      </w:pPr>
      <w:r>
        <w:t>Patient falls.</w:t>
      </w:r>
    </w:p>
    <w:p>
      <w:pPr>
        <w:pStyle w:val="ListBullet"/>
      </w:pPr>
      <w:r>
        <w:t>Wrong-patient or wrong-site events.</w:t>
      </w:r>
    </w:p>
    <w:p>
      <w:pPr>
        <w:pStyle w:val="ListBullet"/>
      </w:pPr>
      <w:r>
        <w:t>Equipment-related incidents.</w:t>
      </w:r>
    </w:p>
    <w:p>
      <w:pPr>
        <w:pStyle w:val="ListBullet"/>
      </w:pPr>
      <w:r>
        <w:t>Infection-control breaches.</w:t>
      </w:r>
    </w:p>
    <w:p>
      <w:pPr>
        <w:pStyle w:val="ListBullet"/>
      </w:pPr>
      <w:r>
        <w:t>Patient identification failures.</w:t>
      </w:r>
    </w:p>
    <w:p>
      <w:pPr>
        <w:pStyle w:val="Heading2"/>
      </w:pPr>
      <w:r>
        <w:t>Reporting Workflow</w:t>
      </w:r>
    </w:p>
    <w:p>
      <w:r>
        <w:t>Reporter submits event → supervisor ensures immediate safety actions → Quality team triages severity → investigation/root-cause analysis where required → corrective actions → closure and learning.</w:t>
      </w:r>
    </w:p>
    <w:p>
      <w:pPr>
        <w:pStyle w:val="Heading2"/>
      </w:pPr>
      <w:r>
        <w:t>Escalation</w:t>
      </w:r>
    </w:p>
    <w:p>
      <w:r>
        <w:t>Serious harm, sentinel events, or events with potential regulatory significance are escalated immediately to senior leadership and relevant governance committees.</w:t>
      </w:r>
    </w:p>
    <w:p>
      <w:pPr>
        <w:pStyle w:val="Heading2"/>
      </w:pPr>
      <w:r>
        <w:t>KPIs</w:t>
      </w:r>
    </w:p>
    <w:p>
      <w:r>
        <w:t>Serious incidents escalated within defined SLA = 100%. Corrective-action closure within target ≥90%.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Incident Reporting &amp; Patient Safety Policy, 07_Quality_and_Compliance,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