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50894" w14:textId="77777777" w:rsidR="004A19CA" w:rsidRDefault="00673B00">
      <w:pPr>
        <w:spacing w:after="0" w:line="259" w:lineRule="auto"/>
        <w:ind w:left="213" w:right="0" w:firstLine="0"/>
        <w:jc w:val="left"/>
      </w:pPr>
      <w:r>
        <w:rPr>
          <w:b/>
          <w:color w:val="1F3864"/>
          <w:sz w:val="64"/>
        </w:rPr>
        <w:t>RETHINKING THE FLAG</w:t>
      </w:r>
    </w:p>
    <w:p w14:paraId="7D66C724" w14:textId="77777777" w:rsidR="004A19CA" w:rsidRDefault="00673B00">
      <w:pPr>
        <w:spacing w:after="0" w:line="229" w:lineRule="auto"/>
        <w:ind w:left="33" w:right="0" w:firstLine="0"/>
        <w:jc w:val="center"/>
      </w:pPr>
      <w:r>
        <w:rPr>
          <w:i/>
          <w:color w:val="2E5395"/>
          <w:sz w:val="30"/>
        </w:rPr>
        <w:t>The Case for Redesigning the Pay Architecture That Built the Industry</w:t>
      </w:r>
    </w:p>
    <w:p w14:paraId="6AF2A4D0" w14:textId="77777777" w:rsidR="004A19CA" w:rsidRDefault="00673B00">
      <w:pPr>
        <w:spacing w:after="611" w:line="259" w:lineRule="auto"/>
        <w:ind w:left="-2" w:right="0" w:firstLine="0"/>
        <w:jc w:val="left"/>
      </w:pPr>
      <w:r>
        <w:rPr>
          <w:noProof/>
        </w:rPr>
        <mc:AlternateContent>
          <mc:Choice Requires="wpg">
            <w:drawing>
              <wp:inline distT="0" distB="0" distL="0" distR="0" wp14:anchorId="3E18F9F7" wp14:editId="5F3A5D48">
                <wp:extent cx="5942965" cy="12700"/>
                <wp:effectExtent l="0" t="0" r="0" b="0"/>
                <wp:docPr id="33658" name="Group 33658"/>
                <wp:cNvGraphicFramePr/>
                <a:graphic xmlns:a="http://schemas.openxmlformats.org/drawingml/2006/main">
                  <a:graphicData uri="http://schemas.microsoft.com/office/word/2010/wordprocessingGroup">
                    <wpg:wgp>
                      <wpg:cNvGrpSpPr/>
                      <wpg:grpSpPr>
                        <a:xfrm>
                          <a:off x="0" y="0"/>
                          <a:ext cx="5942965" cy="12700"/>
                          <a:chOff x="0" y="0"/>
                          <a:chExt cx="5942965" cy="12700"/>
                        </a:xfrm>
                      </wpg:grpSpPr>
                      <wps:wsp>
                        <wps:cNvPr id="16" name="Shape 16"/>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F3864"/>
                          </a:lnRef>
                          <a:fillRef idx="0">
                            <a:srgbClr val="000000">
                              <a:alpha val="0"/>
                            </a:srgbClr>
                          </a:fillRef>
                          <a:effectRef idx="0">
                            <a:scrgbClr r="0" g="0" b="0"/>
                          </a:effectRef>
                          <a:fontRef idx="none"/>
                        </wps:style>
                        <wps:bodyPr/>
                      </wps:wsp>
                      <wps:wsp>
                        <wps:cNvPr id="18" name="Shape 18"/>
                        <wps:cNvSpPr/>
                        <wps:spPr>
                          <a:xfrm>
                            <a:off x="0" y="0"/>
                            <a:ext cx="5942965" cy="0"/>
                          </a:xfrm>
                          <a:custGeom>
                            <a:avLst/>
                            <a:gdLst/>
                            <a:ahLst/>
                            <a:cxnLst/>
                            <a:rect l="0" t="0" r="0" b="0"/>
                            <a:pathLst>
                              <a:path w="5942965">
                                <a:moveTo>
                                  <a:pt x="5942965" y="0"/>
                                </a:moveTo>
                                <a:lnTo>
                                  <a:pt x="0" y="0"/>
                                </a:lnTo>
                              </a:path>
                            </a:pathLst>
                          </a:custGeom>
                          <a:ln w="12700" cap="flat">
                            <a:round/>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658" style="width:467.95pt;height:1pt;mso-position-horizontal-relative:char;mso-position-vertical-relative:line" coordsize="59429,127">
                <v:shape id="Shape 16" style="position:absolute;width:59429;height:0;left:0;top:0;" coordsize="5942965,0" path="m5942965,0l0,0">
                  <v:stroke weight="1pt" endcap="flat" joinstyle="round" on="true" color="#1f3864"/>
                  <v:fill on="false" color="#000000" opacity="0"/>
                </v:shape>
                <v:shape id="Shape 18" style="position:absolute;width:59429;height:0;left:0;top:0;" coordsize="5942965,0" path="m5942965,0l0,0">
                  <v:stroke weight="1pt" endcap="flat" joinstyle="round" on="true" color="#1f3864"/>
                  <v:fill on="false" color="#000000" opacity="0"/>
                </v:shape>
              </v:group>
            </w:pict>
          </mc:Fallback>
        </mc:AlternateContent>
      </w:r>
    </w:p>
    <w:p w14:paraId="79A9BFC3" w14:textId="77777777" w:rsidR="004A19CA" w:rsidRDefault="00673B00">
      <w:pPr>
        <w:spacing w:after="1425" w:line="259" w:lineRule="auto"/>
        <w:ind w:left="121" w:right="0" w:firstLine="0"/>
        <w:jc w:val="left"/>
      </w:pPr>
      <w:r>
        <w:rPr>
          <w:color w:val="595959"/>
        </w:rPr>
        <w:t>A White Paper on Technician Compensation Reform in the Franchised Dealership</w:t>
      </w:r>
    </w:p>
    <w:p w14:paraId="002E93F4" w14:textId="77777777" w:rsidR="004A19CA" w:rsidRDefault="00673B00">
      <w:pPr>
        <w:spacing w:after="21" w:line="259" w:lineRule="auto"/>
        <w:ind w:left="0" w:firstLine="0"/>
        <w:jc w:val="center"/>
      </w:pPr>
      <w:r>
        <w:rPr>
          <w:b/>
          <w:sz w:val="28"/>
        </w:rPr>
        <w:t>Joseph “Coach Joe” Clementi</w:t>
      </w:r>
    </w:p>
    <w:p w14:paraId="15EEB1B7" w14:textId="77777777" w:rsidR="004A19CA" w:rsidRDefault="00673B00">
      <w:pPr>
        <w:spacing w:after="86" w:line="259" w:lineRule="auto"/>
        <w:ind w:right="12"/>
        <w:jc w:val="center"/>
      </w:pPr>
      <w:r>
        <w:rPr>
          <w:color w:val="595959"/>
        </w:rPr>
        <w:t>The Leadership Pressure Lab</w:t>
      </w:r>
    </w:p>
    <w:p w14:paraId="01246432" w14:textId="77777777" w:rsidR="004A19CA" w:rsidRDefault="00673B00">
      <w:pPr>
        <w:spacing w:after="86" w:line="259" w:lineRule="auto"/>
        <w:ind w:right="11"/>
        <w:jc w:val="center"/>
      </w:pPr>
      <w:r>
        <w:rPr>
          <w:color w:val="595959"/>
        </w:rPr>
        <w:t>June 2026</w:t>
      </w:r>
    </w:p>
    <w:p w14:paraId="6C24822C" w14:textId="77777777" w:rsidR="004A19CA" w:rsidRDefault="00673B00">
      <w:pPr>
        <w:spacing w:after="153" w:line="259" w:lineRule="auto"/>
        <w:ind w:left="0" w:right="0" w:firstLine="0"/>
        <w:jc w:val="left"/>
      </w:pPr>
      <w:r>
        <w:rPr>
          <w:b/>
          <w:color w:val="1F3864"/>
          <w:sz w:val="32"/>
        </w:rPr>
        <w:t>Table of Contents</w:t>
      </w:r>
    </w:p>
    <w:p w14:paraId="4FA2C43B" w14:textId="77777777" w:rsidR="004A19CA" w:rsidRDefault="00673B00">
      <w:pPr>
        <w:spacing w:after="130" w:line="259" w:lineRule="auto"/>
        <w:ind w:left="-5" w:right="64"/>
        <w:jc w:val="left"/>
      </w:pPr>
      <w:r>
        <w:rPr>
          <w:color w:val="222222"/>
        </w:rPr>
        <w:t>Abstract.................................................................................................................3</w:t>
      </w:r>
    </w:p>
    <w:p w14:paraId="324EF8C1" w14:textId="77777777" w:rsidR="004A19CA" w:rsidRDefault="00673B00">
      <w:pPr>
        <w:numPr>
          <w:ilvl w:val="0"/>
          <w:numId w:val="1"/>
        </w:numPr>
        <w:spacing w:after="130" w:line="259" w:lineRule="auto"/>
        <w:ind w:right="64" w:hanging="489"/>
        <w:jc w:val="left"/>
      </w:pPr>
      <w:r>
        <w:rPr>
          <w:color w:val="222222"/>
        </w:rPr>
        <w:t>Executive Summary</w:t>
      </w:r>
      <w:r>
        <w:rPr>
          <w:color w:val="222222"/>
        </w:rPr>
        <w:t>........................................................................................4</w:t>
      </w:r>
    </w:p>
    <w:p w14:paraId="1AA9DE7B" w14:textId="77777777" w:rsidR="004A19CA" w:rsidRDefault="00673B00">
      <w:pPr>
        <w:numPr>
          <w:ilvl w:val="0"/>
          <w:numId w:val="1"/>
        </w:numPr>
        <w:spacing w:after="130" w:line="259" w:lineRule="auto"/>
        <w:ind w:right="64" w:hanging="489"/>
        <w:jc w:val="left"/>
      </w:pPr>
      <w:r>
        <w:rPr>
          <w:color w:val="222222"/>
        </w:rPr>
        <w:t>The Slow Leak................................................................................................7</w:t>
      </w:r>
    </w:p>
    <w:p w14:paraId="04BA2DF9" w14:textId="77777777" w:rsidR="00C4409D" w:rsidRPr="00C4409D" w:rsidRDefault="00673B00">
      <w:pPr>
        <w:numPr>
          <w:ilvl w:val="0"/>
          <w:numId w:val="1"/>
        </w:numPr>
        <w:spacing w:after="0" w:line="375" w:lineRule="auto"/>
        <w:ind w:right="64" w:hanging="489"/>
        <w:jc w:val="left"/>
      </w:pPr>
      <w:r>
        <w:rPr>
          <w:color w:val="222222"/>
        </w:rPr>
        <w:t>The Market Reality.........................................................................................9</w:t>
      </w:r>
    </w:p>
    <w:p w14:paraId="01C8CA69" w14:textId="75826DCA" w:rsidR="004A19CA" w:rsidRDefault="00673B00">
      <w:pPr>
        <w:numPr>
          <w:ilvl w:val="0"/>
          <w:numId w:val="1"/>
        </w:numPr>
        <w:spacing w:after="0" w:line="375" w:lineRule="auto"/>
        <w:ind w:right="64" w:hanging="489"/>
        <w:jc w:val="left"/>
      </w:pPr>
      <w:r>
        <w:rPr>
          <w:color w:val="222222"/>
        </w:rPr>
        <w:t>04   The Perception Gap......................................................................................13</w:t>
      </w:r>
    </w:p>
    <w:p w14:paraId="0F09DAB1" w14:textId="77777777" w:rsidR="004A19CA" w:rsidRDefault="00673B00">
      <w:pPr>
        <w:numPr>
          <w:ilvl w:val="0"/>
          <w:numId w:val="2"/>
        </w:numPr>
        <w:spacing w:after="130" w:line="259" w:lineRule="auto"/>
        <w:ind w:right="64" w:hanging="489"/>
        <w:jc w:val="left"/>
      </w:pPr>
      <w:r>
        <w:rPr>
          <w:color w:val="222222"/>
        </w:rPr>
        <w:t>The Psychology of Flat-Rate.........................................................................15</w:t>
      </w:r>
    </w:p>
    <w:p w14:paraId="081762CB" w14:textId="77777777" w:rsidR="004A19CA" w:rsidRDefault="00673B00">
      <w:pPr>
        <w:numPr>
          <w:ilvl w:val="0"/>
          <w:numId w:val="2"/>
        </w:numPr>
        <w:spacing w:after="130" w:line="259" w:lineRule="auto"/>
        <w:ind w:right="64" w:hanging="489"/>
        <w:jc w:val="left"/>
      </w:pPr>
      <w:r>
        <w:rPr>
          <w:color w:val="222222"/>
        </w:rPr>
        <w:t>The Case for Reform....................................................................................18</w:t>
      </w:r>
    </w:p>
    <w:p w14:paraId="0435A97E" w14:textId="77777777" w:rsidR="004A19CA" w:rsidRDefault="00673B00">
      <w:pPr>
        <w:numPr>
          <w:ilvl w:val="0"/>
          <w:numId w:val="2"/>
        </w:numPr>
        <w:spacing w:after="130" w:line="259" w:lineRule="auto"/>
        <w:ind w:right="64" w:hanging="489"/>
        <w:jc w:val="left"/>
      </w:pPr>
      <w:r>
        <w:rPr>
          <w:color w:val="222222"/>
        </w:rPr>
        <w:t>The Loyalty Labor Rate................................................................................22</w:t>
      </w:r>
    </w:p>
    <w:p w14:paraId="19B3EC8A" w14:textId="77777777" w:rsidR="004A19CA" w:rsidRDefault="00673B00">
      <w:pPr>
        <w:numPr>
          <w:ilvl w:val="0"/>
          <w:numId w:val="2"/>
        </w:numPr>
        <w:spacing w:after="130" w:line="259" w:lineRule="auto"/>
        <w:ind w:right="64" w:hanging="489"/>
        <w:jc w:val="left"/>
      </w:pPr>
      <w:r>
        <w:rPr>
          <w:color w:val="222222"/>
        </w:rPr>
        <w:t>The Other Side of the Counter.....................................................................27</w:t>
      </w:r>
    </w:p>
    <w:p w14:paraId="26863297" w14:textId="77777777" w:rsidR="004A19CA" w:rsidRDefault="00673B00">
      <w:pPr>
        <w:numPr>
          <w:ilvl w:val="0"/>
          <w:numId w:val="2"/>
        </w:numPr>
        <w:spacing w:after="130" w:line="259" w:lineRule="auto"/>
        <w:ind w:right="64" w:hanging="489"/>
        <w:jc w:val="left"/>
      </w:pPr>
      <w:r>
        <w:rPr>
          <w:color w:val="222222"/>
        </w:rPr>
        <w:t>Five Compensation Models..........................................................................30</w:t>
      </w:r>
    </w:p>
    <w:p w14:paraId="054F9723" w14:textId="77777777" w:rsidR="004A19CA" w:rsidRDefault="00673B00">
      <w:pPr>
        <w:numPr>
          <w:ilvl w:val="0"/>
          <w:numId w:val="2"/>
        </w:numPr>
        <w:spacing w:after="130" w:line="259" w:lineRule="auto"/>
        <w:ind w:right="64" w:hanging="489"/>
        <w:jc w:val="left"/>
      </w:pPr>
      <w:r>
        <w:rPr>
          <w:color w:val="222222"/>
        </w:rPr>
        <w:t>Financial Impact Analysis............................................................................32</w:t>
      </w:r>
    </w:p>
    <w:p w14:paraId="5965C9BE" w14:textId="77777777" w:rsidR="004A19CA" w:rsidRDefault="00673B00">
      <w:pPr>
        <w:numPr>
          <w:ilvl w:val="0"/>
          <w:numId w:val="2"/>
        </w:numPr>
        <w:spacing w:after="130" w:line="259" w:lineRule="auto"/>
        <w:ind w:right="64" w:hanging="489"/>
        <w:jc w:val="left"/>
      </w:pPr>
      <w:r>
        <w:rPr>
          <w:color w:val="222222"/>
        </w:rPr>
        <w:t>Implementation Roadmap............................................................................37</w:t>
      </w:r>
    </w:p>
    <w:p w14:paraId="30F9686C" w14:textId="77777777" w:rsidR="004A19CA" w:rsidRDefault="00673B00">
      <w:pPr>
        <w:numPr>
          <w:ilvl w:val="0"/>
          <w:numId w:val="2"/>
        </w:numPr>
        <w:spacing w:after="130" w:line="259" w:lineRule="auto"/>
        <w:ind w:right="64" w:hanging="489"/>
        <w:jc w:val="left"/>
      </w:pPr>
      <w:r>
        <w:rPr>
          <w:color w:val="222222"/>
        </w:rPr>
        <w:t>Conclusion....................................................................................................41</w:t>
      </w:r>
    </w:p>
    <w:p w14:paraId="6B27CE60" w14:textId="77777777" w:rsidR="004A19CA" w:rsidRDefault="00673B00">
      <w:pPr>
        <w:numPr>
          <w:ilvl w:val="0"/>
          <w:numId w:val="2"/>
        </w:numPr>
        <w:spacing w:after="130" w:line="259" w:lineRule="auto"/>
        <w:ind w:right="64" w:hanging="489"/>
        <w:jc w:val="left"/>
      </w:pPr>
      <w:r>
        <w:rPr>
          <w:color w:val="222222"/>
        </w:rPr>
        <w:t>References....................................................................................................43</w:t>
      </w:r>
      <w:r>
        <w:br w:type="page"/>
      </w:r>
    </w:p>
    <w:p w14:paraId="71251C3A" w14:textId="77777777" w:rsidR="004A19CA" w:rsidRDefault="00673B00">
      <w:pPr>
        <w:pStyle w:val="Heading1"/>
        <w:ind w:left="-5"/>
      </w:pPr>
      <w:r>
        <w:lastRenderedPageBreak/>
        <w:t>Abstract</w:t>
      </w:r>
    </w:p>
    <w:p w14:paraId="37B8D7E1" w14:textId="77777777" w:rsidR="004A19CA" w:rsidRDefault="00673B00">
      <w:pPr>
        <w:ind w:left="-5" w:right="9"/>
      </w:pPr>
      <w:r>
        <w:t>Franchised dealership service operations are experiencing a measurable decline in customer volume despite continued growth in revenue per repair order. This divergence creates the appearance of financial strength while masking erosion in the active customer base.</w:t>
      </w:r>
    </w:p>
    <w:p w14:paraId="493EA17D" w14:textId="77777777" w:rsidR="004A19CA" w:rsidRDefault="00673B00">
      <w:pPr>
        <w:ind w:left="-5" w:right="9"/>
      </w:pPr>
      <w:r>
        <w:t>A central finding is that repair price does not explain customer defection. Customer exit traces more plausibly to expectation failure, communication quality, and trust than to cost.</w:t>
      </w:r>
    </w:p>
    <w:p w14:paraId="02C60E95" w14:textId="77777777" w:rsidR="004A19CA" w:rsidRDefault="00673B00">
      <w:pPr>
        <w:ind w:left="-5" w:right="9"/>
      </w:pPr>
      <w:r>
        <w:t>This paper argues that the primary driver of that perception gap is behavioral, and that the behavior traces directly to the compensation structure of the service department. The flat-rate pay system is a piece-rate model descended from scientific management, an approach developed for standardized, efficiency-oriented work rather than today’s diagnostic and trust-dependent service environment (Taylor, 1911). Research in behavioral economics and motivation theory suggests that when work is cognitively comple</w:t>
      </w:r>
      <w:r>
        <w:t>x, highly contingent financial incentives can narrow attention and undermine quality rather than improve it (Ariely et al., 2009; Pink, 2009). In that sense, the flat-rate system is not malfunctioning. It is producing exactly the behavioral outputs its design privileges. The question is whether that design still matches the actual work of the modern dealership technician.</w:t>
      </w:r>
    </w:p>
    <w:p w14:paraId="032A1943" w14:textId="77777777" w:rsidR="004A19CA" w:rsidRDefault="00673B00">
      <w:pPr>
        <w:ind w:left="-5" w:right="9"/>
      </w:pPr>
      <w:r>
        <w:t xml:space="preserve">The paper develops five compensation models intended to replace or reform the traditional flat-rate architecture. Each model is grounded in a distinct motivational rationale, matched to a different operator profile, and evaluated against a common baseline built from NADA’s 2025 national dealership averages. Across the four revenue channels quantified in this analysis, the financial modeling identifies approximately $356,000 in potential annual gross impact for a single store under deliberately conservative </w:t>
      </w:r>
      <w:r>
        <w:t>assumptions, with sensitivity scenarios approaching $535,000. The modeled break-even thresholds all sit below the service-volume losses the industry has already absorbed since 2018.</w:t>
      </w:r>
    </w:p>
    <w:p w14:paraId="0117DC7D" w14:textId="77777777" w:rsidR="004A19CA" w:rsidRDefault="00673B00">
      <w:pPr>
        <w:ind w:left="-5" w:right="9"/>
      </w:pPr>
      <w:r>
        <w:t>The paper closes with a twelve-month implementation framework for operators considering compensation reform.</w:t>
      </w:r>
    </w:p>
    <w:p w14:paraId="0B7253EB" w14:textId="77777777" w:rsidR="004A19CA" w:rsidRDefault="00673B00">
      <w:pPr>
        <w:pStyle w:val="Heading1"/>
        <w:ind w:left="-5"/>
      </w:pPr>
      <w:r>
        <w:t>01   Executive Summary</w:t>
      </w:r>
    </w:p>
    <w:p w14:paraId="3C0A062C" w14:textId="77777777" w:rsidR="004A19CA" w:rsidRDefault="00673B00">
      <w:pPr>
        <w:ind w:left="-5" w:right="9"/>
      </w:pPr>
      <w:r>
        <w:t>The service department is the most resilient revenue center in the franchised dealership, generating stable gross margin across economic cycles. It is also a sales pipeline. Customers who return to the dealer for service are 30 percentage points more likely to repurchase from that store, and 88 percent of consumers say the service experience affects whether they buy from that dealer again (Cox Automotive, 2026b).</w:t>
      </w:r>
    </w:p>
    <w:p w14:paraId="679BAD26" w14:textId="77777777" w:rsidR="004A19CA" w:rsidRDefault="00673B00">
      <w:pPr>
        <w:spacing w:after="288"/>
        <w:ind w:left="-5" w:right="9"/>
      </w:pPr>
      <w:r>
        <w:t>The service department is also losing customers. Quietly. Consistently. At a rate that has not yet triggered the urgency it deserves.</w:t>
      </w:r>
    </w:p>
    <w:p w14:paraId="5A4E804A" w14:textId="77777777" w:rsidR="004A19CA" w:rsidRDefault="00673B00">
      <w:pPr>
        <w:pStyle w:val="Heading2"/>
        <w:ind w:left="-5"/>
      </w:pPr>
      <w:r>
        <w:t>The Problem</w:t>
      </w:r>
    </w:p>
    <w:p w14:paraId="109C8FE5" w14:textId="77777777" w:rsidR="004A19CA" w:rsidRDefault="00673B00">
      <w:pPr>
        <w:ind w:left="-5" w:right="9"/>
      </w:pPr>
      <w:r>
        <w:t>Franchised dealerships handled 12 percent fewer service visits in 2024 than in 2018, and their share of all service visits has fallen from 33 percent to 29 percent (Cox Automotive, 2025b; Cox Automotive, 2026a). Yet the financial profile looks healthy on the surface. NADA reports that the industry wrote more than 276 million repair orders in 2025 and posted record service and parts sales of $164.6 billion, with the average store generating $9.69 million in service and parts revenue at $494 per customer repa</w:t>
      </w:r>
      <w:r>
        <w:t xml:space="preserve">ir order (National </w:t>
      </w:r>
      <w:r>
        <w:lastRenderedPageBreak/>
        <w:t>Automobile Dealers Association, 2025b). Revenue per transaction is at a record while the active customer base contracts. The dealership is growing more dependent on fewer customers.</w:t>
      </w:r>
    </w:p>
    <w:p w14:paraId="61490514" w14:textId="77777777" w:rsidR="004A19CA" w:rsidRDefault="00673B00">
      <w:pPr>
        <w:spacing w:after="288"/>
        <w:ind w:left="-5" w:right="9"/>
      </w:pPr>
      <w:r>
        <w:t>The customers who are leaving are not chasing cheaper repairs. On Cox Automotive’s 2025 average-repair measure, the dealership was the cheaper option, not the costlier one (Cox Automotive, 2025a). The central issue is not absolute price. It is expectation and communication, examined in full in Section 4.</w:t>
      </w:r>
    </w:p>
    <w:p w14:paraId="4954B5A5" w14:textId="77777777" w:rsidR="004A19CA" w:rsidRDefault="00673B00">
      <w:pPr>
        <w:pStyle w:val="Heading2"/>
        <w:ind w:left="-5"/>
      </w:pPr>
      <w:r>
        <w:t>The Root Cause</w:t>
      </w:r>
    </w:p>
    <w:p w14:paraId="51C94B90" w14:textId="77777777" w:rsidR="004A19CA" w:rsidRDefault="00673B00">
      <w:pPr>
        <w:ind w:left="-5" w:right="9"/>
      </w:pPr>
      <w:r>
        <w:t>The behavior problem has a structural source: how dealerships compensate their technicians. Flat-rate pay is a piece-rate system. It rewards speed and volume. It does not reward thorough explanation, diagnostic precision, or the trust-building communication that converts a first-time visit into a long-term relationship. Section 5 traces that architecture to its origins in scientific management and walks through the behavioral research on why it misfires when applied to cognitively complex work (Taylor, 1911</w:t>
      </w:r>
      <w:r>
        <w:t>; Ariely et al., 2009; Pink, 2009).</w:t>
      </w:r>
    </w:p>
    <w:p w14:paraId="3264BE3C" w14:textId="77777777" w:rsidR="004A19CA" w:rsidRDefault="00673B00">
      <w:pPr>
        <w:spacing w:after="260"/>
        <w:ind w:left="-5" w:right="9"/>
      </w:pPr>
      <w:r>
        <w:t>Modern automotive service is precisely that kind of work. ADAS calibration, hybrid diagnostics, and complex repair communication demand analysis, precision, and judgment. Yet the prevailing compensation structure still rewards speed more heavily than diagnostic depth, accuracy, or long-term customer trust. My contention is that the traditional flat-rate system was engineered for a different era of automotive repair and is now fundamentally misaligned with the cognitive demands of the modern technician’s rol</w:t>
      </w:r>
      <w:r>
        <w:t>e.</w:t>
      </w:r>
    </w:p>
    <w:p w14:paraId="5DE2E55A" w14:textId="77777777" w:rsidR="004A19CA" w:rsidRDefault="00673B00">
      <w:pPr>
        <w:spacing w:after="269" w:line="261" w:lineRule="auto"/>
        <w:ind w:left="475" w:right="502"/>
        <w:jc w:val="left"/>
      </w:pPr>
      <w:r>
        <w:rPr>
          <w:noProof/>
        </w:rPr>
        <mc:AlternateContent>
          <mc:Choice Requires="wpg">
            <w:drawing>
              <wp:anchor distT="0" distB="0" distL="114300" distR="114300" simplePos="0" relativeHeight="251658240" behindDoc="0" locked="0" layoutInCell="1" allowOverlap="1" wp14:anchorId="5D198A37" wp14:editId="37D851DF">
                <wp:simplePos x="0" y="0"/>
                <wp:positionH relativeFrom="column">
                  <wp:posOffset>132080</wp:posOffset>
                </wp:positionH>
                <wp:positionV relativeFrom="paragraph">
                  <wp:posOffset>-21098</wp:posOffset>
                </wp:positionV>
                <wp:extent cx="38100" cy="608965"/>
                <wp:effectExtent l="0" t="0" r="0" b="0"/>
                <wp:wrapSquare wrapText="bothSides"/>
                <wp:docPr id="35480" name="Group 35480"/>
                <wp:cNvGraphicFramePr/>
                <a:graphic xmlns:a="http://schemas.openxmlformats.org/drawingml/2006/main">
                  <a:graphicData uri="http://schemas.microsoft.com/office/word/2010/wordprocessingGroup">
                    <wpg:wgp>
                      <wpg:cNvGrpSpPr/>
                      <wpg:grpSpPr>
                        <a:xfrm>
                          <a:off x="0" y="0"/>
                          <a:ext cx="38100" cy="608965"/>
                          <a:chOff x="0" y="0"/>
                          <a:chExt cx="38100" cy="608965"/>
                        </a:xfrm>
                      </wpg:grpSpPr>
                      <wps:wsp>
                        <wps:cNvPr id="315" name="Shape 315"/>
                        <wps:cNvSpPr/>
                        <wps:spPr>
                          <a:xfrm>
                            <a:off x="0" y="0"/>
                            <a:ext cx="0" cy="608965"/>
                          </a:xfrm>
                          <a:custGeom>
                            <a:avLst/>
                            <a:gdLst/>
                            <a:ahLst/>
                            <a:cxnLst/>
                            <a:rect l="0" t="0" r="0" b="0"/>
                            <a:pathLst>
                              <a:path h="608965">
                                <a:moveTo>
                                  <a:pt x="0" y="6089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s:wsp>
                        <wps:cNvPr id="317" name="Shape 317"/>
                        <wps:cNvSpPr/>
                        <wps:spPr>
                          <a:xfrm>
                            <a:off x="0" y="0"/>
                            <a:ext cx="0" cy="608965"/>
                          </a:xfrm>
                          <a:custGeom>
                            <a:avLst/>
                            <a:gdLst/>
                            <a:ahLst/>
                            <a:cxnLst/>
                            <a:rect l="0" t="0" r="0" b="0"/>
                            <a:pathLst>
                              <a:path h="608965">
                                <a:moveTo>
                                  <a:pt x="0" y="6089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480" style="width:3pt;height:47.95pt;position:absolute;mso-position-horizontal-relative:text;mso-position-horizontal:absolute;margin-left:10.4pt;mso-position-vertical-relative:text;margin-top:-1.66132pt;" coordsize="381,6089">
                <v:shape id="Shape 315" style="position:absolute;width:0;height:6089;left:0;top:0;" coordsize="0,608965" path="m0,608965l0,0">
                  <v:stroke weight="3pt" endcap="flat" joinstyle="round" on="true" color="#1f3864"/>
                  <v:fill on="false" color="#000000" opacity="0"/>
                </v:shape>
                <v:shape id="Shape 317" style="position:absolute;width:0;height:6089;left:0;top:0;" coordsize="0,608965" path="m0,608965l0,0">
                  <v:stroke weight="3pt" endcap="flat" joinstyle="round" on="true" color="#1f3864"/>
                  <v:fill on="false" color="#000000" opacity="0"/>
                </v:shape>
                <w10:wrap type="square"/>
              </v:group>
            </w:pict>
          </mc:Fallback>
        </mc:AlternateContent>
      </w:r>
      <w:r>
        <w:rPr>
          <w:i/>
          <w:color w:val="1F3864"/>
          <w:sz w:val="24"/>
        </w:rPr>
        <w:t>The flat-rate system may be unintentionally shaping the very customer perception challenges dealerships are now struggling to overcome. Not through negligence, but through incentive logic.</w:t>
      </w:r>
    </w:p>
    <w:p w14:paraId="64859A90" w14:textId="77777777" w:rsidR="004A19CA" w:rsidRDefault="00673B00">
      <w:pPr>
        <w:pStyle w:val="Heading2"/>
        <w:ind w:left="-5"/>
      </w:pPr>
      <w:r>
        <w:t>The Solution: Five Compensation Models</w:t>
      </w:r>
    </w:p>
    <w:p w14:paraId="74878397" w14:textId="77777777" w:rsidR="004A19CA" w:rsidRDefault="00673B00">
      <w:pPr>
        <w:ind w:left="-5" w:right="9"/>
      </w:pPr>
      <w:r>
        <w:t>This paper presents five compensation models developed to replace the legacy flatrate architecture and to align technician incentives with diagnostic complexity, repair quality, and long-term customer trust. Each model is organized around a distinct motivational principle, calibrated for a different operator readiness profile, and financially modeled for technician pay neutrality or improvement under stated assumptions.</w:t>
      </w:r>
    </w:p>
    <w:p w14:paraId="0DD02CAC" w14:textId="77777777" w:rsidR="004A19CA" w:rsidRDefault="00673B00">
      <w:pPr>
        <w:ind w:left="-5" w:right="9"/>
      </w:pPr>
      <w:r>
        <w:rPr>
          <w:b/>
        </w:rPr>
        <w:t>Model 1, the Revenue Alignment Model,</w:t>
      </w:r>
      <w:r>
        <w:t xml:space="preserve"> compensates technicians as a defined percentage of actual labor revenue billed, with a threshold accelerator above baseline and a quality multiplier tied to comeback rate and CSI.</w:t>
      </w:r>
    </w:p>
    <w:p w14:paraId="064E7CDB" w14:textId="77777777" w:rsidR="004A19CA" w:rsidRDefault="00673B00">
      <w:pPr>
        <w:ind w:left="-5" w:right="9"/>
      </w:pPr>
      <w:r>
        <w:rPr>
          <w:b/>
        </w:rPr>
        <w:t>Model 2, the Downstream Model,</w:t>
      </w:r>
      <w:r>
        <w:t xml:space="preserve"> pays a guaranteed hourly base for all hours worked and a monthly premium derived from measurable downstream customer behavior: return visit rate, declined service conversion, and customer feedback score.</w:t>
      </w:r>
    </w:p>
    <w:p w14:paraId="0C18A425" w14:textId="77777777" w:rsidR="004A19CA" w:rsidRDefault="00673B00">
      <w:pPr>
        <w:ind w:left="-5" w:right="9"/>
      </w:pPr>
      <w:r>
        <w:rPr>
          <w:b/>
        </w:rPr>
        <w:t>Model 3, the Service Cell,</w:t>
      </w:r>
      <w:r>
        <w:t xml:space="preserve"> organizes technicians into cells of three to four, assigns each cell a customer portfolio of 250 to 350 vehicles, and structures compensation around individual base pay, a cell production bonus, a portfolio retention bonus, and mentorship credit for lead technicians.</w:t>
      </w:r>
    </w:p>
    <w:p w14:paraId="285DD6F7" w14:textId="77777777" w:rsidR="004A19CA" w:rsidRDefault="00673B00">
      <w:pPr>
        <w:ind w:left="-5" w:right="9"/>
      </w:pPr>
      <w:r>
        <w:rPr>
          <w:b/>
        </w:rPr>
        <w:lastRenderedPageBreak/>
        <w:t>Model 4, the Professional Craft Model,</w:t>
      </w:r>
      <w:r>
        <w:t xml:space="preserve"> establishes a transparent five-level career and compensation ladder with published advancement criteria and profit participation at senior levels.</w:t>
      </w:r>
    </w:p>
    <w:p w14:paraId="330C8C0F" w14:textId="77777777" w:rsidR="004A19CA" w:rsidRDefault="00673B00">
      <w:pPr>
        <w:spacing w:after="288"/>
        <w:ind w:left="-5" w:right="9"/>
      </w:pPr>
      <w:r>
        <w:rPr>
          <w:b/>
        </w:rPr>
        <w:t>Model 5, the Full-Cycle Model,</w:t>
      </w:r>
      <w:r>
        <w:t xml:space="preserve"> is this paper’s recommended architecture. It uses the Downstream Model as its foundation and layers targeted structural elements from the other four. A guaranteed hourly base by craft tier. An individual customer portfolio. A monthly downstream premium. A quality-gated production accelerator. An automatic advancement trigger on the craft ladder. It is the only model of the five that simultaneously addresses income instability, customer retention collapse, career development, and production efficiency.</w:t>
      </w:r>
    </w:p>
    <w:p w14:paraId="0365FC7C" w14:textId="77777777" w:rsidR="004A19CA" w:rsidRDefault="00673B00">
      <w:pPr>
        <w:pStyle w:val="Heading2"/>
        <w:spacing w:after="0"/>
        <w:ind w:left="-5"/>
      </w:pPr>
      <w:r>
        <w:t>The Financial Case</w:t>
      </w:r>
    </w:p>
    <w:tbl>
      <w:tblPr>
        <w:tblStyle w:val="TableGrid"/>
        <w:tblW w:w="9360" w:type="dxa"/>
        <w:tblInd w:w="0" w:type="dxa"/>
        <w:tblCellMar>
          <w:top w:w="0" w:type="dxa"/>
          <w:left w:w="161" w:type="dxa"/>
          <w:bottom w:w="0" w:type="dxa"/>
          <w:right w:w="115" w:type="dxa"/>
        </w:tblCellMar>
        <w:tblLook w:val="04A0" w:firstRow="1" w:lastRow="0" w:firstColumn="1" w:lastColumn="0" w:noHBand="0" w:noVBand="1"/>
      </w:tblPr>
      <w:tblGrid>
        <w:gridCol w:w="3120"/>
        <w:gridCol w:w="3120"/>
        <w:gridCol w:w="3120"/>
      </w:tblGrid>
      <w:tr w:rsidR="004A19CA" w14:paraId="26D5F968" w14:textId="77777777">
        <w:trPr>
          <w:trHeight w:val="722"/>
        </w:trPr>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7A93DD23" w14:textId="77777777" w:rsidR="004A19CA" w:rsidRDefault="00673B00">
            <w:pPr>
              <w:spacing w:after="0" w:line="259" w:lineRule="auto"/>
              <w:ind w:left="0" w:right="0" w:firstLine="0"/>
              <w:jc w:val="left"/>
            </w:pPr>
            <w:r>
              <w:rPr>
                <w:b/>
                <w:color w:val="1F3864"/>
                <w:sz w:val="34"/>
              </w:rPr>
              <w:t>$356K</w:t>
            </w:r>
          </w:p>
        </w:tc>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15977B7B" w14:textId="77777777" w:rsidR="004A19CA" w:rsidRDefault="00673B00">
            <w:pPr>
              <w:spacing w:after="0" w:line="259" w:lineRule="auto"/>
              <w:ind w:left="0" w:right="0" w:firstLine="0"/>
              <w:jc w:val="left"/>
            </w:pPr>
            <w:r>
              <w:rPr>
                <w:b/>
                <w:color w:val="1F3864"/>
                <w:sz w:val="34"/>
              </w:rPr>
              <w:t>4.4%</w:t>
            </w:r>
          </w:p>
        </w:tc>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6F68E995" w14:textId="77777777" w:rsidR="004A19CA" w:rsidRDefault="00673B00">
            <w:pPr>
              <w:spacing w:after="0" w:line="259" w:lineRule="auto"/>
              <w:ind w:left="0" w:right="0" w:firstLine="0"/>
              <w:jc w:val="left"/>
            </w:pPr>
            <w:r>
              <w:rPr>
                <w:b/>
                <w:color w:val="1F3864"/>
                <w:sz w:val="34"/>
              </w:rPr>
              <w:t>2.5%</w:t>
            </w:r>
          </w:p>
        </w:tc>
      </w:tr>
      <w:tr w:rsidR="004A19CA" w14:paraId="07B2B67F" w14:textId="77777777">
        <w:trPr>
          <w:trHeight w:val="1268"/>
        </w:trPr>
        <w:tc>
          <w:tcPr>
            <w:tcW w:w="3120" w:type="dxa"/>
            <w:tcBorders>
              <w:top w:val="single" w:sz="2" w:space="0" w:color="C9D4E8"/>
              <w:left w:val="single" w:sz="2" w:space="0" w:color="C9D4E8"/>
              <w:bottom w:val="single" w:sz="2" w:space="0" w:color="C9D4E8"/>
              <w:right w:val="single" w:sz="2" w:space="0" w:color="C9D4E8"/>
            </w:tcBorders>
            <w:shd w:val="clear" w:color="auto" w:fill="EDF1F9"/>
            <w:vAlign w:val="bottom"/>
          </w:tcPr>
          <w:p w14:paraId="79CDE36B" w14:textId="77777777" w:rsidR="004A19CA" w:rsidRDefault="00673B00">
            <w:pPr>
              <w:spacing w:after="0" w:line="259" w:lineRule="auto"/>
              <w:ind w:left="0" w:right="0" w:firstLine="0"/>
              <w:jc w:val="left"/>
            </w:pPr>
            <w:r>
              <w:rPr>
                <w:color w:val="595959"/>
                <w:sz w:val="18"/>
              </w:rPr>
              <w:t>Conservative annual gross impact. 10-tech store, four quantified channels</w:t>
            </w:r>
          </w:p>
        </w:tc>
        <w:tc>
          <w:tcPr>
            <w:tcW w:w="3120" w:type="dxa"/>
            <w:tcBorders>
              <w:top w:val="single" w:sz="2" w:space="0" w:color="C9D4E8"/>
              <w:left w:val="single" w:sz="2" w:space="0" w:color="C9D4E8"/>
              <w:bottom w:val="single" w:sz="2" w:space="0" w:color="C9D4E8"/>
              <w:right w:val="single" w:sz="2" w:space="0" w:color="C9D4E8"/>
            </w:tcBorders>
            <w:shd w:val="clear" w:color="auto" w:fill="EDF1F9"/>
          </w:tcPr>
          <w:p w14:paraId="6A9A7B80" w14:textId="77777777" w:rsidR="004A19CA" w:rsidRDefault="00673B00">
            <w:pPr>
              <w:spacing w:after="0" w:line="259" w:lineRule="auto"/>
              <w:ind w:left="0" w:right="0" w:firstLine="0"/>
              <w:jc w:val="left"/>
            </w:pPr>
            <w:r>
              <w:rPr>
                <w:color w:val="595959"/>
                <w:sz w:val="18"/>
              </w:rPr>
              <w:t xml:space="preserve">Break-even RO recovery for </w:t>
            </w:r>
          </w:p>
          <w:p w14:paraId="4380D29D" w14:textId="77777777" w:rsidR="004A19CA" w:rsidRDefault="00673B00">
            <w:pPr>
              <w:spacing w:after="0" w:line="259" w:lineRule="auto"/>
              <w:ind w:left="0" w:right="0" w:firstLine="0"/>
              <w:jc w:val="left"/>
            </w:pPr>
            <w:r>
              <w:rPr>
                <w:color w:val="595959"/>
                <w:sz w:val="18"/>
              </w:rPr>
              <w:t xml:space="preserve">Model 2 (Downstream): 35 </w:t>
            </w:r>
          </w:p>
          <w:p w14:paraId="401CA734" w14:textId="77777777" w:rsidR="004A19CA" w:rsidRDefault="00673B00">
            <w:pPr>
              <w:spacing w:after="0" w:line="259" w:lineRule="auto"/>
              <w:ind w:left="0" w:right="0" w:firstLine="0"/>
              <w:jc w:val="left"/>
            </w:pPr>
            <w:r>
              <w:rPr>
                <w:color w:val="595959"/>
                <w:sz w:val="18"/>
              </w:rPr>
              <w:t>ROs/month</w:t>
            </w:r>
          </w:p>
        </w:tc>
        <w:tc>
          <w:tcPr>
            <w:tcW w:w="3120" w:type="dxa"/>
            <w:tcBorders>
              <w:top w:val="single" w:sz="2" w:space="0" w:color="C9D4E8"/>
              <w:left w:val="single" w:sz="2" w:space="0" w:color="C9D4E8"/>
              <w:bottom w:val="single" w:sz="2" w:space="0" w:color="C9D4E8"/>
              <w:right w:val="single" w:sz="2" w:space="0" w:color="C9D4E8"/>
            </w:tcBorders>
            <w:shd w:val="clear" w:color="auto" w:fill="EDF1F9"/>
            <w:vAlign w:val="bottom"/>
          </w:tcPr>
          <w:p w14:paraId="26474B63" w14:textId="77777777" w:rsidR="004A19CA" w:rsidRDefault="00673B00">
            <w:pPr>
              <w:spacing w:after="0" w:line="259" w:lineRule="auto"/>
              <w:ind w:left="0" w:right="0" w:firstLine="0"/>
              <w:jc w:val="left"/>
            </w:pPr>
            <w:r>
              <w:rPr>
                <w:color w:val="595959"/>
                <w:sz w:val="18"/>
              </w:rPr>
              <w:t xml:space="preserve">Break-even RO recovery for </w:t>
            </w:r>
          </w:p>
          <w:p w14:paraId="1823D21C" w14:textId="77777777" w:rsidR="004A19CA" w:rsidRDefault="00673B00">
            <w:pPr>
              <w:spacing w:after="0" w:line="259" w:lineRule="auto"/>
              <w:ind w:left="0" w:right="0" w:firstLine="0"/>
              <w:jc w:val="left"/>
            </w:pPr>
            <w:r>
              <w:rPr>
                <w:color w:val="595959"/>
                <w:sz w:val="18"/>
              </w:rPr>
              <w:t xml:space="preserve">Model 4 (Professional Craft): </w:t>
            </w:r>
          </w:p>
          <w:p w14:paraId="3140380A" w14:textId="77777777" w:rsidR="004A19CA" w:rsidRDefault="00673B00">
            <w:pPr>
              <w:spacing w:after="0" w:line="259" w:lineRule="auto"/>
              <w:ind w:left="0" w:right="0" w:firstLine="0"/>
              <w:jc w:val="left"/>
            </w:pPr>
            <w:r>
              <w:rPr>
                <w:color w:val="595959"/>
                <w:sz w:val="18"/>
              </w:rPr>
              <w:t>20 ROs/month</w:t>
            </w:r>
          </w:p>
        </w:tc>
      </w:tr>
    </w:tbl>
    <w:p w14:paraId="6E0FD7F6" w14:textId="77777777" w:rsidR="004A19CA" w:rsidRDefault="00673B00">
      <w:pPr>
        <w:spacing w:after="288"/>
        <w:ind w:left="-5" w:right="9"/>
      </w:pPr>
      <w:r>
        <w:t>The incremental annual cost to implement ranges from $5,700 for Model 1 to $177,600 for the Full-Cycle Model. The break-even repair order recovery threshold ranges from no recovery required to 8.9 percent additional volume. The industry has already lost 12 percent of service visits since 2018. Recovering volume already lost, not finding new customers, is sufficient to make every model financially selfsustaining. Every figure in this analysis is built on stated assumptions, shown arithmetic, and conservative</w:t>
      </w:r>
      <w:r>
        <w:t xml:space="preserve"> inputs, so the reader can test the math against their own store.</w:t>
      </w:r>
    </w:p>
    <w:p w14:paraId="70DCF08D" w14:textId="77777777" w:rsidR="004A19CA" w:rsidRDefault="00673B00">
      <w:pPr>
        <w:pStyle w:val="Heading2"/>
        <w:ind w:left="-5"/>
      </w:pPr>
      <w:r>
        <w:t>The Path Forward</w:t>
      </w:r>
    </w:p>
    <w:p w14:paraId="6705388C" w14:textId="77777777" w:rsidR="004A19CA" w:rsidRDefault="00673B00">
      <w:pPr>
        <w:ind w:left="-5" w:right="9"/>
      </w:pPr>
      <w:r>
        <w:t>Section 11 presents a twelve-month, four-phase implementation roadmap: a foundation phase for infrastructure, a communication phase with a specific sequencing protocol for foremen, advisors, and technicians, a shadow reporting phase for metric calibration before financial activation, and a full activation phase with benchmarks at 90 days, six months, and twelve months.</w:t>
      </w:r>
    </w:p>
    <w:p w14:paraId="4E573F48" w14:textId="77777777" w:rsidR="004A19CA" w:rsidRDefault="00673B00">
      <w:pPr>
        <w:spacing w:after="227"/>
        <w:ind w:left="-5" w:right="9"/>
      </w:pPr>
      <w:r>
        <w:t>The paper closes with a challenge to the reader. No financial analysis or behavioral research can manufacture the leadership decision to act. But the data is unambiguous. The behavior is documented. The path is mapped. The remaining variable is whether the person reading this paper is prepared to lead through the discomfort of changing something the industry has built its habits around for over a century.</w:t>
      </w:r>
    </w:p>
    <w:p w14:paraId="042380A1" w14:textId="77777777" w:rsidR="004A19CA" w:rsidRDefault="00673B00">
      <w:pPr>
        <w:tabs>
          <w:tab w:val="center" w:pos="3591"/>
        </w:tabs>
        <w:spacing w:after="269" w:line="261" w:lineRule="auto"/>
        <w:ind w:left="0" w:right="0" w:firstLine="0"/>
        <w:jc w:val="left"/>
      </w:pPr>
      <w:r>
        <w:rPr>
          <w:noProof/>
        </w:rPr>
        <mc:AlternateContent>
          <mc:Choice Requires="wpg">
            <w:drawing>
              <wp:inline distT="0" distB="0" distL="0" distR="0" wp14:anchorId="00C9B574" wp14:editId="5542C3A9">
                <wp:extent cx="38100" cy="202565"/>
                <wp:effectExtent l="0" t="0" r="0" b="0"/>
                <wp:docPr id="35663" name="Group 35663"/>
                <wp:cNvGraphicFramePr/>
                <a:graphic xmlns:a="http://schemas.openxmlformats.org/drawingml/2006/main">
                  <a:graphicData uri="http://schemas.microsoft.com/office/word/2010/wordprocessingGroup">
                    <wpg:wgp>
                      <wpg:cNvGrpSpPr/>
                      <wpg:grpSpPr>
                        <a:xfrm>
                          <a:off x="0" y="0"/>
                          <a:ext cx="38100" cy="202565"/>
                          <a:chOff x="0" y="0"/>
                          <a:chExt cx="38100" cy="202565"/>
                        </a:xfrm>
                      </wpg:grpSpPr>
                      <wps:wsp>
                        <wps:cNvPr id="384" name="Shape 384"/>
                        <wps:cNvSpPr/>
                        <wps:spPr>
                          <a:xfrm>
                            <a:off x="0" y="0"/>
                            <a:ext cx="0" cy="202565"/>
                          </a:xfrm>
                          <a:custGeom>
                            <a:avLst/>
                            <a:gdLst/>
                            <a:ahLst/>
                            <a:cxnLst/>
                            <a:rect l="0" t="0" r="0" b="0"/>
                            <a:pathLst>
                              <a:path h="202565">
                                <a:moveTo>
                                  <a:pt x="0" y="2025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s:wsp>
                        <wps:cNvPr id="386" name="Shape 386"/>
                        <wps:cNvSpPr/>
                        <wps:spPr>
                          <a:xfrm>
                            <a:off x="0" y="0"/>
                            <a:ext cx="0" cy="202565"/>
                          </a:xfrm>
                          <a:custGeom>
                            <a:avLst/>
                            <a:gdLst/>
                            <a:ahLst/>
                            <a:cxnLst/>
                            <a:rect l="0" t="0" r="0" b="0"/>
                            <a:pathLst>
                              <a:path h="202565">
                                <a:moveTo>
                                  <a:pt x="0" y="2025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663" style="width:3pt;height:15.95pt;mso-position-horizontal-relative:char;mso-position-vertical-relative:line" coordsize="381,2025">
                <v:shape id="Shape 384" style="position:absolute;width:0;height:2025;left:0;top:0;" coordsize="0,202565" path="m0,202565l0,0">
                  <v:stroke weight="3pt" endcap="flat" joinstyle="round" on="true" color="#1f3864"/>
                  <v:fill on="false" color="#000000" opacity="0"/>
                </v:shape>
                <v:shape id="Shape 386" style="position:absolute;width:0;height:2025;left:0;top:0;" coordsize="0,202565" path="m0,202565l0,0">
                  <v:stroke weight="3pt" endcap="flat" joinstyle="round" on="true" color="#1f3864"/>
                  <v:fill on="false" color="#000000" opacity="0"/>
                </v:shape>
              </v:group>
            </w:pict>
          </mc:Fallback>
        </mc:AlternateContent>
      </w:r>
      <w:r>
        <w:rPr>
          <w:i/>
          <w:color w:val="1F3864"/>
          <w:sz w:val="24"/>
        </w:rPr>
        <w:tab/>
        <w:t>The technician in bay seven is ready when you are.</w:t>
      </w:r>
    </w:p>
    <w:p w14:paraId="610A614D" w14:textId="77777777" w:rsidR="004A19CA" w:rsidRDefault="00673B00">
      <w:pPr>
        <w:spacing w:after="40" w:line="231" w:lineRule="auto"/>
        <w:ind w:left="-5" w:right="0"/>
        <w:jc w:val="left"/>
      </w:pPr>
      <w:r>
        <w:rPr>
          <w:b/>
          <w:color w:val="1F3864"/>
          <w:sz w:val="34"/>
        </w:rPr>
        <w:t xml:space="preserve">02   The Slow Leak: What the Numbers Know </w:t>
      </w:r>
    </w:p>
    <w:p w14:paraId="6643A561" w14:textId="77777777" w:rsidR="004A19CA" w:rsidRDefault="00673B00">
      <w:pPr>
        <w:pStyle w:val="Heading1"/>
        <w:ind w:left="-5"/>
      </w:pPr>
      <w:r>
        <w:t>That the Industry Has Not Yet Said Out Loud</w:t>
      </w:r>
    </w:p>
    <w:p w14:paraId="4C2C7558" w14:textId="77777777" w:rsidR="004A19CA" w:rsidRDefault="00673B00">
      <w:pPr>
        <w:ind w:left="-5" w:right="9"/>
      </w:pPr>
      <w:r>
        <w:t>Walk through any well-run dealership service drive on a Tuesday morning. The bays are active. The advisors are busy. The board shows labor sales moving in the right direction. On the surface, everything looks fine.</w:t>
      </w:r>
    </w:p>
    <w:p w14:paraId="609E9B84" w14:textId="77777777" w:rsidR="004A19CA" w:rsidRDefault="00673B00">
      <w:pPr>
        <w:ind w:left="-5" w:right="9"/>
      </w:pPr>
      <w:r>
        <w:lastRenderedPageBreak/>
        <w:t>That is exactly the problem.</w:t>
      </w:r>
    </w:p>
    <w:p w14:paraId="3FC0FC08" w14:textId="77777777" w:rsidR="004A19CA" w:rsidRDefault="00673B00">
      <w:pPr>
        <w:ind w:left="-5" w:right="9"/>
      </w:pPr>
      <w:r>
        <w:t>The franchised dealership service department is not in crisis. It is in drift. Slow, quiet, measurable drift. And the most dangerous kind of business problem is not the one that demands immediate attention. It is the one that lets you feel like you are winning while the conditions around you change faster than your model can adapt.</w:t>
      </w:r>
    </w:p>
    <w:p w14:paraId="69919A04" w14:textId="77777777" w:rsidR="004A19CA" w:rsidRDefault="00673B00">
      <w:pPr>
        <w:ind w:left="-5" w:right="9"/>
      </w:pPr>
      <w:r>
        <w:t>This paper is about that drift. More specifically, it is about one structural decision, how dealerships compensate their technicians, and the argument that this single decision is quietly shaping customer behavior, customer perception, and ultimately customer loyalty in ways the industry has not fully confronted.</w:t>
      </w:r>
    </w:p>
    <w:p w14:paraId="11CE86DD" w14:textId="77777777" w:rsidR="004A19CA" w:rsidRDefault="00673B00">
      <w:pPr>
        <w:spacing w:after="260"/>
        <w:ind w:left="-5" w:right="9"/>
      </w:pPr>
      <w:r>
        <w:t>This is not an indictment of the flat-rate system or the people who built it. Flat-rate pay was a logical, practical solution to a real business problem. It rewarded productivity. It aligned technician output with shop capacity. For decades, it worked well enough that the industry grew around it.</w:t>
      </w:r>
    </w:p>
    <w:p w14:paraId="3B1885FB" w14:textId="77777777" w:rsidR="004A19CA" w:rsidRDefault="00673B00">
      <w:pPr>
        <w:spacing w:after="269" w:line="261" w:lineRule="auto"/>
        <w:ind w:left="475" w:right="502"/>
        <w:jc w:val="left"/>
      </w:pPr>
      <w:r>
        <w:rPr>
          <w:noProof/>
        </w:rPr>
        <mc:AlternateContent>
          <mc:Choice Requires="wpg">
            <w:drawing>
              <wp:anchor distT="0" distB="0" distL="114300" distR="114300" simplePos="0" relativeHeight="251659264" behindDoc="0" locked="0" layoutInCell="1" allowOverlap="1" wp14:anchorId="7D58FDCA" wp14:editId="5A0D1A0E">
                <wp:simplePos x="0" y="0"/>
                <wp:positionH relativeFrom="column">
                  <wp:posOffset>132080</wp:posOffset>
                </wp:positionH>
                <wp:positionV relativeFrom="paragraph">
                  <wp:posOffset>-21098</wp:posOffset>
                </wp:positionV>
                <wp:extent cx="38100" cy="608965"/>
                <wp:effectExtent l="0" t="0" r="0" b="0"/>
                <wp:wrapSquare wrapText="bothSides"/>
                <wp:docPr id="35374" name="Group 35374"/>
                <wp:cNvGraphicFramePr/>
                <a:graphic xmlns:a="http://schemas.openxmlformats.org/drawingml/2006/main">
                  <a:graphicData uri="http://schemas.microsoft.com/office/word/2010/wordprocessingGroup">
                    <wpg:wgp>
                      <wpg:cNvGrpSpPr/>
                      <wpg:grpSpPr>
                        <a:xfrm>
                          <a:off x="0" y="0"/>
                          <a:ext cx="38100" cy="608965"/>
                          <a:chOff x="0" y="0"/>
                          <a:chExt cx="38100" cy="608965"/>
                        </a:xfrm>
                      </wpg:grpSpPr>
                      <wps:wsp>
                        <wps:cNvPr id="450" name="Shape 450"/>
                        <wps:cNvSpPr/>
                        <wps:spPr>
                          <a:xfrm>
                            <a:off x="0" y="0"/>
                            <a:ext cx="0" cy="608965"/>
                          </a:xfrm>
                          <a:custGeom>
                            <a:avLst/>
                            <a:gdLst/>
                            <a:ahLst/>
                            <a:cxnLst/>
                            <a:rect l="0" t="0" r="0" b="0"/>
                            <a:pathLst>
                              <a:path h="608965">
                                <a:moveTo>
                                  <a:pt x="0" y="6089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s:wsp>
                        <wps:cNvPr id="452" name="Shape 452"/>
                        <wps:cNvSpPr/>
                        <wps:spPr>
                          <a:xfrm>
                            <a:off x="0" y="0"/>
                            <a:ext cx="0" cy="608965"/>
                          </a:xfrm>
                          <a:custGeom>
                            <a:avLst/>
                            <a:gdLst/>
                            <a:ahLst/>
                            <a:cxnLst/>
                            <a:rect l="0" t="0" r="0" b="0"/>
                            <a:pathLst>
                              <a:path h="608965">
                                <a:moveTo>
                                  <a:pt x="0" y="6089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374" style="width:3pt;height:47.95pt;position:absolute;mso-position-horizontal-relative:text;mso-position-horizontal:absolute;margin-left:10.4pt;mso-position-vertical-relative:text;margin-top:-1.66135pt;" coordsize="381,6089">
                <v:shape id="Shape 450" style="position:absolute;width:0;height:6089;left:0;top:0;" coordsize="0,608965" path="m0,608965l0,0">
                  <v:stroke weight="3pt" endcap="flat" joinstyle="round" on="true" color="#1f3864"/>
                  <v:fill on="false" color="#000000" opacity="0"/>
                </v:shape>
                <v:shape id="Shape 452" style="position:absolute;width:0;height:6089;left:0;top:0;" coordsize="0,608965" path="m0,608965l0,0">
                  <v:stroke weight="3pt" endcap="flat" joinstyle="round" on="true" color="#1f3864"/>
                  <v:fill on="false" color="#000000" opacity="0"/>
                </v:shape>
                <w10:wrap type="square"/>
              </v:group>
            </w:pict>
          </mc:Fallback>
        </mc:AlternateContent>
      </w:r>
      <w:r>
        <w:rPr>
          <w:i/>
          <w:color w:val="1F3864"/>
          <w:sz w:val="24"/>
        </w:rPr>
        <w:t>The question is not whether flat rate worked then. It is whether it still works now, and whether the environment it was built for still exists.</w:t>
      </w:r>
    </w:p>
    <w:p w14:paraId="36D8C2C7" w14:textId="77777777" w:rsidR="004A19CA" w:rsidRDefault="00673B00">
      <w:pPr>
        <w:pStyle w:val="Heading2"/>
        <w:ind w:left="-5"/>
      </w:pPr>
      <w:r>
        <w:t>A Dealership That Concentrates Is Not a Dealership That Grows</w:t>
      </w:r>
    </w:p>
    <w:p w14:paraId="34B528E8" w14:textId="77777777" w:rsidR="004A19CA" w:rsidRDefault="00673B00">
      <w:pPr>
        <w:ind w:left="-5" w:right="9"/>
      </w:pPr>
      <w:r>
        <w:t>Revenue per repair order is rising. Repair order volume is falling. Most monthly reporting celebrates the first number and buries the second. That is reading the wrong chapter.</w:t>
      </w:r>
    </w:p>
    <w:p w14:paraId="24EF133E" w14:textId="77777777" w:rsidR="004A19CA" w:rsidRDefault="00673B00">
      <w:pPr>
        <w:ind w:left="-5" w:right="9"/>
      </w:pPr>
      <w:r>
        <w:t>A dealership that raises revenue per ticket while losing ticket count is not growing. It is concentrating. It is serving a smaller, captive customer base at higher margins while the broader customer population quietly finds other options. The revenue chart looks healthy. The customer relationship chart does not. Section 3 puts the full data picture on the table. The pattern it shows has a name in every operator’s P&amp;L: revenue strength masking relationship erosion.</w:t>
      </w:r>
    </w:p>
    <w:p w14:paraId="02C1E587" w14:textId="77777777" w:rsidR="004A19CA" w:rsidRDefault="00673B00">
      <w:pPr>
        <w:spacing w:after="288"/>
        <w:ind w:left="-5" w:right="9"/>
      </w:pPr>
      <w:r>
        <w:t>Where are the departing customers going? To independent repair shops. To quicklube chains. To mobile service providers. To a growing network of aftermarket alternatives that have invested heavily in customer experience, transparent pricing, and convenience. Nearly 299,000 auto repair businesses now operate in the United States, up 12 percent since 2018 (Cox Automotive, 2026a). The competition is not coming. It is here, and it is multiplying.</w:t>
      </w:r>
    </w:p>
    <w:p w14:paraId="638F21C4" w14:textId="77777777" w:rsidR="004A19CA" w:rsidRDefault="00673B00">
      <w:pPr>
        <w:pStyle w:val="Heading2"/>
        <w:ind w:left="-5"/>
      </w:pPr>
      <w:r>
        <w:t>The Pay Model Sits Upstream of All of It</w:t>
      </w:r>
    </w:p>
    <w:p w14:paraId="050F3F1D" w14:textId="77777777" w:rsidR="004A19CA" w:rsidRDefault="00673B00">
      <w:pPr>
        <w:ind w:left="-5" w:right="9"/>
      </w:pPr>
      <w:r>
        <w:t>Much of the industry’s response has focused downstream: improve the customer experience, enhance digital scheduling, offer more transparency at the write-up, build a better waiting room. Those are not wrong directions. But they are responses to symptoms. They do not address the structural dynamic producing the symptoms.</w:t>
      </w:r>
    </w:p>
    <w:p w14:paraId="34F4FD06" w14:textId="77777777" w:rsidR="004A19CA" w:rsidRDefault="00673B00">
      <w:pPr>
        <w:ind w:left="-5" w:right="9"/>
      </w:pPr>
      <w:r>
        <w:t>The flat-rate model creates a specific set of incentives for the technician. Produce more. Produce faster. Flag more hours. It is not designed to reward customer communication. It is not designed to reward diagnostic thoroughness. It is not designed to reward the kind of patient, transparent conversation that turns a firsttime customer into a loyalty account. It is designed to move cars through bays.</w:t>
      </w:r>
    </w:p>
    <w:p w14:paraId="359B9F94" w14:textId="77777777" w:rsidR="004A19CA" w:rsidRDefault="00673B00">
      <w:pPr>
        <w:ind w:left="-5" w:right="9"/>
      </w:pPr>
      <w:r>
        <w:lastRenderedPageBreak/>
        <w:t>The goal of this paper is to present a research-supported, financially modeled, operationally practical argument for why the compensation structure of the service department deserves a serious, strategic conversation at the dealer principal level, and to offer five alternative models that can be evaluated, piloted, and adapted to the unique conditions of any store.</w:t>
      </w:r>
    </w:p>
    <w:p w14:paraId="2E45C6C9" w14:textId="77777777" w:rsidR="004A19CA" w:rsidRDefault="00673B00">
      <w:pPr>
        <w:ind w:left="-5" w:right="9"/>
      </w:pPr>
      <w:r>
        <w:t>The technician is the last person to touch a customer’s most valued asset. What they are paid for shapes how they behave. How they behave shapes what the customer experiences. What the customer experiences determines whether they come back. It is worth getting that right.</w:t>
      </w:r>
    </w:p>
    <w:p w14:paraId="45E7D493" w14:textId="77777777" w:rsidR="004A19CA" w:rsidRDefault="00673B00">
      <w:pPr>
        <w:pStyle w:val="Heading1"/>
        <w:ind w:left="-5"/>
      </w:pPr>
      <w:r>
        <w:t>03   The Market Reality: What the Data Actually Says</w:t>
      </w:r>
    </w:p>
    <w:p w14:paraId="69D2F726" w14:textId="77777777" w:rsidR="004A19CA" w:rsidRDefault="00673B00">
      <w:pPr>
        <w:spacing w:after="0"/>
        <w:ind w:left="-5" w:right="9"/>
      </w:pPr>
      <w:r>
        <w:t>Numbers do not resolve interpretation by themselves, but they do constrain it. Across the franchised dealership service landscape, several independent data sets point in the same direction: Cox Automotive market studies, S&amp;P Global Mobility fleet data, NADA financial and workforce data, and labor-market benchmarks from the U.S. Bureau of Labor Statistics.</w:t>
      </w:r>
    </w:p>
    <w:tbl>
      <w:tblPr>
        <w:tblStyle w:val="TableGrid"/>
        <w:tblW w:w="9360" w:type="dxa"/>
        <w:tblInd w:w="0" w:type="dxa"/>
        <w:tblCellMar>
          <w:top w:w="0" w:type="dxa"/>
          <w:left w:w="161" w:type="dxa"/>
          <w:bottom w:w="0" w:type="dxa"/>
          <w:right w:w="115" w:type="dxa"/>
        </w:tblCellMar>
        <w:tblLook w:val="04A0" w:firstRow="1" w:lastRow="0" w:firstColumn="1" w:lastColumn="0" w:noHBand="0" w:noVBand="1"/>
      </w:tblPr>
      <w:tblGrid>
        <w:gridCol w:w="3120"/>
        <w:gridCol w:w="3120"/>
        <w:gridCol w:w="3120"/>
      </w:tblGrid>
      <w:tr w:rsidR="004A19CA" w14:paraId="7B7D43BB" w14:textId="77777777">
        <w:trPr>
          <w:trHeight w:val="1412"/>
        </w:trPr>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5D604E49" w14:textId="77777777" w:rsidR="004A19CA" w:rsidRDefault="00673B00">
            <w:pPr>
              <w:spacing w:after="0" w:line="259" w:lineRule="auto"/>
              <w:ind w:left="0" w:right="0" w:firstLine="0"/>
              <w:jc w:val="left"/>
            </w:pPr>
            <w:r>
              <w:rPr>
                <w:b/>
                <w:color w:val="1F3864"/>
                <w:sz w:val="34"/>
              </w:rPr>
              <w:t>$494</w:t>
            </w:r>
          </w:p>
          <w:p w14:paraId="52A82C6C" w14:textId="77777777" w:rsidR="004A19CA" w:rsidRDefault="00673B00">
            <w:pPr>
              <w:spacing w:after="0" w:line="229" w:lineRule="auto"/>
              <w:ind w:left="0" w:right="0" w:firstLine="0"/>
              <w:jc w:val="left"/>
            </w:pPr>
            <w:r>
              <w:rPr>
                <w:color w:val="595959"/>
                <w:sz w:val="18"/>
              </w:rPr>
              <w:t xml:space="preserve">Service and parts per customer repair order, 2025 </w:t>
            </w:r>
          </w:p>
          <w:p w14:paraId="18BD0646" w14:textId="77777777" w:rsidR="004A19CA" w:rsidRDefault="00673B00">
            <w:pPr>
              <w:spacing w:after="0" w:line="259" w:lineRule="auto"/>
              <w:ind w:left="0" w:right="0" w:firstLine="0"/>
              <w:jc w:val="left"/>
            </w:pPr>
            <w:r>
              <w:rPr>
                <w:color w:val="595959"/>
                <w:sz w:val="18"/>
              </w:rPr>
              <w:t>(NADA)</w:t>
            </w:r>
          </w:p>
        </w:tc>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26A67982" w14:textId="77777777" w:rsidR="004A19CA" w:rsidRDefault="00673B00">
            <w:pPr>
              <w:spacing w:after="0" w:line="259" w:lineRule="auto"/>
              <w:ind w:left="0" w:right="0" w:firstLine="0"/>
              <w:jc w:val="left"/>
            </w:pPr>
            <w:r>
              <w:rPr>
                <w:b/>
                <w:color w:val="1F3864"/>
                <w:sz w:val="34"/>
              </w:rPr>
              <w:t>29%</w:t>
            </w:r>
          </w:p>
          <w:p w14:paraId="5B902E0B" w14:textId="77777777" w:rsidR="004A19CA" w:rsidRDefault="00673B00">
            <w:pPr>
              <w:spacing w:after="0" w:line="229" w:lineRule="auto"/>
              <w:ind w:left="0" w:right="0" w:firstLine="0"/>
              <w:jc w:val="center"/>
            </w:pPr>
            <w:r>
              <w:rPr>
                <w:color w:val="595959"/>
                <w:sz w:val="18"/>
              </w:rPr>
              <w:t xml:space="preserve">Dealership share of all service visits, down from 33% in 2018 </w:t>
            </w:r>
          </w:p>
          <w:p w14:paraId="45433037" w14:textId="77777777" w:rsidR="004A19CA" w:rsidRDefault="00673B00">
            <w:pPr>
              <w:spacing w:after="0" w:line="259" w:lineRule="auto"/>
              <w:ind w:left="0" w:right="0" w:firstLine="0"/>
              <w:jc w:val="left"/>
            </w:pPr>
            <w:r>
              <w:rPr>
                <w:color w:val="595959"/>
                <w:sz w:val="18"/>
              </w:rPr>
              <w:t>(Cox Automotive, 2026a)</w:t>
            </w:r>
          </w:p>
        </w:tc>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3D9D8E1D" w14:textId="77777777" w:rsidR="004A19CA" w:rsidRDefault="00673B00">
            <w:pPr>
              <w:spacing w:after="0" w:line="259" w:lineRule="auto"/>
              <w:ind w:left="0" w:right="0" w:firstLine="0"/>
              <w:jc w:val="left"/>
            </w:pPr>
            <w:r>
              <w:rPr>
                <w:b/>
                <w:color w:val="1F3864"/>
                <w:sz w:val="34"/>
              </w:rPr>
              <w:t>12.8 yrs</w:t>
            </w:r>
          </w:p>
          <w:p w14:paraId="6061CA19" w14:textId="77777777" w:rsidR="004A19CA" w:rsidRDefault="00673B00">
            <w:pPr>
              <w:spacing w:after="0" w:line="229" w:lineRule="auto"/>
              <w:ind w:left="0" w:right="0" w:firstLine="0"/>
              <w:jc w:val="left"/>
            </w:pPr>
            <w:r>
              <w:rPr>
                <w:color w:val="595959"/>
                <w:sz w:val="18"/>
              </w:rPr>
              <w:t xml:space="preserve">Average vehicle age, 2025. A record (S&amp;P Global Mobility, </w:t>
            </w:r>
          </w:p>
          <w:p w14:paraId="2292F993" w14:textId="77777777" w:rsidR="004A19CA" w:rsidRDefault="00673B00">
            <w:pPr>
              <w:spacing w:after="0" w:line="259" w:lineRule="auto"/>
              <w:ind w:left="0" w:right="0" w:firstLine="0"/>
              <w:jc w:val="left"/>
            </w:pPr>
            <w:r>
              <w:rPr>
                <w:color w:val="595959"/>
                <w:sz w:val="18"/>
              </w:rPr>
              <w:t>2025)</w:t>
            </w:r>
          </w:p>
        </w:tc>
      </w:tr>
    </w:tbl>
    <w:p w14:paraId="0F9C5A24" w14:textId="77777777" w:rsidR="004A19CA" w:rsidRDefault="00673B00">
      <w:pPr>
        <w:pStyle w:val="Heading2"/>
        <w:ind w:left="-5"/>
      </w:pPr>
      <w:r>
        <w:t>The Volume Paradox: More Revenue, Fewer Customers</w:t>
      </w:r>
    </w:p>
    <w:p w14:paraId="7C3ADEA2" w14:textId="77777777" w:rsidR="004A19CA" w:rsidRDefault="00673B00">
      <w:pPr>
        <w:ind w:left="-5" w:right="9"/>
      </w:pPr>
      <w:r>
        <w:t>Franchised dealerships handle 12 percent fewer service visits than they did in 2018, even as service and parts sales reached a record $164.6 billion in 2025, up from $156.46 billion in 2024 and from $116.49 billion in 2018 (National Automobile Dealers Association, 2025b). Total dealership revenue rose 4.5 percent year over year. The industry is generating more revenue per customer while serving fewer customers.</w:t>
      </w:r>
    </w:p>
    <w:p w14:paraId="797BD898" w14:textId="77777777" w:rsidR="004A19CA" w:rsidRDefault="00673B00">
      <w:pPr>
        <w:spacing w:after="198" w:line="290" w:lineRule="auto"/>
        <w:ind w:left="-5" w:right="29"/>
        <w:jc w:val="left"/>
      </w:pPr>
      <w:r>
        <w:rPr>
          <w:i/>
          <w:color w:val="595959"/>
          <w:sz w:val="19"/>
        </w:rPr>
        <w:t>For illustration: a dealership generating $520 per repair order on 880 transactions produces less total revenue than one generating $494 on 1,000 transactions. The board looks healthy. The financial statement does not.</w:t>
      </w:r>
    </w:p>
    <w:p w14:paraId="1F314737" w14:textId="77777777" w:rsidR="004A19CA" w:rsidRDefault="00673B00">
      <w:pPr>
        <w:ind w:left="-5" w:right="9"/>
      </w:pPr>
      <w:r>
        <w:t>This is the volume paradox. Revenue per transaction climbs because labor rates and parts costs have increased. Transaction count falls because customers are finding alternatives. The two trends mask each other in monthly reporting until the gap becomes too wide to ignore.</w:t>
      </w:r>
    </w:p>
    <w:p w14:paraId="4085D688" w14:textId="77777777" w:rsidR="004A19CA" w:rsidRDefault="00673B00">
      <w:pPr>
        <w:ind w:left="-5" w:right="9"/>
      </w:pPr>
      <w:r>
        <w:t>The erosion is sharpest exactly where loyalty is formed. In 2025, only 54 percent of customers with vehicles two years old or newer returned to their purchase dealership for service, down from 72 percent two years earlier (Cox Automotive, 2025a). The buy-here, service-elsewhere pattern takes hold in the first ownership window and hardens from there. Agero’s lifecycle research documents the trajectory: roughly 30 percent of customers with vehicles three to five years old return to the dealership for service,</w:t>
      </w:r>
      <w:r>
        <w:t xml:space="preserve"> 21 percent at five years and older, and 8 percent by year ten (Agero, 2021). By the time a vehicle carries ten years of service history elsewhere, the relationship is not dormant. It is gone.</w:t>
      </w:r>
    </w:p>
    <w:p w14:paraId="6983F92B" w14:textId="77777777" w:rsidR="004A19CA" w:rsidRDefault="00673B00">
      <w:pPr>
        <w:pStyle w:val="Heading2"/>
        <w:ind w:left="-5"/>
      </w:pPr>
      <w:r>
        <w:t>The Aging Fleet: A Double-Edged Reality</w:t>
      </w:r>
    </w:p>
    <w:p w14:paraId="06FAD7B1" w14:textId="77777777" w:rsidR="004A19CA" w:rsidRDefault="00673B00">
      <w:pPr>
        <w:ind w:left="-5" w:right="9"/>
      </w:pPr>
      <w:r>
        <w:t xml:space="preserve">The average age of vehicles on American roads reached a record 12.8 years in 2025, the second consecutive year of a two-month increase (S&amp;P Global Mobility, 2025). People are holding vehicles longer, </w:t>
      </w:r>
      <w:r>
        <w:lastRenderedPageBreak/>
        <w:t>a trend driven by elevated new-vehicle prices, higher borrowing costs, and an expensive used-vehicle market. Cox Automotive (2026b) reports that nearly two-thirds of owners now keep their vehicles five years or more, up from 54 percent in 2024.</w:t>
      </w:r>
    </w:p>
    <w:p w14:paraId="60315872" w14:textId="77777777" w:rsidR="004A19CA" w:rsidRDefault="00673B00">
      <w:pPr>
        <w:spacing w:after="288"/>
        <w:ind w:left="-5" w:right="9"/>
      </w:pPr>
      <w:r>
        <w:t>An older fleet means more intensive repair work. It also changes the character of that work: more diagnostic complexity, more intermittent failures, more multisystem issues that do not resolve cleanly through standardized labor-guide assumptions. Most well-run stores now bill for diagnostic time, so this is not about a technician working for free. It is about what the system rewards. Flat rate rewards flag-hour velocity, and the fastest paycheck comes from predictable book-time jobs turned one after another</w:t>
      </w:r>
      <w:r>
        <w:t>. A hard diagnosis runs against that grain. It is slow, it is uncertain, and the flagged hours rarely track the clock hours. So the technician optimizing exactly as the pay plan asks drifts toward the quick and the certain, away from the slow and the demanding. On a single repair order, the pull is mild. Across a year, on an aging and complex vehicle population, it points the wrong way.</w:t>
      </w:r>
    </w:p>
    <w:p w14:paraId="601B01A0" w14:textId="77777777" w:rsidR="004A19CA" w:rsidRDefault="00673B00">
      <w:pPr>
        <w:pStyle w:val="Heading2"/>
        <w:spacing w:after="0"/>
        <w:ind w:left="-5"/>
      </w:pPr>
      <w:r>
        <w:t>The Labor Rate Spiral: Rising Costs, Falling Confidence</w:t>
      </w:r>
    </w:p>
    <w:tbl>
      <w:tblPr>
        <w:tblStyle w:val="TableGrid"/>
        <w:tblW w:w="9360" w:type="dxa"/>
        <w:tblInd w:w="0" w:type="dxa"/>
        <w:tblCellMar>
          <w:top w:w="0" w:type="dxa"/>
          <w:left w:w="161" w:type="dxa"/>
          <w:bottom w:w="0" w:type="dxa"/>
          <w:right w:w="115" w:type="dxa"/>
        </w:tblCellMar>
        <w:tblLook w:val="04A0" w:firstRow="1" w:lastRow="0" w:firstColumn="1" w:lastColumn="0" w:noHBand="0" w:noVBand="1"/>
      </w:tblPr>
      <w:tblGrid>
        <w:gridCol w:w="3120"/>
        <w:gridCol w:w="3120"/>
        <w:gridCol w:w="3120"/>
      </w:tblGrid>
      <w:tr w:rsidR="004A19CA" w14:paraId="36D66390" w14:textId="77777777">
        <w:trPr>
          <w:trHeight w:val="1201"/>
        </w:trPr>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071A4CC4" w14:textId="77777777" w:rsidR="004A19CA" w:rsidRDefault="00673B00">
            <w:pPr>
              <w:spacing w:after="0" w:line="259" w:lineRule="auto"/>
              <w:ind w:left="0" w:right="0" w:firstLine="0"/>
              <w:jc w:val="left"/>
            </w:pPr>
            <w:r>
              <w:rPr>
                <w:b/>
                <w:color w:val="1F3864"/>
                <w:sz w:val="34"/>
              </w:rPr>
              <w:t>$186</w:t>
            </w:r>
          </w:p>
          <w:p w14:paraId="16FFB56D" w14:textId="77777777" w:rsidR="004A19CA" w:rsidRDefault="00673B00">
            <w:pPr>
              <w:spacing w:after="0" w:line="259" w:lineRule="auto"/>
              <w:ind w:left="0" w:right="0" w:firstLine="0"/>
              <w:jc w:val="left"/>
            </w:pPr>
            <w:r>
              <w:rPr>
                <w:color w:val="595959"/>
                <w:sz w:val="18"/>
              </w:rPr>
              <w:t>Average customer mechanical labor rate, 2025 (NADA)</w:t>
            </w:r>
          </w:p>
        </w:tc>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6ADFCF3E" w14:textId="77777777" w:rsidR="004A19CA" w:rsidRDefault="00673B00">
            <w:pPr>
              <w:spacing w:after="0" w:line="259" w:lineRule="auto"/>
              <w:ind w:left="0" w:right="0" w:firstLine="0"/>
              <w:jc w:val="left"/>
            </w:pPr>
            <w:r>
              <w:rPr>
                <w:b/>
                <w:color w:val="1F3864"/>
                <w:sz w:val="34"/>
              </w:rPr>
              <w:t>16,252</w:t>
            </w:r>
          </w:p>
          <w:p w14:paraId="271E63A7" w14:textId="77777777" w:rsidR="004A19CA" w:rsidRDefault="00673B00">
            <w:pPr>
              <w:spacing w:after="0" w:line="259" w:lineRule="auto"/>
              <w:ind w:left="0" w:right="0" w:firstLine="0"/>
              <w:jc w:val="left"/>
            </w:pPr>
            <w:r>
              <w:rPr>
                <w:color w:val="595959"/>
                <w:sz w:val="18"/>
              </w:rPr>
              <w:t>Repair orders written per dealership, 2025 (NADA)</w:t>
            </w:r>
          </w:p>
        </w:tc>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53E1C752" w14:textId="77777777" w:rsidR="004A19CA" w:rsidRDefault="00673B00">
            <w:pPr>
              <w:spacing w:after="0" w:line="259" w:lineRule="auto"/>
              <w:ind w:left="0" w:right="0" w:firstLine="0"/>
              <w:jc w:val="left"/>
            </w:pPr>
            <w:r>
              <w:rPr>
                <w:b/>
                <w:color w:val="1F3864"/>
                <w:sz w:val="34"/>
              </w:rPr>
              <w:t>+41%</w:t>
            </w:r>
          </w:p>
          <w:p w14:paraId="17A883D6" w14:textId="77777777" w:rsidR="004A19CA" w:rsidRDefault="00673B00">
            <w:pPr>
              <w:spacing w:after="0" w:line="259" w:lineRule="auto"/>
              <w:ind w:left="0" w:right="0" w:firstLine="0"/>
              <w:jc w:val="left"/>
            </w:pPr>
            <w:r>
              <w:rPr>
                <w:color w:val="595959"/>
                <w:sz w:val="18"/>
              </w:rPr>
              <w:t>Service and parts sales growth, 2018 to 2025 (NADA)</w:t>
            </w:r>
          </w:p>
        </w:tc>
      </w:tr>
    </w:tbl>
    <w:p w14:paraId="59B65557" w14:textId="77777777" w:rsidR="004A19CA" w:rsidRDefault="00673B00">
      <w:pPr>
        <w:spacing w:after="288"/>
        <w:ind w:left="-5" w:right="9"/>
      </w:pPr>
      <w:r>
        <w:t>The average customer mechanical labor rate reached $186 in 2025 (National Automobile Dealers Association, 2025b). Rates rose to fund rising wages. Rising rates increased the perceived cost of dealership service. Increased perceived cost drove customers toward alternatives. Reduced volume pressured revenue. Revenue pressure resisted further wage increases, creating retention problems, which required more recruitment spending, which increased overhead, which required higher rates. The spiral is not hypothetic</w:t>
      </w:r>
      <w:r>
        <w:t>al. It is visible in the data. And it began with a compensation structure that has no mechanism to absorb cost pressure without passing it directly to the customer.</w:t>
      </w:r>
    </w:p>
    <w:p w14:paraId="42F4D621" w14:textId="77777777" w:rsidR="004A19CA" w:rsidRDefault="00673B00">
      <w:pPr>
        <w:pStyle w:val="Heading2"/>
        <w:spacing w:after="0"/>
        <w:ind w:left="-5"/>
      </w:pPr>
      <w:r>
        <w:t>The Technician Compensation Picture</w:t>
      </w:r>
    </w:p>
    <w:tbl>
      <w:tblPr>
        <w:tblStyle w:val="TableGrid"/>
        <w:tblW w:w="9360" w:type="dxa"/>
        <w:tblInd w:w="0" w:type="dxa"/>
        <w:tblCellMar>
          <w:top w:w="160" w:type="dxa"/>
          <w:left w:w="161" w:type="dxa"/>
          <w:bottom w:w="0" w:type="dxa"/>
          <w:right w:w="115" w:type="dxa"/>
        </w:tblCellMar>
        <w:tblLook w:val="04A0" w:firstRow="1" w:lastRow="0" w:firstColumn="1" w:lastColumn="0" w:noHBand="0" w:noVBand="1"/>
      </w:tblPr>
      <w:tblGrid>
        <w:gridCol w:w="3120"/>
        <w:gridCol w:w="3120"/>
        <w:gridCol w:w="3120"/>
      </w:tblGrid>
      <w:tr w:rsidR="004A19CA" w14:paraId="1F005869" w14:textId="77777777">
        <w:trPr>
          <w:trHeight w:val="1409"/>
        </w:trPr>
        <w:tc>
          <w:tcPr>
            <w:tcW w:w="3120" w:type="dxa"/>
            <w:tcBorders>
              <w:top w:val="single" w:sz="2" w:space="0" w:color="C9D4E8"/>
              <w:left w:val="single" w:sz="2" w:space="0" w:color="C9D4E8"/>
              <w:bottom w:val="single" w:sz="2" w:space="0" w:color="C9D4E8"/>
              <w:right w:val="single" w:sz="2" w:space="0" w:color="C9D4E8"/>
            </w:tcBorders>
            <w:shd w:val="clear" w:color="auto" w:fill="EDF1F9"/>
          </w:tcPr>
          <w:p w14:paraId="45C77C91" w14:textId="77777777" w:rsidR="004A19CA" w:rsidRDefault="00673B00">
            <w:pPr>
              <w:spacing w:after="0" w:line="259" w:lineRule="auto"/>
              <w:ind w:left="0" w:right="0" w:firstLine="0"/>
              <w:jc w:val="left"/>
            </w:pPr>
            <w:r>
              <w:rPr>
                <w:b/>
                <w:color w:val="1F3864"/>
                <w:sz w:val="34"/>
              </w:rPr>
              <w:t>$49,670</w:t>
            </w:r>
          </w:p>
          <w:p w14:paraId="11029295" w14:textId="77777777" w:rsidR="004A19CA" w:rsidRDefault="00673B00">
            <w:pPr>
              <w:spacing w:after="0" w:line="259" w:lineRule="auto"/>
              <w:ind w:left="0" w:right="0" w:firstLine="0"/>
              <w:jc w:val="left"/>
            </w:pPr>
            <w:r>
              <w:rPr>
                <w:color w:val="595959"/>
                <w:sz w:val="18"/>
              </w:rPr>
              <w:t xml:space="preserve">BLS median annual wage, </w:t>
            </w:r>
          </w:p>
          <w:p w14:paraId="2ABE11AE" w14:textId="77777777" w:rsidR="004A19CA" w:rsidRDefault="00673B00">
            <w:pPr>
              <w:spacing w:after="0" w:line="259" w:lineRule="auto"/>
              <w:ind w:left="0" w:right="0" w:firstLine="0"/>
              <w:jc w:val="left"/>
            </w:pPr>
            <w:r>
              <w:rPr>
                <w:color w:val="595959"/>
                <w:sz w:val="18"/>
              </w:rPr>
              <w:t>May 2024 (BLS, 2025)</w:t>
            </w:r>
          </w:p>
        </w:tc>
        <w:tc>
          <w:tcPr>
            <w:tcW w:w="3120" w:type="dxa"/>
            <w:tcBorders>
              <w:top w:val="single" w:sz="2" w:space="0" w:color="C9D4E8"/>
              <w:left w:val="single" w:sz="2" w:space="0" w:color="C9D4E8"/>
              <w:bottom w:val="single" w:sz="2" w:space="0" w:color="C9D4E8"/>
              <w:right w:val="single" w:sz="2" w:space="0" w:color="C9D4E8"/>
            </w:tcBorders>
            <w:shd w:val="clear" w:color="auto" w:fill="EDF1F9"/>
          </w:tcPr>
          <w:p w14:paraId="58B918DA" w14:textId="77777777" w:rsidR="004A19CA" w:rsidRDefault="00673B00">
            <w:pPr>
              <w:spacing w:after="0" w:line="259" w:lineRule="auto"/>
              <w:ind w:left="0" w:right="0" w:firstLine="0"/>
              <w:jc w:val="left"/>
            </w:pPr>
            <w:r>
              <w:rPr>
                <w:b/>
                <w:color w:val="1F3864"/>
                <w:sz w:val="34"/>
              </w:rPr>
              <w:t>$57,813</w:t>
            </w:r>
          </w:p>
          <w:p w14:paraId="4FFB3877" w14:textId="77777777" w:rsidR="004A19CA" w:rsidRDefault="00673B00">
            <w:pPr>
              <w:spacing w:after="0" w:line="259" w:lineRule="auto"/>
              <w:ind w:left="0" w:right="0" w:firstLine="0"/>
              <w:jc w:val="left"/>
            </w:pPr>
            <w:r>
              <w:rPr>
                <w:color w:val="595959"/>
                <w:sz w:val="18"/>
              </w:rPr>
              <w:t>ZipRecruiter average across active postings, 2026</w:t>
            </w:r>
          </w:p>
        </w:tc>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73B1FBD4" w14:textId="77777777" w:rsidR="004A19CA" w:rsidRDefault="00673B00">
            <w:pPr>
              <w:spacing w:after="0" w:line="259" w:lineRule="auto"/>
              <w:ind w:left="0" w:right="0" w:firstLine="0"/>
              <w:jc w:val="left"/>
            </w:pPr>
            <w:r>
              <w:rPr>
                <w:b/>
                <w:color w:val="1F3864"/>
                <w:sz w:val="34"/>
              </w:rPr>
              <w:t>$77,848</w:t>
            </w:r>
          </w:p>
          <w:p w14:paraId="0E16E29D" w14:textId="77777777" w:rsidR="004A19CA" w:rsidRDefault="00673B00">
            <w:pPr>
              <w:spacing w:after="0" w:line="259" w:lineRule="auto"/>
              <w:ind w:left="0" w:right="27" w:firstLine="0"/>
              <w:jc w:val="left"/>
            </w:pPr>
            <w:r>
              <w:rPr>
                <w:color w:val="595959"/>
                <w:sz w:val="18"/>
              </w:rPr>
              <w:t>NADA (2025a) national BTech average. Top earners exceed $80K</w:t>
            </w:r>
          </w:p>
        </w:tc>
      </w:tr>
    </w:tbl>
    <w:p w14:paraId="6B4C7089" w14:textId="77777777" w:rsidR="004A19CA" w:rsidRDefault="00673B00">
      <w:pPr>
        <w:spacing w:after="288"/>
        <w:ind w:left="-5" w:right="9"/>
      </w:pPr>
      <w:r>
        <w:t xml:space="preserve">Those summary numbers obscure the operating reality of flat-rate compensation. The U.S. Bureau of Labor Statistics (2025) reports a median annual wage of $49,670 for automotive service technicians across all employer types, with the top 10 percent of earners above $80,850. ZipRecruiter (2026) reports $57,813 across active job postings, a figure that reflects employer-side offers, which trend above actual payroll data. The 2025 NADA Dealership Workforce Study, drawn from 246,129 payroll records across 2,471 </w:t>
      </w:r>
      <w:r>
        <w:t xml:space="preserve">dealerships, places the national average for B-Service Technicians at $77,848, with high-volume Northeast stores at $81,199 and luxury dealerships at $84,333 (National Automobile Dealers Association, 2025a). A technician targeting 40 flag hours per week at $25 per flat-rate hour produces approximately $52,000 annually under stable conditions. In practice, flat-rate earnings remain exposed to parts delays, underpaid </w:t>
      </w:r>
      <w:r>
        <w:lastRenderedPageBreak/>
        <w:t xml:space="preserve">diagnostic work, comeback repairs, and fluctuations in shop traffic. Income variability is a </w:t>
      </w:r>
      <w:r>
        <w:t>behavioral force regardless of the posted average.</w:t>
      </w:r>
    </w:p>
    <w:p w14:paraId="6E86210B" w14:textId="77777777" w:rsidR="004A19CA" w:rsidRDefault="00673B00">
      <w:pPr>
        <w:pStyle w:val="Heading2"/>
        <w:ind w:left="-5"/>
      </w:pPr>
      <w:r>
        <w:t>The Warranty Layer: Complex, Costly, and Contested</w:t>
      </w:r>
    </w:p>
    <w:p w14:paraId="2AAE84C7" w14:textId="77777777" w:rsidR="004A19CA" w:rsidRDefault="00673B00">
      <w:pPr>
        <w:spacing w:after="288"/>
        <w:ind w:left="-5" w:right="9"/>
      </w:pPr>
      <w:r>
        <w:t>Warranty obligations across major manufacturers have grown materially as vehicles become more software-defined, electrified, and electronically dense. The operational consequence for the service department is consistent: warranty labor time guides run more conservative than the actual time required, which means technicians earn below their effective rate on precisely the work that should build the deepest customer loyalty. New-vehicle warranty work is the dealership’s first and best chance to form a service</w:t>
      </w:r>
      <w:r>
        <w:t xml:space="preserve"> habit. Under flat rate, it is the work the technician has the least financial reason to slow down for.</w:t>
      </w:r>
    </w:p>
    <w:p w14:paraId="0428A1C9" w14:textId="77777777" w:rsidR="004A19CA" w:rsidRDefault="00673B00">
      <w:pPr>
        <w:pStyle w:val="Heading2"/>
        <w:ind w:left="-5"/>
      </w:pPr>
      <w:r>
        <w:t>The Margin Compression That Raises the Stakes</w:t>
      </w:r>
    </w:p>
    <w:p w14:paraId="25D3472E" w14:textId="77777777" w:rsidR="004A19CA" w:rsidRDefault="00673B00">
      <w:pPr>
        <w:ind w:left="-5" w:right="9"/>
      </w:pPr>
      <w:r>
        <w:t xml:space="preserve">There is a reason this conversation is urgent now and was easier to defer three years ago. The front-end gross that once cushioned every dealership has compressed hard. Per the Q1 2026 Haig Report, public-company same-store new vehicle gross fell to $2,881 per unit, down from a 2022 peak near $6,000 (Haig Partners, 2026). The same firm documented a 14.4 percent year-over-year decline in new vehicle gross entering 2025 and noted the figure may be approaching a floor (Haig Partners, 2025). Used vehicle gross </w:t>
      </w:r>
      <w:r>
        <w:t>has drifted back toward pre-pandemic levels at $1,648. The easy-money era is over.</w:t>
      </w:r>
    </w:p>
    <w:p w14:paraId="355E7B2A" w14:textId="77777777" w:rsidR="004A19CA" w:rsidRDefault="00673B00">
      <w:pPr>
        <w:spacing w:after="288"/>
        <w:ind w:left="-5" w:right="9"/>
      </w:pPr>
      <w:r>
        <w:t xml:space="preserve">As the front end compresses, the earnings center of gravity shifts to the back of the store. Fixed operations contribute up to 49 percent of total dealership gross profit, and that share grows in relative importance every time front-end margin gives back ground (National Automobile Dealers Association, 2024). This is the strategic core of the argument. When new vehicle gross was $6,000 per unit, a service department leaking customers was a tolerable inefficiency. At $2,881 per unit, the service drive is no </w:t>
      </w:r>
      <w:r>
        <w:t>longer a support function. It is the earnings engine. A compensation structure that quietly erodes that engine is no longer a fixed-ops problem. It is a dealershipsurvival problem.</w:t>
      </w:r>
    </w:p>
    <w:p w14:paraId="04A7D0BB" w14:textId="77777777" w:rsidR="004A19CA" w:rsidRDefault="00673B00">
      <w:pPr>
        <w:pStyle w:val="Heading2"/>
        <w:ind w:left="-5"/>
      </w:pPr>
      <w:r>
        <w:t>What the Data, Taken Together, Is Telling Us</w:t>
      </w:r>
    </w:p>
    <w:p w14:paraId="34FF3A93" w14:textId="77777777" w:rsidR="004A19CA" w:rsidRDefault="00673B00">
      <w:pPr>
        <w:ind w:left="-5" w:right="9"/>
      </w:pPr>
      <w:r>
        <w:t>Five data sets. Five different angles. One consistent signal. Repair order volume is falling while revenue per transaction rises. The aging fleet is creating more complex, higher-stakes customer interactions. The posted labor rate now averages a record $186 nationally. Front-end gross has compressed toward a floor, raising the strategic weight of every fixed-operations dollar. And technician compensation, delivered through a volatile flat-rate structure, creates behavioral patterns that work against the cus</w:t>
      </w:r>
      <w:r>
        <w:t>tomer experience the dealership needs. These are not isolated problems. They share a common upstream cause. And they point toward a common structural response.</w:t>
      </w:r>
      <w:r>
        <w:br w:type="page"/>
      </w:r>
    </w:p>
    <w:p w14:paraId="3E76EC6C" w14:textId="77777777" w:rsidR="004A19CA" w:rsidRDefault="00673B00">
      <w:pPr>
        <w:pStyle w:val="Heading1"/>
        <w:ind w:left="-5"/>
      </w:pPr>
      <w:r>
        <w:t>04   The Perception Gap: Expensive by Reputation, Competitive by Fact</w:t>
      </w:r>
    </w:p>
    <w:p w14:paraId="7358CEF6" w14:textId="77777777" w:rsidR="004A19CA" w:rsidRDefault="00673B00">
      <w:pPr>
        <w:spacing w:after="0"/>
        <w:ind w:left="-5" w:right="9"/>
      </w:pPr>
      <w:r>
        <w:t>Here is the finding that should stop every dealer principal reading this paper.</w:t>
      </w:r>
    </w:p>
    <w:tbl>
      <w:tblPr>
        <w:tblStyle w:val="TableGrid"/>
        <w:tblW w:w="9360" w:type="dxa"/>
        <w:tblInd w:w="0" w:type="dxa"/>
        <w:tblCellMar>
          <w:top w:w="0" w:type="dxa"/>
          <w:left w:w="161" w:type="dxa"/>
          <w:bottom w:w="0" w:type="dxa"/>
          <w:right w:w="115" w:type="dxa"/>
        </w:tblCellMar>
        <w:tblLook w:val="04A0" w:firstRow="1" w:lastRow="0" w:firstColumn="1" w:lastColumn="0" w:noHBand="0" w:noVBand="1"/>
      </w:tblPr>
      <w:tblGrid>
        <w:gridCol w:w="4680"/>
        <w:gridCol w:w="4680"/>
      </w:tblGrid>
      <w:tr w:rsidR="004A19CA" w14:paraId="78817BB9" w14:textId="77777777">
        <w:trPr>
          <w:trHeight w:val="1201"/>
        </w:trPr>
        <w:tc>
          <w:tcPr>
            <w:tcW w:w="468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3108AA81" w14:textId="77777777" w:rsidR="004A19CA" w:rsidRDefault="00673B00">
            <w:pPr>
              <w:spacing w:after="0" w:line="259" w:lineRule="auto"/>
              <w:ind w:left="0" w:right="0" w:firstLine="0"/>
              <w:jc w:val="left"/>
            </w:pPr>
            <w:r>
              <w:rPr>
                <w:b/>
                <w:color w:val="1F3864"/>
                <w:sz w:val="34"/>
              </w:rPr>
              <w:t>$261</w:t>
            </w:r>
          </w:p>
          <w:p w14:paraId="3481E983" w14:textId="77777777" w:rsidR="004A19CA" w:rsidRDefault="00673B00">
            <w:pPr>
              <w:spacing w:after="0" w:line="259" w:lineRule="auto"/>
              <w:ind w:left="0" w:right="0" w:firstLine="0"/>
              <w:jc w:val="left"/>
            </w:pPr>
            <w:r>
              <w:rPr>
                <w:color w:val="595959"/>
                <w:sz w:val="18"/>
              </w:rPr>
              <w:t>FRANCHISED DEALERSHIP average repair cost, 2025</w:t>
            </w:r>
          </w:p>
        </w:tc>
        <w:tc>
          <w:tcPr>
            <w:tcW w:w="468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76E8077A" w14:textId="77777777" w:rsidR="004A19CA" w:rsidRDefault="00673B00">
            <w:pPr>
              <w:spacing w:after="0" w:line="259" w:lineRule="auto"/>
              <w:ind w:left="0" w:right="0" w:firstLine="0"/>
              <w:jc w:val="left"/>
            </w:pPr>
            <w:r>
              <w:rPr>
                <w:b/>
                <w:color w:val="1F3864"/>
                <w:sz w:val="34"/>
              </w:rPr>
              <w:t>$275</w:t>
            </w:r>
          </w:p>
          <w:p w14:paraId="3E73B8B3" w14:textId="77777777" w:rsidR="004A19CA" w:rsidRDefault="00673B00">
            <w:pPr>
              <w:spacing w:after="0" w:line="259" w:lineRule="auto"/>
              <w:ind w:left="0" w:right="0" w:firstLine="0"/>
              <w:jc w:val="left"/>
            </w:pPr>
            <w:r>
              <w:rPr>
                <w:color w:val="595959"/>
                <w:sz w:val="18"/>
              </w:rPr>
              <w:t>GENERAL REPAIR SHOP average repair cost, 2025</w:t>
            </w:r>
          </w:p>
        </w:tc>
      </w:tr>
    </w:tbl>
    <w:p w14:paraId="1A745A1A" w14:textId="77777777" w:rsidR="004A19CA" w:rsidRDefault="00673B00">
      <w:pPr>
        <w:spacing w:after="288"/>
        <w:ind w:left="-5" w:right="9"/>
      </w:pPr>
      <w:r>
        <w:t xml:space="preserve">The dealership was cheaper on the average-repair metric in Cox Automotive’s 2025 service study: $261 at franchised dealerships versus $275 at general repair shops (Cox Automotive, 2025a). The posted door rate, however, tells a different story. NADA puts the average customer mechanical labor rate at $186 in 2025, well above what most independents post (National Automobile Dealers Association, 2025b). That number is the one the customer sees first, and for a price-sensitive owner it is a real signal, a point </w:t>
      </w:r>
      <w:r>
        <w:t>this paper returns to in the Loyalty Labor Rate. But a high posted rate sitting beside a lower average repair cost does not explain defection on price alone. The more plausible interpretation is a perception problem shaped by communication, expectations, and trust, layered over a narrow but real price signal.</w:t>
      </w:r>
    </w:p>
    <w:p w14:paraId="7CB14E84" w14:textId="77777777" w:rsidR="004A19CA" w:rsidRDefault="00673B00">
      <w:pPr>
        <w:pStyle w:val="Heading2"/>
        <w:ind w:left="-5"/>
      </w:pPr>
      <w:r>
        <w:t>What Customers Are Actually Saying</w:t>
      </w:r>
    </w:p>
    <w:p w14:paraId="391E0B33" w14:textId="77777777" w:rsidR="004A19CA" w:rsidRDefault="00673B00">
      <w:pPr>
        <w:spacing w:after="260"/>
        <w:ind w:left="-5" w:right="9"/>
      </w:pPr>
      <w:r>
        <w:t>Cox Automotive (2025a) found that 45 percent of vehicle owners are dissatisfied with their dealership service experience, with unexpected costs and poor communication as the leading complaints. The study, conducted between April and May 2025 with 1,974 vehicle owners who had serviced a vehicle in the prior twelve months, breaks the frustration down further: service taking longer than expected (24 percent), difficulty learning what the dealership charges (13 percent), feeling pushed toward additional service</w:t>
      </w:r>
      <w:r>
        <w:t>s (13 percent), and a final price above the estimate (12 percent). Read those four complaints together. None of them says the price was too high. Every one of them says the experience did not match the expectation.</w:t>
      </w:r>
    </w:p>
    <w:p w14:paraId="50A07712" w14:textId="77777777" w:rsidR="004A19CA" w:rsidRDefault="00673B00">
      <w:pPr>
        <w:spacing w:after="269" w:line="261" w:lineRule="auto"/>
        <w:ind w:left="475" w:right="502"/>
        <w:jc w:val="left"/>
      </w:pPr>
      <w:r>
        <w:rPr>
          <w:noProof/>
        </w:rPr>
        <mc:AlternateContent>
          <mc:Choice Requires="wpg">
            <w:drawing>
              <wp:anchor distT="0" distB="0" distL="114300" distR="114300" simplePos="0" relativeHeight="251660288" behindDoc="0" locked="0" layoutInCell="1" allowOverlap="1" wp14:anchorId="43AD65AD" wp14:editId="6E226879">
                <wp:simplePos x="0" y="0"/>
                <wp:positionH relativeFrom="column">
                  <wp:posOffset>132080</wp:posOffset>
                </wp:positionH>
                <wp:positionV relativeFrom="paragraph">
                  <wp:posOffset>-20463</wp:posOffset>
                </wp:positionV>
                <wp:extent cx="38100" cy="608965"/>
                <wp:effectExtent l="0" t="0" r="0" b="0"/>
                <wp:wrapSquare wrapText="bothSides"/>
                <wp:docPr id="34273" name="Group 34273"/>
                <wp:cNvGraphicFramePr/>
                <a:graphic xmlns:a="http://schemas.openxmlformats.org/drawingml/2006/main">
                  <a:graphicData uri="http://schemas.microsoft.com/office/word/2010/wordprocessingGroup">
                    <wpg:wgp>
                      <wpg:cNvGrpSpPr/>
                      <wpg:grpSpPr>
                        <a:xfrm>
                          <a:off x="0" y="0"/>
                          <a:ext cx="38100" cy="608965"/>
                          <a:chOff x="0" y="0"/>
                          <a:chExt cx="38100" cy="608965"/>
                        </a:xfrm>
                      </wpg:grpSpPr>
                      <wps:wsp>
                        <wps:cNvPr id="875" name="Shape 875"/>
                        <wps:cNvSpPr/>
                        <wps:spPr>
                          <a:xfrm>
                            <a:off x="0" y="0"/>
                            <a:ext cx="0" cy="608965"/>
                          </a:xfrm>
                          <a:custGeom>
                            <a:avLst/>
                            <a:gdLst/>
                            <a:ahLst/>
                            <a:cxnLst/>
                            <a:rect l="0" t="0" r="0" b="0"/>
                            <a:pathLst>
                              <a:path h="608965">
                                <a:moveTo>
                                  <a:pt x="0" y="6089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s:wsp>
                        <wps:cNvPr id="877" name="Shape 877"/>
                        <wps:cNvSpPr/>
                        <wps:spPr>
                          <a:xfrm>
                            <a:off x="0" y="0"/>
                            <a:ext cx="0" cy="608965"/>
                          </a:xfrm>
                          <a:custGeom>
                            <a:avLst/>
                            <a:gdLst/>
                            <a:ahLst/>
                            <a:cxnLst/>
                            <a:rect l="0" t="0" r="0" b="0"/>
                            <a:pathLst>
                              <a:path h="608965">
                                <a:moveTo>
                                  <a:pt x="0" y="6089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273" style="width:3pt;height:47.95pt;position:absolute;mso-position-horizontal-relative:text;mso-position-horizontal:absolute;margin-left:10.4pt;mso-position-vertical-relative:text;margin-top:-1.61133pt;" coordsize="381,6089">
                <v:shape id="Shape 875" style="position:absolute;width:0;height:6089;left:0;top:0;" coordsize="0,608965" path="m0,608965l0,0">
                  <v:stroke weight="3pt" endcap="flat" joinstyle="round" on="true" color="#1f3864"/>
                  <v:fill on="false" color="#000000" opacity="0"/>
                </v:shape>
                <v:shape id="Shape 877" style="position:absolute;width:0;height:6089;left:0;top:0;" coordsize="0,608965" path="m0,608965l0,0">
                  <v:stroke weight="3pt" endcap="flat" joinstyle="round" on="true" color="#1f3864"/>
                  <v:fill on="false" color="#000000" opacity="0"/>
                </v:shape>
                <w10:wrap type="square"/>
              </v:group>
            </w:pict>
          </mc:Fallback>
        </mc:AlternateContent>
      </w:r>
      <w:r>
        <w:rPr>
          <w:i/>
          <w:color w:val="1F3864"/>
          <w:sz w:val="24"/>
        </w:rPr>
        <w:t>Unexpected costs do not mean the bill was too high. They mean the customer did not see it coming. That is a communication failure. Not a pricing failure.</w:t>
      </w:r>
    </w:p>
    <w:p w14:paraId="3704DBAF" w14:textId="77777777" w:rsidR="004A19CA" w:rsidRDefault="00673B00">
      <w:pPr>
        <w:pStyle w:val="Heading2"/>
        <w:ind w:left="-5"/>
      </w:pPr>
      <w:r>
        <w:t>The Psychology of the Surprise Invoice</w:t>
      </w:r>
    </w:p>
    <w:p w14:paraId="506CA2DD" w14:textId="77777777" w:rsidR="004A19CA" w:rsidRDefault="00673B00">
      <w:pPr>
        <w:ind w:left="-5" w:right="9"/>
      </w:pPr>
      <w:r>
        <w:t>Prospect theory holds that people do not evaluate costs in isolation. They assess outcomes relative to expectations and reference points, and losses weigh more heavily than equivalent gains (Kahneman &amp; Tversky, 1979). When actual cost exceeds expected cost, the experience registers as a loss, even if the total is objectively reasonable.</w:t>
      </w:r>
    </w:p>
    <w:p w14:paraId="72B0CD67" w14:textId="77777777" w:rsidR="004A19CA" w:rsidRDefault="00673B00">
      <w:pPr>
        <w:spacing w:after="288"/>
        <w:ind w:left="-5" w:right="9"/>
      </w:pPr>
      <w:r>
        <w:t>A customer who expected $200 and received $350 does not experience a $150 difference. They experience a loss. Trust is damaged. The likelihood of return decreases, not because $350 was unreasonable, but because the expectation was violated. The damage is not to the wallet. It is to the trust account.</w:t>
      </w:r>
    </w:p>
    <w:p w14:paraId="03C4CF73" w14:textId="77777777" w:rsidR="004A19CA" w:rsidRDefault="00673B00">
      <w:pPr>
        <w:pStyle w:val="Heading2"/>
        <w:ind w:left="-5"/>
      </w:pPr>
      <w:r>
        <w:t>Where the Surprise Originates: The Flat-Rate Behavior Loop</w:t>
      </w:r>
    </w:p>
    <w:p w14:paraId="305718F7" w14:textId="77777777" w:rsidR="004A19CA" w:rsidRDefault="00673B00">
      <w:pPr>
        <w:numPr>
          <w:ilvl w:val="0"/>
          <w:numId w:val="3"/>
        </w:numPr>
        <w:spacing w:after="116"/>
        <w:ind w:right="9" w:hanging="459"/>
      </w:pPr>
      <w:r>
        <w:rPr>
          <w:b/>
          <w:color w:val="2E5395"/>
        </w:rPr>
        <w:t xml:space="preserve">Flat-rate rewards speed.  </w:t>
      </w:r>
      <w:r>
        <w:t>Every nonproduction minute is unpaid time.</w:t>
      </w:r>
    </w:p>
    <w:p w14:paraId="18657953" w14:textId="77777777" w:rsidR="004A19CA" w:rsidRDefault="00673B00">
      <w:pPr>
        <w:numPr>
          <w:ilvl w:val="0"/>
          <w:numId w:val="3"/>
        </w:numPr>
        <w:spacing w:after="116"/>
        <w:ind w:right="9" w:hanging="459"/>
      </w:pPr>
      <w:r>
        <w:rPr>
          <w:b/>
          <w:color w:val="2E5395"/>
        </w:rPr>
        <w:t xml:space="preserve">Speed produces abbreviated communication.  </w:t>
      </w:r>
      <w:r>
        <w:t>The technician-toadvisor handoff is 90 seconds, not 9 minutes.</w:t>
      </w:r>
    </w:p>
    <w:p w14:paraId="07EC2478" w14:textId="77777777" w:rsidR="004A19CA" w:rsidRDefault="00673B00">
      <w:pPr>
        <w:numPr>
          <w:ilvl w:val="0"/>
          <w:numId w:val="3"/>
        </w:numPr>
        <w:spacing w:after="124" w:line="259" w:lineRule="auto"/>
        <w:ind w:right="9" w:hanging="459"/>
      </w:pPr>
      <w:r>
        <w:rPr>
          <w:b/>
          <w:color w:val="2E5395"/>
        </w:rPr>
        <w:t xml:space="preserve">Abbreviated communication produces unexpected costs.  </w:t>
      </w:r>
      <w:r>
        <w:t>The customer approved what they half-understood.</w:t>
      </w:r>
    </w:p>
    <w:p w14:paraId="093FD5BB" w14:textId="77777777" w:rsidR="004A19CA" w:rsidRDefault="00673B00">
      <w:pPr>
        <w:numPr>
          <w:ilvl w:val="0"/>
          <w:numId w:val="3"/>
        </w:numPr>
        <w:spacing w:after="116"/>
        <w:ind w:right="9" w:hanging="459"/>
      </w:pPr>
      <w:r>
        <w:rPr>
          <w:b/>
          <w:color w:val="2E5395"/>
        </w:rPr>
        <w:t xml:space="preserve">Unexpected costs produce distrust.  </w:t>
      </w:r>
      <w:r>
        <w:t>Kahneman’s loss registers regardless of the total amount.</w:t>
      </w:r>
    </w:p>
    <w:p w14:paraId="70F71B02" w14:textId="77777777" w:rsidR="004A19CA" w:rsidRDefault="00673B00">
      <w:pPr>
        <w:numPr>
          <w:ilvl w:val="0"/>
          <w:numId w:val="3"/>
        </w:numPr>
        <w:spacing w:after="124" w:line="259" w:lineRule="auto"/>
        <w:ind w:right="9" w:hanging="459"/>
      </w:pPr>
      <w:r>
        <w:rPr>
          <w:b/>
          <w:color w:val="2E5395"/>
        </w:rPr>
        <w:t xml:space="preserve">Distrust produces the perception that dealerships are expensive.  </w:t>
      </w:r>
      <w:r>
        <w:t>Even when they are not.</w:t>
      </w:r>
    </w:p>
    <w:p w14:paraId="52D3FEC8" w14:textId="77777777" w:rsidR="004A19CA" w:rsidRDefault="00673B00">
      <w:pPr>
        <w:numPr>
          <w:ilvl w:val="0"/>
          <w:numId w:val="3"/>
        </w:numPr>
        <w:spacing w:after="117"/>
        <w:ind w:right="9" w:hanging="459"/>
      </w:pPr>
      <w:r>
        <w:rPr>
          <w:b/>
          <w:color w:val="2E5395"/>
        </w:rPr>
        <w:t xml:space="preserve">Perception produces customer flight.  </w:t>
      </w:r>
      <w:r>
        <w:t>To shops that charge more but surprise less.</w:t>
      </w:r>
    </w:p>
    <w:p w14:paraId="29E21D98" w14:textId="77777777" w:rsidR="004A19CA" w:rsidRDefault="00673B00">
      <w:pPr>
        <w:numPr>
          <w:ilvl w:val="0"/>
          <w:numId w:val="3"/>
        </w:numPr>
        <w:spacing w:after="117"/>
        <w:ind w:right="9" w:hanging="459"/>
      </w:pPr>
      <w:r>
        <w:rPr>
          <w:b/>
          <w:color w:val="2E5395"/>
        </w:rPr>
        <w:t xml:space="preserve">Customer flight produces lower volume.  </w:t>
      </w:r>
      <w:r>
        <w:t>Fixed costs now spread across fewer transactions.</w:t>
      </w:r>
    </w:p>
    <w:p w14:paraId="62960903" w14:textId="77777777" w:rsidR="004A19CA" w:rsidRDefault="00673B00">
      <w:pPr>
        <w:numPr>
          <w:ilvl w:val="0"/>
          <w:numId w:val="3"/>
        </w:numPr>
        <w:spacing w:after="124" w:line="259" w:lineRule="auto"/>
        <w:ind w:right="9" w:hanging="459"/>
      </w:pPr>
      <w:r>
        <w:rPr>
          <w:b/>
          <w:color w:val="2E5395"/>
        </w:rPr>
        <w:t xml:space="preserve">Lower volume requires higher posted rates.  </w:t>
      </w:r>
      <w:r>
        <w:t>Which confirms the customer’s existing belief.</w:t>
      </w:r>
    </w:p>
    <w:p w14:paraId="30E4AC28" w14:textId="77777777" w:rsidR="004A19CA" w:rsidRDefault="00673B00">
      <w:pPr>
        <w:ind w:left="-5" w:right="9"/>
      </w:pPr>
      <w:r>
        <w:t>The flat-rate system is not merely failing to attract customers. It is actively manufacturing the perception that drives them away. Each iteration of the cycle tightens the spiral.</w:t>
      </w:r>
    </w:p>
    <w:p w14:paraId="4FAD3BDE" w14:textId="77777777" w:rsidR="004A19CA" w:rsidRDefault="00673B00">
      <w:pPr>
        <w:spacing w:after="288"/>
        <w:ind w:left="-5" w:right="9"/>
      </w:pPr>
      <w:r>
        <w:t>This is what happens when the number you reward drifts away from the outcome you want. The system does not break. It optimizes the wrong thing with perfect discipline. Section 5 gives that failure its proper name.</w:t>
      </w:r>
    </w:p>
    <w:p w14:paraId="43DE9C79" w14:textId="77777777" w:rsidR="004A19CA" w:rsidRDefault="00673B00">
      <w:pPr>
        <w:pStyle w:val="Heading2"/>
        <w:ind w:left="-5"/>
      </w:pPr>
      <w:r>
        <w:t>What Closing the Gap Actually Requires</w:t>
      </w:r>
    </w:p>
    <w:p w14:paraId="4E25AC37" w14:textId="77777777" w:rsidR="004A19CA" w:rsidRDefault="00673B00">
      <w:pPr>
        <w:ind w:left="-5" w:right="9"/>
      </w:pPr>
      <w:r>
        <w:t>The service research is clear about what customers value: transparent pricing, scheduling convenience, and flexible service options (Cox Automotive, 2025a). The implication is not that dealerships should lower prices. It is that they should reduce uncertainty. A customer who receives a clear explanation of what was found, what it means, what it costs, and what happens if it is deferred is more likely to perceive the interaction as fair and competent. Producing that experience consistently requires incentive</w:t>
      </w:r>
      <w:r>
        <w:t xml:space="preserve"> systems that do not penalize the time required for explanation.</w:t>
      </w:r>
    </w:p>
    <w:p w14:paraId="164CA727" w14:textId="77777777" w:rsidR="004A19CA" w:rsidRDefault="00673B00">
      <w:pPr>
        <w:pStyle w:val="Heading1"/>
        <w:ind w:left="-5"/>
      </w:pPr>
      <w:r>
        <w:t>05   The Psychology of Flat-Rate: What the Research Told Us and We Ignored</w:t>
      </w:r>
    </w:p>
    <w:p w14:paraId="15B54F99" w14:textId="77777777" w:rsidR="004A19CA" w:rsidRDefault="00673B00">
      <w:pPr>
        <w:spacing w:after="288"/>
        <w:ind w:left="-5" w:right="9"/>
      </w:pPr>
      <w:r>
        <w:t>If you wanted someone to work faster, would you pay them more to work faster? Most people would say yes. The logic is intuitive. Generations of managers built pay systems on exactly this premise. The automotive industry built the flat-rate system on it. The premise is not wrong. It is incomplete. And the part that is missing is the part that matters most for the work happening in the modern service bay.</w:t>
      </w:r>
    </w:p>
    <w:p w14:paraId="67BB5E8C" w14:textId="77777777" w:rsidR="004A19CA" w:rsidRDefault="00673B00">
      <w:pPr>
        <w:pStyle w:val="Heading2"/>
        <w:ind w:left="-5"/>
      </w:pPr>
      <w:r>
        <w:t>Where Flat-Rate Comes From</w:t>
      </w:r>
    </w:p>
    <w:p w14:paraId="1A270305" w14:textId="77777777" w:rsidR="004A19CA" w:rsidRDefault="00673B00">
      <w:pPr>
        <w:ind w:left="-5" w:right="9"/>
      </w:pPr>
      <w:r>
        <w:t>Frederick Winslow Taylor published The Principles of Scientific Management in 1911. His central argument was that work could be studied, standardized, timed, and optimized, with pay tied closely to output (Taylor, 1911). The flat-rate system in automotive service is recognizably descended from that piece-rate logic: flag hours function as units, labor guides as standardized times, and compensation follows production.</w:t>
      </w:r>
    </w:p>
    <w:p w14:paraId="65AB8858" w14:textId="77777777" w:rsidR="004A19CA" w:rsidRDefault="00673B00">
      <w:pPr>
        <w:spacing w:after="288"/>
        <w:ind w:left="-5" w:right="9"/>
      </w:pPr>
      <w:r>
        <w:t>Taylor was writing for factory settings characterized by repetitive, physical, and relatively predictable tasks. The unresolved question for modern service operations is whether that architecture transfers cleanly from standardized production to diagnostic work involving uncertainty, interpretation, and adaptive reasoning. The behavioral literature says the transfer is, at minimum, incomplete (Ariely et al., 2009; Pink, 2009).</w:t>
      </w:r>
    </w:p>
    <w:p w14:paraId="009A7449" w14:textId="77777777" w:rsidR="004A19CA" w:rsidRDefault="00673B00">
      <w:pPr>
        <w:pStyle w:val="Heading2"/>
        <w:ind w:left="-5"/>
      </w:pPr>
      <w:r>
        <w:t>What the Research Actually Shows</w:t>
      </w:r>
    </w:p>
    <w:p w14:paraId="406BBF9B" w14:textId="77777777" w:rsidR="004A19CA" w:rsidRDefault="00673B00">
      <w:pPr>
        <w:ind w:left="-5" w:right="9"/>
      </w:pPr>
      <w:r>
        <w:t>A frequently cited contribution to this literature is the work of Ariely, Gneezy, Loewenstein, and Mazar (2009), whose experiments examined the relationship between financial incentives and performance across different task types. Earlier versions circulated through the Federal Reserve Bank of Boston as a working paper, which extended the research’s visibility in economics and policy.</w:t>
      </w:r>
    </w:p>
    <w:p w14:paraId="00A261CC" w14:textId="77777777" w:rsidR="004A19CA" w:rsidRDefault="00673B00">
      <w:pPr>
        <w:ind w:left="-5" w:right="9"/>
      </w:pPr>
      <w:r>
        <w:t>For relatively simple, mechanical tasks, work that is physical, repetitive, and procedurally clear, higher financial incentives can improve performance (Ariely et al., 2009). In that narrower category, Taylor’s efficiency logic still applies.</w:t>
      </w:r>
    </w:p>
    <w:p w14:paraId="708E8ECC" w14:textId="77777777" w:rsidR="004A19CA" w:rsidRDefault="00673B00">
      <w:pPr>
        <w:spacing w:after="260"/>
        <w:ind w:left="-5" w:right="9"/>
      </w:pPr>
      <w:r>
        <w:t>For tasks requiring cognitive skill, the relationship is less linear. Ariely et al. (2009) found that very large performance-contingent rewards could, in some settings, depress performance rather than raise it. The flat-rate incentive is not large in that sense, so the lesson here is not about the size of the reward. It is about where the reward points attention. A pay rule that prices speed pulls focus toward speed, even on work that rewards patience. Pink (2009) synthesized this literature for managers, d</w:t>
      </w:r>
      <w:r>
        <w:t>istinguishing algorithmic tasks, where the steps are largely known in advance, from heuristic tasks, where the approach must be discovered, adapted, and applied with judgment. Extrinsic incentives suit the first category. They misfire on the second. Modern automotive diagnosis increasingly belongs to the second.</w:t>
      </w:r>
    </w:p>
    <w:p w14:paraId="28091116" w14:textId="77777777" w:rsidR="004A19CA" w:rsidRDefault="00673B00">
      <w:pPr>
        <w:spacing w:after="269" w:line="261" w:lineRule="auto"/>
        <w:ind w:left="475" w:right="502"/>
        <w:jc w:val="left"/>
      </w:pPr>
      <w:r>
        <w:rPr>
          <w:noProof/>
        </w:rPr>
        <mc:AlternateContent>
          <mc:Choice Requires="wpg">
            <w:drawing>
              <wp:anchor distT="0" distB="0" distL="114300" distR="114300" simplePos="0" relativeHeight="251661312" behindDoc="0" locked="0" layoutInCell="1" allowOverlap="1" wp14:anchorId="390EE6DD" wp14:editId="0BBB7E56">
                <wp:simplePos x="0" y="0"/>
                <wp:positionH relativeFrom="column">
                  <wp:posOffset>132080</wp:posOffset>
                </wp:positionH>
                <wp:positionV relativeFrom="paragraph">
                  <wp:posOffset>-21098</wp:posOffset>
                </wp:positionV>
                <wp:extent cx="38100" cy="608965"/>
                <wp:effectExtent l="0" t="0" r="0" b="0"/>
                <wp:wrapSquare wrapText="bothSides"/>
                <wp:docPr id="35790" name="Group 35790"/>
                <wp:cNvGraphicFramePr/>
                <a:graphic xmlns:a="http://schemas.openxmlformats.org/drawingml/2006/main">
                  <a:graphicData uri="http://schemas.microsoft.com/office/word/2010/wordprocessingGroup">
                    <wpg:wgp>
                      <wpg:cNvGrpSpPr/>
                      <wpg:grpSpPr>
                        <a:xfrm>
                          <a:off x="0" y="0"/>
                          <a:ext cx="38100" cy="608965"/>
                          <a:chOff x="0" y="0"/>
                          <a:chExt cx="38100" cy="608965"/>
                        </a:xfrm>
                      </wpg:grpSpPr>
                      <wps:wsp>
                        <wps:cNvPr id="1111" name="Shape 1111"/>
                        <wps:cNvSpPr/>
                        <wps:spPr>
                          <a:xfrm>
                            <a:off x="0" y="0"/>
                            <a:ext cx="0" cy="608965"/>
                          </a:xfrm>
                          <a:custGeom>
                            <a:avLst/>
                            <a:gdLst/>
                            <a:ahLst/>
                            <a:cxnLst/>
                            <a:rect l="0" t="0" r="0" b="0"/>
                            <a:pathLst>
                              <a:path h="608965">
                                <a:moveTo>
                                  <a:pt x="0" y="6089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s:wsp>
                        <wps:cNvPr id="1113" name="Shape 1113"/>
                        <wps:cNvSpPr/>
                        <wps:spPr>
                          <a:xfrm>
                            <a:off x="0" y="0"/>
                            <a:ext cx="0" cy="608965"/>
                          </a:xfrm>
                          <a:custGeom>
                            <a:avLst/>
                            <a:gdLst/>
                            <a:ahLst/>
                            <a:cxnLst/>
                            <a:rect l="0" t="0" r="0" b="0"/>
                            <a:pathLst>
                              <a:path h="608965">
                                <a:moveTo>
                                  <a:pt x="0" y="6089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790" style="width:3pt;height:47.95pt;position:absolute;mso-position-horizontal-relative:text;mso-position-horizontal:absolute;margin-left:10.4pt;mso-position-vertical-relative:text;margin-top:-1.66131pt;" coordsize="381,6089">
                <v:shape id="Shape 1111" style="position:absolute;width:0;height:6089;left:0;top:0;" coordsize="0,608965" path="m0,608965l0,0">
                  <v:stroke weight="3pt" endcap="flat" joinstyle="round" on="true" color="#1f3864"/>
                  <v:fill on="false" color="#000000" opacity="0"/>
                </v:shape>
                <v:shape id="Shape 1113" style="position:absolute;width:0;height:6089;left:0;top:0;" coordsize="0,608965" path="m0,608965l0,0">
                  <v:stroke weight="3pt" endcap="flat" joinstyle="round" on="true" color="#1f3864"/>
                  <v:fill on="false" color="#000000" opacity="0"/>
                </v:shape>
                <w10:wrap type="square"/>
              </v:group>
            </w:pict>
          </mc:Fallback>
        </mc:AlternateContent>
      </w:r>
      <w:r>
        <w:rPr>
          <w:i/>
          <w:color w:val="1F3864"/>
          <w:sz w:val="24"/>
        </w:rPr>
        <w:t>Modern automotive diagnosis is heuristic work. The flat-rate system is an algorithmic incentive structure. That mismatch has a measurable cost.</w:t>
      </w:r>
    </w:p>
    <w:p w14:paraId="7EE14A70" w14:textId="77777777" w:rsidR="004A19CA" w:rsidRDefault="00673B00">
      <w:pPr>
        <w:pStyle w:val="Heading2"/>
        <w:ind w:left="-5"/>
      </w:pPr>
      <w:r>
        <w:t>The Same Failure, in the Machines We Build</w:t>
      </w:r>
    </w:p>
    <w:p w14:paraId="23F1958A" w14:textId="77777777" w:rsidR="004A19CA" w:rsidRDefault="00673B00">
      <w:pPr>
        <w:spacing w:after="6"/>
        <w:ind w:left="-5" w:right="9"/>
      </w:pPr>
      <w:r>
        <w:t xml:space="preserve">There is a name for this pattern outside the service drive. Economists call it </w:t>
      </w:r>
    </w:p>
    <w:p w14:paraId="06028383" w14:textId="77777777" w:rsidR="004A19CA" w:rsidRDefault="00673B00">
      <w:pPr>
        <w:ind w:left="-5" w:right="9"/>
      </w:pPr>
      <w:r>
        <w:t>Goodhart’s Law. When a measure becomes a target, it stops being a good measure (Goodhart, 1975; Strathern, 1997). The point is not that measurement is bad. The point is that the moment people are paid against a number, they optimize the number, and the number quietly drifts away from the outcome it was supposed to represent.</w:t>
      </w:r>
    </w:p>
    <w:p w14:paraId="297BEACB" w14:textId="77777777" w:rsidR="004A19CA" w:rsidRDefault="00673B00">
      <w:pPr>
        <w:ind w:left="-5" w:right="9"/>
      </w:pPr>
      <w:r>
        <w:t>The same failure now appears in the systems we are building to think alongside us. When an artificial intelligence is trained to maximize a proxy for what we actually want, it learns to maximize the proxy, including in ways that defeat the original intent. Researchers call it specification gaming, and it sits at the center of the work to keep machine behavior aligned with human goals (Krakovna et al., 2020). Tell a system to maximize a score, and it will find the shortest path to the score, not the longer p</w:t>
      </w:r>
      <w:r>
        <w:t>ath to the purpose behind it.</w:t>
      </w:r>
    </w:p>
    <w:p w14:paraId="11EB3C0D" w14:textId="77777777" w:rsidR="004A19CA" w:rsidRDefault="00673B00">
      <w:pPr>
        <w:spacing w:after="288"/>
        <w:ind w:left="-5" w:right="9"/>
      </w:pPr>
      <w:r>
        <w:t>Flat rate is that problem in older clothing. The dealership meant to reward a trusted customer who returns. It measured flagged hours instead. So flagged hours are what the system produces. The technician is not gaming the store. The store wrote a reward function, and the technician is following it exactly. That is worth sitting with, because it moves the conversation off blame and onto design. You do not fix a misaligned incentive by asking people to try harder against it. You fix it by changing what the s</w:t>
      </w:r>
      <w:r>
        <w:t>ystem rewards.</w:t>
      </w:r>
    </w:p>
    <w:p w14:paraId="086B6B15" w14:textId="77777777" w:rsidR="004A19CA" w:rsidRDefault="00673B00">
      <w:pPr>
        <w:pStyle w:val="Heading2"/>
        <w:ind w:left="-5"/>
      </w:pPr>
      <w:r>
        <w:t>The Candle Problem and the Service Bay</w:t>
      </w:r>
    </w:p>
    <w:p w14:paraId="1BF7CC7D" w14:textId="77777777" w:rsidR="004A19CA" w:rsidRDefault="00673B00">
      <w:pPr>
        <w:ind w:left="-5" w:right="9"/>
      </w:pPr>
      <w:r>
        <w:t>In a classic insight-task experiment, Glucksberg (1962) found that participants offered monetary incentives took longer to solve the candle problem than those in the non-incentivized condition. The study is commonly read as evidence that external reward can narrow attention in tasks requiring cognitive reframing rather than straightforward execution.</w:t>
      </w:r>
    </w:p>
    <w:p w14:paraId="0C6C924F" w14:textId="77777777" w:rsidR="004A19CA" w:rsidRDefault="00673B00">
      <w:pPr>
        <w:spacing w:after="288"/>
        <w:ind w:left="-5" w:right="9"/>
      </w:pPr>
      <w:r>
        <w:t>Now walk that into the service bay. A technician handed an intermittent electrical fault needs to think, trace, hypothesize, and test. Under flat rate, they are working against a financial clock. Every minute on a difficult diagnosis with uncertain flaghour payoff is a minute not spent on a known book-time repair in the next bay. The result has a name: the comeback. A vehicle that returns because the first repair did not resolve the underlying issue is a predicted behavioral output of the wrong motivational</w:t>
      </w:r>
      <w:r>
        <w:t xml:space="preserve"> architecture applied to complex cognitive work.</w:t>
      </w:r>
    </w:p>
    <w:p w14:paraId="3C358B55" w14:textId="77777777" w:rsidR="004A19CA" w:rsidRDefault="00673B00">
      <w:pPr>
        <w:pStyle w:val="Heading2"/>
        <w:ind w:left="-5"/>
      </w:pPr>
      <w:r>
        <w:t>Autonomy, Mastery, and Purpose: The Architecture That Works</w:t>
      </w:r>
    </w:p>
    <w:p w14:paraId="6D2F2347" w14:textId="77777777" w:rsidR="004A19CA" w:rsidRDefault="00673B00">
      <w:pPr>
        <w:spacing w:after="0"/>
        <w:ind w:left="-5" w:right="9"/>
      </w:pPr>
      <w:r>
        <w:t>The framework beneath this did not originate with Pink. It comes from SelfDetermination Theory, developed by the psychologists Edward Deci and Richard Ryan, whose research across several decades showed that motivation strengthens under three conditions: autonomy, competence, and relatedness (Deci &amp; Ryan, 1985; Ryan &amp; Deci, 2000). Pink (2009) translated that work for managers as autonomy, mastery, and purpose. The translation earns its place here because each condition maps onto something the flat-rate syste</w:t>
      </w:r>
      <w:r>
        <w:t>m cannot provide.</w:t>
      </w:r>
    </w:p>
    <w:tbl>
      <w:tblPr>
        <w:tblStyle w:val="TableGrid"/>
        <w:tblW w:w="9360" w:type="dxa"/>
        <w:tblInd w:w="0" w:type="dxa"/>
        <w:tblCellMar>
          <w:top w:w="0" w:type="dxa"/>
          <w:left w:w="161" w:type="dxa"/>
          <w:bottom w:w="0" w:type="dxa"/>
          <w:right w:w="115" w:type="dxa"/>
        </w:tblCellMar>
        <w:tblLook w:val="04A0" w:firstRow="1" w:lastRow="0" w:firstColumn="1" w:lastColumn="0" w:noHBand="0" w:noVBand="1"/>
      </w:tblPr>
      <w:tblGrid>
        <w:gridCol w:w="3120"/>
        <w:gridCol w:w="3120"/>
        <w:gridCol w:w="3120"/>
      </w:tblGrid>
      <w:tr w:rsidR="004A19CA" w14:paraId="137BAF38" w14:textId="77777777">
        <w:trPr>
          <w:trHeight w:val="2462"/>
        </w:trPr>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44694E1C" w14:textId="77777777" w:rsidR="004A19CA" w:rsidRDefault="00673B00">
            <w:pPr>
              <w:spacing w:after="0" w:line="259" w:lineRule="auto"/>
              <w:ind w:left="0" w:right="0" w:firstLine="0"/>
              <w:jc w:val="left"/>
            </w:pPr>
            <w:r>
              <w:rPr>
                <w:b/>
                <w:color w:val="1F3864"/>
                <w:sz w:val="34"/>
              </w:rPr>
              <w:t>Autonomy</w:t>
            </w:r>
          </w:p>
          <w:p w14:paraId="16E650A1" w14:textId="77777777" w:rsidR="004A19CA" w:rsidRDefault="00673B00">
            <w:pPr>
              <w:spacing w:after="0" w:line="229" w:lineRule="auto"/>
              <w:ind w:left="0" w:right="44" w:firstLine="0"/>
              <w:jc w:val="left"/>
            </w:pPr>
            <w:r>
              <w:rPr>
                <w:color w:val="595959"/>
                <w:sz w:val="18"/>
              </w:rPr>
              <w:t xml:space="preserve">The desire to direct your own work. People perform complex tasks better with meaningful control over how they approach them. Flat-rate gap: it restricts this precisely </w:t>
            </w:r>
          </w:p>
          <w:p w14:paraId="1CAFFCC5" w14:textId="77777777" w:rsidR="004A19CA" w:rsidRDefault="00673B00">
            <w:pPr>
              <w:spacing w:after="0" w:line="259" w:lineRule="auto"/>
              <w:ind w:left="0" w:right="0" w:firstLine="0"/>
              <w:jc w:val="left"/>
            </w:pPr>
            <w:r>
              <w:rPr>
                <w:color w:val="595959"/>
                <w:sz w:val="18"/>
              </w:rPr>
              <w:t>where complex work demands it most.</w:t>
            </w:r>
          </w:p>
        </w:tc>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2680C199" w14:textId="77777777" w:rsidR="004A19CA" w:rsidRDefault="00673B00">
            <w:pPr>
              <w:spacing w:after="0" w:line="259" w:lineRule="auto"/>
              <w:ind w:left="0" w:right="0" w:firstLine="0"/>
              <w:jc w:val="left"/>
            </w:pPr>
            <w:r>
              <w:rPr>
                <w:b/>
                <w:color w:val="1F3864"/>
                <w:sz w:val="34"/>
              </w:rPr>
              <w:t>Mastery</w:t>
            </w:r>
          </w:p>
          <w:p w14:paraId="348FCE9E" w14:textId="77777777" w:rsidR="004A19CA" w:rsidRDefault="00673B00">
            <w:pPr>
              <w:spacing w:after="0" w:line="229" w:lineRule="auto"/>
              <w:ind w:left="0" w:right="0" w:firstLine="0"/>
              <w:jc w:val="left"/>
            </w:pPr>
            <w:r>
              <w:rPr>
                <w:color w:val="595959"/>
                <w:sz w:val="18"/>
              </w:rPr>
              <w:t xml:space="preserve">The urge to get better at something that matters. People who are growing engage more deeply and take quality personally. Flat-rate gap: it cannot distinguish stagnation from growth. </w:t>
            </w:r>
          </w:p>
          <w:p w14:paraId="0BF65A8B" w14:textId="77777777" w:rsidR="004A19CA" w:rsidRDefault="00673B00">
            <w:pPr>
              <w:spacing w:after="0" w:line="259" w:lineRule="auto"/>
              <w:ind w:left="0" w:right="0" w:firstLine="0"/>
              <w:jc w:val="left"/>
            </w:pPr>
            <w:r>
              <w:rPr>
                <w:color w:val="595959"/>
                <w:sz w:val="18"/>
              </w:rPr>
              <w:t>Mastery is invisible to it.</w:t>
            </w:r>
          </w:p>
        </w:tc>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04FC437E" w14:textId="77777777" w:rsidR="004A19CA" w:rsidRDefault="00673B00">
            <w:pPr>
              <w:spacing w:after="0" w:line="259" w:lineRule="auto"/>
              <w:ind w:left="0" w:right="0" w:firstLine="0"/>
              <w:jc w:val="left"/>
            </w:pPr>
            <w:r>
              <w:rPr>
                <w:b/>
                <w:color w:val="1F3864"/>
                <w:sz w:val="34"/>
              </w:rPr>
              <w:t>Purpose</w:t>
            </w:r>
          </w:p>
          <w:p w14:paraId="5CB5E6B4" w14:textId="77777777" w:rsidR="004A19CA" w:rsidRDefault="00673B00">
            <w:pPr>
              <w:spacing w:after="0" w:line="229" w:lineRule="auto"/>
              <w:ind w:left="0" w:right="0" w:firstLine="0"/>
              <w:jc w:val="left"/>
            </w:pPr>
            <w:r>
              <w:rPr>
                <w:color w:val="595959"/>
                <w:sz w:val="18"/>
              </w:rPr>
              <w:t xml:space="preserve">The sense that work connects to something larger than the task. Purpose is a </w:t>
            </w:r>
          </w:p>
          <w:p w14:paraId="49606E7E" w14:textId="77777777" w:rsidR="004A19CA" w:rsidRDefault="00673B00">
            <w:pPr>
              <w:spacing w:after="0" w:line="259" w:lineRule="auto"/>
              <w:ind w:left="0" w:right="0" w:firstLine="0"/>
              <w:jc w:val="left"/>
            </w:pPr>
            <w:r>
              <w:rPr>
                <w:color w:val="595959"/>
                <w:sz w:val="18"/>
              </w:rPr>
              <w:t>performance driver, not a soft benefit. Flat-rate gap: it connects the technician to the repair order count, not the customer.</w:t>
            </w:r>
          </w:p>
        </w:tc>
      </w:tr>
    </w:tbl>
    <w:p w14:paraId="0AFDA9D9" w14:textId="77777777" w:rsidR="004A19CA" w:rsidRDefault="00673B00">
      <w:pPr>
        <w:pStyle w:val="Heading2"/>
        <w:ind w:left="-5"/>
      </w:pPr>
      <w:r>
        <w:t>The Behavioral Failure Case</w:t>
      </w:r>
    </w:p>
    <w:p w14:paraId="4069ADA4" w14:textId="77777777" w:rsidR="004A19CA" w:rsidRDefault="00673B00">
      <w:pPr>
        <w:spacing w:after="260"/>
        <w:ind w:left="-5" w:right="9"/>
      </w:pPr>
      <w:r>
        <w:t>The argument is not that flat rate is unfair. It is more precise. Flat rate is the wrong motivational architecture for the primary type of work automotive technicians are now required to perform. Taylor’s model was designed for routine, physical, predictable tasks. Modern automotive service is dominated by complex, cognitive, adaptive work: software diagnostics, ADAS calibration, hybrid and EV powertrain analysis, whole-system thinking on aging vehicles.</w:t>
      </w:r>
    </w:p>
    <w:p w14:paraId="3137552E" w14:textId="77777777" w:rsidR="004A19CA" w:rsidRDefault="00673B00">
      <w:pPr>
        <w:spacing w:after="225" w:line="261" w:lineRule="auto"/>
        <w:ind w:left="475" w:right="502"/>
        <w:jc w:val="left"/>
      </w:pPr>
      <w:r>
        <w:rPr>
          <w:noProof/>
        </w:rPr>
        <mc:AlternateContent>
          <mc:Choice Requires="wpg">
            <w:drawing>
              <wp:anchor distT="0" distB="0" distL="114300" distR="114300" simplePos="0" relativeHeight="251662336" behindDoc="0" locked="0" layoutInCell="1" allowOverlap="1" wp14:anchorId="32EA58BF" wp14:editId="635B775E">
                <wp:simplePos x="0" y="0"/>
                <wp:positionH relativeFrom="column">
                  <wp:posOffset>132080</wp:posOffset>
                </wp:positionH>
                <wp:positionV relativeFrom="paragraph">
                  <wp:posOffset>-20463</wp:posOffset>
                </wp:positionV>
                <wp:extent cx="38100" cy="608965"/>
                <wp:effectExtent l="0" t="0" r="0" b="0"/>
                <wp:wrapSquare wrapText="bothSides"/>
                <wp:docPr id="34753" name="Group 34753"/>
                <wp:cNvGraphicFramePr/>
                <a:graphic xmlns:a="http://schemas.openxmlformats.org/drawingml/2006/main">
                  <a:graphicData uri="http://schemas.microsoft.com/office/word/2010/wordprocessingGroup">
                    <wpg:wgp>
                      <wpg:cNvGrpSpPr/>
                      <wpg:grpSpPr>
                        <a:xfrm>
                          <a:off x="0" y="0"/>
                          <a:ext cx="38100" cy="608965"/>
                          <a:chOff x="0" y="0"/>
                          <a:chExt cx="38100" cy="608965"/>
                        </a:xfrm>
                      </wpg:grpSpPr>
                      <wps:wsp>
                        <wps:cNvPr id="1201" name="Shape 1201"/>
                        <wps:cNvSpPr/>
                        <wps:spPr>
                          <a:xfrm>
                            <a:off x="0" y="0"/>
                            <a:ext cx="0" cy="608965"/>
                          </a:xfrm>
                          <a:custGeom>
                            <a:avLst/>
                            <a:gdLst/>
                            <a:ahLst/>
                            <a:cxnLst/>
                            <a:rect l="0" t="0" r="0" b="0"/>
                            <a:pathLst>
                              <a:path h="608965">
                                <a:moveTo>
                                  <a:pt x="0" y="6089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s:wsp>
                        <wps:cNvPr id="1203" name="Shape 1203"/>
                        <wps:cNvSpPr/>
                        <wps:spPr>
                          <a:xfrm>
                            <a:off x="0" y="0"/>
                            <a:ext cx="0" cy="608965"/>
                          </a:xfrm>
                          <a:custGeom>
                            <a:avLst/>
                            <a:gdLst/>
                            <a:ahLst/>
                            <a:cxnLst/>
                            <a:rect l="0" t="0" r="0" b="0"/>
                            <a:pathLst>
                              <a:path h="608965">
                                <a:moveTo>
                                  <a:pt x="0" y="6089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753" style="width:3pt;height:47.95pt;position:absolute;mso-position-horizontal-relative:text;mso-position-horizontal:absolute;margin-left:10.4pt;mso-position-vertical-relative:text;margin-top:-1.61133pt;" coordsize="381,6089">
                <v:shape id="Shape 1201" style="position:absolute;width:0;height:6089;left:0;top:0;" coordsize="0,608965" path="m0,608965l0,0">
                  <v:stroke weight="3pt" endcap="flat" joinstyle="round" on="true" color="#1f3864"/>
                  <v:fill on="false" color="#000000" opacity="0"/>
                </v:shape>
                <v:shape id="Shape 1203" style="position:absolute;width:0;height:6089;left:0;top:0;" coordsize="0,608965" path="m0,608965l0,0">
                  <v:stroke weight="3pt" endcap="flat" joinstyle="round" on="true" color="#1f3864"/>
                  <v:fill on="false" color="#000000" opacity="0"/>
                </v:shape>
                <w10:wrap type="square"/>
              </v:group>
            </w:pict>
          </mc:Fallback>
        </mc:AlternateContent>
      </w:r>
      <w:r>
        <w:rPr>
          <w:i/>
          <w:color w:val="1F3864"/>
          <w:sz w:val="24"/>
        </w:rPr>
        <w:t>Flat rate is not broken. It is doing exactly what it was designed to do. The problem is that the work it was designed for has fundamentally changed.</w:t>
      </w:r>
    </w:p>
    <w:p w14:paraId="32CB8F11" w14:textId="77777777" w:rsidR="004A19CA" w:rsidRDefault="00673B00">
      <w:pPr>
        <w:ind w:left="-5" w:right="9"/>
      </w:pPr>
      <w:r>
        <w:t>The compensation models in Section 9 introduce Autonomy through portfolio ownership, Mastery through certification-based advancement, and Purpose through downstream customer metrics that show the technician what their work produced for the relationship long after the car leaves the bay.</w:t>
      </w:r>
    </w:p>
    <w:p w14:paraId="463C5259" w14:textId="77777777" w:rsidR="004A19CA" w:rsidRDefault="00673B00">
      <w:pPr>
        <w:pStyle w:val="Heading1"/>
        <w:ind w:left="-5"/>
      </w:pPr>
      <w:r>
        <w:t>06   The Case for Reform: Five Revenue Channels</w:t>
      </w:r>
    </w:p>
    <w:p w14:paraId="132FEBA3" w14:textId="77777777" w:rsidR="004A19CA" w:rsidRDefault="00673B00">
      <w:pPr>
        <w:spacing w:after="288"/>
        <w:ind w:left="-5" w:right="9"/>
      </w:pPr>
      <w:r>
        <w:t>The behavioral research provides one line of argument. The financial modeling provides another. The relevant managerial question is not whether compensation reform carries cost. It is whether the expected return justifies that investment under plausible operating assumptions. This section quantifies four revenue channels with shown arithmetic and states a fifth as a directional benefit. Every input is listed so the reader can replace it with their own store’s numbers. The baseline throughout is the ten-tech</w:t>
      </w:r>
      <w:r>
        <w:t>nician store defined in Section 10: roughly 9,500 customer-pay repair orders per year at $279 average customer-pay labor per repair order, the figure NADA’s 2025 data produces when customer mechanical labor sales are divided by customer mechanical repair orders (National Automobile Dealers Association, 2025b).</w:t>
      </w:r>
    </w:p>
    <w:p w14:paraId="306F94BF" w14:textId="77777777" w:rsidR="004A19CA" w:rsidRDefault="00673B00">
      <w:pPr>
        <w:pStyle w:val="Heading2"/>
        <w:ind w:left="-5"/>
      </w:pPr>
      <w:r>
        <w:t>Channel 1: The Customer Retention Multiplier</w:t>
      </w:r>
    </w:p>
    <w:p w14:paraId="43AA36A2" w14:textId="77777777" w:rsidR="004A19CA" w:rsidRDefault="00673B00">
      <w:pPr>
        <w:ind w:left="-5" w:right="9"/>
      </w:pPr>
      <w:r>
        <w:t>Cox Automotive (2026b) reports that customers who return to the dealer for service are 30 percentage points more likely to repurchase from that dealer, and that 88 percent of consumers say the service experience affects their likelihood of buying again. The same study estimates that dealers leave roughly $12,000 on the table for every lost service customer across the ownership period. The widely cited relative figure points the same direction: service customers are 74 percent more likely to buy their next v</w:t>
      </w:r>
      <w:r>
        <w:t>ehicle from the same store (Cox Automotive, 2025a). That last number is a relative lift, not a conversion rate. This analysis does not use it as one.</w:t>
      </w:r>
    </w:p>
    <w:p w14:paraId="73FEB71F" w14:textId="77777777" w:rsidR="004A19CA" w:rsidRDefault="00673B00">
      <w:pPr>
        <w:ind w:left="-5" w:right="9"/>
      </w:pPr>
      <w:r>
        <w:t xml:space="preserve">Here is the arithmetic, stated in the open, and built on current gross data rather than round numbers. Assume a mid-size store loses a conservative 100 service relationships per year. Apply the Cox 30-point repurchase differential as the incremental sales effect of the service relationship: 30 of those 100 lost relationships represent a future vehicle sale the store would otherwise have captured. The gross on that sale must use today’s compressed margins, not the figures of three years ago. Per the Q1 2026 </w:t>
      </w:r>
      <w:r>
        <w:t>Haig Report, public-company same-store new vehicle gross fell to $2,881 per unit, used vehicle gross was $1,648, and F&amp;I set a record at $2,627 (Haig Partners, 2026). Front-end gross has slid materially: the same firm reported a 14.4 percent year-over-year decline in new vehicle gross entering 2025, with the figure drifting toward a floor since (Haig Partners, 2025).</w:t>
      </w:r>
    </w:p>
    <w:p w14:paraId="0DC40B0A" w14:textId="77777777" w:rsidR="004A19CA" w:rsidRDefault="00673B00">
      <w:pPr>
        <w:ind w:left="-5" w:right="9"/>
      </w:pPr>
      <w:r>
        <w:t xml:space="preserve">A returning service customer may buy new or used, so this analysis blends the two </w:t>
      </w:r>
      <w:r>
        <w:t>front-end figures conservatively at roughly $2,265, then adds the F&amp;I gross that attaches to the deal either way. That is about $2,265 front-end plus $2,627 F&amp;I, or $4,892 in total gross per retained sale. To stay deliberately conservative, this paper rounds that down to $4,500 per deal. The annualized exposure is 30 x $4,500 = $135,000.</w:t>
      </w:r>
    </w:p>
    <w:p w14:paraId="34E82BF7" w14:textId="77777777" w:rsidR="004A19CA" w:rsidRDefault="00673B00">
      <w:pPr>
        <w:spacing w:after="288"/>
        <w:ind w:left="-5" w:right="9"/>
      </w:pPr>
      <w:r>
        <w:t>Two checks on that number. First, Cox’s own $12,000-per-lost-customer estimate implies $1.2 million in ownership-period value across the same 100 customers, so the $135,000 figure is conservative by a wide margin. Second, if an operator prefers the relative-lift reading and models 70 incremental deals instead of 30, the channel rises to $315,000 and the paper’s total approaches $535,000. This analysis plans against the conservative case. Each store should run its own return rate and its own current gross. T</w:t>
      </w:r>
      <w:r>
        <w:t>he number is a scenario. The direction is not. And it sits before repeat purchases and before referrals.</w:t>
      </w:r>
    </w:p>
    <w:p w14:paraId="49EB7873" w14:textId="77777777" w:rsidR="004A19CA" w:rsidRDefault="00673B00">
      <w:pPr>
        <w:pStyle w:val="Heading2"/>
        <w:ind w:left="-5"/>
      </w:pPr>
      <w:r>
        <w:t>Channel 2: The Comeback Cost</w:t>
      </w:r>
    </w:p>
    <w:p w14:paraId="6978A5D2" w14:textId="77777777" w:rsidR="004A19CA" w:rsidRDefault="00673B00">
      <w:pPr>
        <w:ind w:left="-5" w:right="9"/>
      </w:pPr>
      <w:r>
        <w:t>A comeback is zero-revenue work, and the customer experiences it as one outcome: the repair did not work. The arithmetic on the baseline store: 9,500 annual repair orders at a 3 percent comeback rate produce 285 comeback events per year. Reducing that rate to 1 percent avoids 190 of them. The direct recovery is bay time, valued at an effective realized rate of $143 per flag hour, roughly 77 percent of NADA’s $186 customer mechanical door rate to reflect the blend of customer-pay, warranty, and internal work</w:t>
      </w:r>
      <w:r>
        <w:t>: 190 events x 1.5 hours x $143 = $40,800 in productive capacity returned to revenue work. The retention recovery is the customer relationship: assume conservatively that one in five comeback customers defects, 38 customers, each representing $1,500 per year in service value, which is the Cox Automotive (2026b) $12,000 ownership-period estimate spread across an eight-year window. That is 38 x $1,500 = $57,000. Combined annual impact: approximately $97,800.</w:t>
      </w:r>
    </w:p>
    <w:p w14:paraId="547E6585" w14:textId="77777777" w:rsidR="004A19CA" w:rsidRDefault="00673B00">
      <w:pPr>
        <w:spacing w:after="288"/>
        <w:ind w:left="-5" w:right="9"/>
      </w:pPr>
      <w:r>
        <w:t>The models in Section 9 address this channel through guaranteed base pay, which removes the financial pressure to close diagnostic work prematurely, and quality gates that make a sub-2-percent comeback rate a direct condition of production bonuses.</w:t>
      </w:r>
    </w:p>
    <w:p w14:paraId="10097F4E" w14:textId="77777777" w:rsidR="004A19CA" w:rsidRDefault="00673B00">
      <w:pPr>
        <w:pStyle w:val="Heading2"/>
        <w:ind w:left="-5"/>
      </w:pPr>
      <w:r>
        <w:t>Channel 3: The Declined Service Conversion Opportunity</w:t>
      </w:r>
    </w:p>
    <w:p w14:paraId="57657A99" w14:textId="77777777" w:rsidR="004A19CA" w:rsidRDefault="00673B00">
      <w:pPr>
        <w:ind w:left="-5" w:right="9"/>
      </w:pPr>
      <w:r>
        <w:t>Industry research commonly places declined-service rates within a 20 to 40 percent range depending on category and operating context. This paper uses the middle of that range as a planning assumption, not a universal constant. Many declinations are confidence decisions as much as financial ones. A customer who fully understands what was found, and trusts the person explaining it, approves more of what the vehicle actually needs.</w:t>
      </w:r>
    </w:p>
    <w:p w14:paraId="6B1D2050" w14:textId="77777777" w:rsidR="004A19CA" w:rsidRDefault="00673B00">
      <w:pPr>
        <w:spacing w:after="288"/>
        <w:ind w:left="-5" w:right="9"/>
      </w:pPr>
      <w:r>
        <w:t>The arithmetic: assume 30 percent of the baseline 9,500 repair orders carry at least one declined recommendation, 2,850 declined opportunities per year. Assume a compensation model that rewards patient explanation and follow-through converts an incremental 13 percent of them, roughly 370 additional approved repair orders, at the $279 average customer-pay labor value per repair order. That is approximately $103,200 per year, presented as a directional planning estimate rather than a forecast, and achieved wi</w:t>
      </w:r>
      <w:r>
        <w:t>thout one additional dollar of marketing spend.</w:t>
      </w:r>
    </w:p>
    <w:p w14:paraId="576D8A02" w14:textId="77777777" w:rsidR="004A19CA" w:rsidRDefault="00673B00">
      <w:pPr>
        <w:pStyle w:val="Heading2"/>
        <w:ind w:left="-5"/>
      </w:pPr>
      <w:r>
        <w:t>Channel 4: Technician Retention and Replacement Cost</w:t>
      </w:r>
    </w:p>
    <w:p w14:paraId="20544CC4" w14:textId="77777777" w:rsidR="004A19CA" w:rsidRDefault="00673B00">
      <w:pPr>
        <w:spacing w:after="288"/>
        <w:ind w:left="-5" w:right="9"/>
      </w:pPr>
      <w:r>
        <w:t>The cost of replacing a skilled automotive technician runs $15,000 to $25,000 in recruitment, onboarding, lost productivity, and training. A ten-technician shop losing two per year absorbs $30,000 to $50,000 in replacement costs that rarely appear on a formal expense line. A model that extends average tenure by two years, reducing annual separations by one, saves $20,000 at the midpoint while preserving the customer relationship equity that experienced technicians carry.</w:t>
      </w:r>
    </w:p>
    <w:p w14:paraId="5D11AD1B" w14:textId="77777777" w:rsidR="004A19CA" w:rsidRDefault="00673B00">
      <w:pPr>
        <w:pStyle w:val="Heading2"/>
        <w:ind w:left="-5"/>
      </w:pPr>
      <w:r>
        <w:t>Channel 5: Labor Rate Stabilization</w:t>
      </w:r>
    </w:p>
    <w:p w14:paraId="0A2ABD9A" w14:textId="77777777" w:rsidR="004A19CA" w:rsidRDefault="00673B00">
      <w:pPr>
        <w:spacing w:after="288"/>
        <w:ind w:left="-5" w:right="9"/>
      </w:pPr>
      <w:r>
        <w:t>Under flat rate, posted rates must be set high enough to absorb income exposure during diagnostic and warranty work, flag-hour volatility, and fixed-cost coverage during slow periods. A stabilized hourly compensation model produces a predictable labor cost per hour, and with it a strategic pricing decision the current model never permits. A dealership on a stabilized model could hold posted rates flat for two to three years while competitors continue inflation-driven increases, or deploy a modest adjustment</w:t>
      </w:r>
      <w:r>
        <w:t xml:space="preserve"> as a deliberate competitive signal in a market where customers already believe, incorrectly, that the dealership is more expensive. This channel is intentionally unpriced. The value depends on each market’s rate environment. The mechanism does not.</w:t>
      </w:r>
    </w:p>
    <w:p w14:paraId="24B879CA" w14:textId="77777777" w:rsidR="004A19CA" w:rsidRDefault="00673B00">
      <w:pPr>
        <w:pStyle w:val="Heading2"/>
        <w:spacing w:after="0"/>
        <w:ind w:left="-5"/>
      </w:pPr>
      <w:r>
        <w:t>The Investment Calculation</w:t>
      </w:r>
    </w:p>
    <w:tbl>
      <w:tblPr>
        <w:tblStyle w:val="TableGrid"/>
        <w:tblW w:w="9360" w:type="dxa"/>
        <w:tblInd w:w="0" w:type="dxa"/>
        <w:tblCellMar>
          <w:top w:w="80" w:type="dxa"/>
          <w:left w:w="121" w:type="dxa"/>
          <w:bottom w:w="0" w:type="dxa"/>
          <w:right w:w="115" w:type="dxa"/>
        </w:tblCellMar>
        <w:tblLook w:val="04A0" w:firstRow="1" w:lastRow="0" w:firstColumn="1" w:lastColumn="0" w:noHBand="0" w:noVBand="1"/>
      </w:tblPr>
      <w:tblGrid>
        <w:gridCol w:w="6240"/>
        <w:gridCol w:w="3120"/>
      </w:tblGrid>
      <w:tr w:rsidR="004A19CA" w14:paraId="7AE2F70D" w14:textId="77777777">
        <w:trPr>
          <w:trHeight w:val="385"/>
        </w:trPr>
        <w:tc>
          <w:tcPr>
            <w:tcW w:w="6240" w:type="dxa"/>
            <w:tcBorders>
              <w:top w:val="single" w:sz="2" w:space="0" w:color="C9D4E8"/>
              <w:left w:val="single" w:sz="2" w:space="0" w:color="C9D4E8"/>
              <w:bottom w:val="single" w:sz="2" w:space="0" w:color="C9D4E8"/>
              <w:right w:val="single" w:sz="2" w:space="0" w:color="C9D4E8"/>
            </w:tcBorders>
            <w:shd w:val="clear" w:color="auto" w:fill="1F3864"/>
          </w:tcPr>
          <w:p w14:paraId="542500BD" w14:textId="77777777" w:rsidR="004A19CA" w:rsidRDefault="00673B00">
            <w:pPr>
              <w:spacing w:after="0" w:line="259" w:lineRule="auto"/>
              <w:ind w:left="0" w:right="0" w:firstLine="0"/>
              <w:jc w:val="left"/>
            </w:pPr>
            <w:r>
              <w:rPr>
                <w:b/>
                <w:color w:val="FFFFFF"/>
                <w:sz w:val="19"/>
              </w:rPr>
              <w:t>Revenue Channel / Investment</w:t>
            </w:r>
          </w:p>
        </w:tc>
        <w:tc>
          <w:tcPr>
            <w:tcW w:w="3120" w:type="dxa"/>
            <w:tcBorders>
              <w:top w:val="single" w:sz="2" w:space="0" w:color="C9D4E8"/>
              <w:left w:val="single" w:sz="2" w:space="0" w:color="C9D4E8"/>
              <w:bottom w:val="single" w:sz="2" w:space="0" w:color="C9D4E8"/>
              <w:right w:val="single" w:sz="2" w:space="0" w:color="C9D4E8"/>
            </w:tcBorders>
            <w:shd w:val="clear" w:color="auto" w:fill="1F3864"/>
          </w:tcPr>
          <w:p w14:paraId="2A9A4201" w14:textId="77777777" w:rsidR="004A19CA" w:rsidRDefault="00673B00">
            <w:pPr>
              <w:spacing w:after="0" w:line="259" w:lineRule="auto"/>
              <w:ind w:left="0" w:right="0" w:firstLine="0"/>
              <w:jc w:val="left"/>
            </w:pPr>
            <w:r>
              <w:rPr>
                <w:b/>
                <w:color w:val="FFFFFF"/>
                <w:sz w:val="19"/>
              </w:rPr>
              <w:t>Annual Impact</w:t>
            </w:r>
          </w:p>
        </w:tc>
      </w:tr>
      <w:tr w:rsidR="004A19CA" w14:paraId="2E6B962D" w14:textId="77777777">
        <w:trPr>
          <w:trHeight w:val="605"/>
        </w:trPr>
        <w:tc>
          <w:tcPr>
            <w:tcW w:w="6240" w:type="dxa"/>
            <w:tcBorders>
              <w:top w:val="single" w:sz="2" w:space="0" w:color="C9D4E8"/>
              <w:left w:val="single" w:sz="2" w:space="0" w:color="C9D4E8"/>
              <w:bottom w:val="single" w:sz="2" w:space="0" w:color="C9D4E8"/>
              <w:right w:val="single" w:sz="2" w:space="0" w:color="C9D4E8"/>
            </w:tcBorders>
          </w:tcPr>
          <w:p w14:paraId="702CB3FE" w14:textId="77777777" w:rsidR="004A19CA" w:rsidRDefault="00673B00">
            <w:pPr>
              <w:spacing w:after="0" w:line="259" w:lineRule="auto"/>
              <w:ind w:left="0" w:right="0" w:firstLine="0"/>
              <w:jc w:val="left"/>
            </w:pPr>
            <w:r>
              <w:rPr>
                <w:sz w:val="19"/>
              </w:rPr>
              <w:t>Customer retention multiplier (30-point Cox differential, 100 lost relationships, $4,500 blended gross)</w:t>
            </w:r>
          </w:p>
        </w:tc>
        <w:tc>
          <w:tcPr>
            <w:tcW w:w="3120" w:type="dxa"/>
            <w:tcBorders>
              <w:top w:val="single" w:sz="2" w:space="0" w:color="C9D4E8"/>
              <w:left w:val="single" w:sz="2" w:space="0" w:color="C9D4E8"/>
              <w:bottom w:val="single" w:sz="2" w:space="0" w:color="C9D4E8"/>
              <w:right w:val="single" w:sz="2" w:space="0" w:color="C9D4E8"/>
            </w:tcBorders>
          </w:tcPr>
          <w:p w14:paraId="7E02044A" w14:textId="77777777" w:rsidR="004A19CA" w:rsidRDefault="00673B00">
            <w:pPr>
              <w:spacing w:after="0" w:line="259" w:lineRule="auto"/>
              <w:ind w:left="0" w:right="0" w:firstLine="0"/>
              <w:jc w:val="left"/>
            </w:pPr>
            <w:r>
              <w:rPr>
                <w:sz w:val="19"/>
              </w:rPr>
              <w:t>$135,000</w:t>
            </w:r>
          </w:p>
        </w:tc>
      </w:tr>
      <w:tr w:rsidR="004A19CA" w14:paraId="4476EB14" w14:textId="77777777">
        <w:trPr>
          <w:trHeight w:val="604"/>
        </w:trPr>
        <w:tc>
          <w:tcPr>
            <w:tcW w:w="6240" w:type="dxa"/>
            <w:tcBorders>
              <w:top w:val="single" w:sz="2" w:space="0" w:color="C9D4E8"/>
              <w:left w:val="single" w:sz="2" w:space="0" w:color="C9D4E8"/>
              <w:bottom w:val="single" w:sz="2" w:space="0" w:color="C9D4E8"/>
              <w:right w:val="single" w:sz="2" w:space="0" w:color="C9D4E8"/>
            </w:tcBorders>
          </w:tcPr>
          <w:p w14:paraId="706D0999" w14:textId="77777777" w:rsidR="004A19CA" w:rsidRDefault="00673B00">
            <w:pPr>
              <w:spacing w:after="0" w:line="259" w:lineRule="auto"/>
              <w:ind w:left="0" w:right="0" w:firstLine="0"/>
              <w:jc w:val="left"/>
            </w:pPr>
            <w:r>
              <w:rPr>
                <w:sz w:val="19"/>
              </w:rPr>
              <w:t>Comeback reduction, 3% to 1% ($40,800 direct + $57,000 retention)</w:t>
            </w:r>
          </w:p>
        </w:tc>
        <w:tc>
          <w:tcPr>
            <w:tcW w:w="3120" w:type="dxa"/>
            <w:tcBorders>
              <w:top w:val="single" w:sz="2" w:space="0" w:color="C9D4E8"/>
              <w:left w:val="single" w:sz="2" w:space="0" w:color="C9D4E8"/>
              <w:bottom w:val="single" w:sz="2" w:space="0" w:color="C9D4E8"/>
              <w:right w:val="single" w:sz="2" w:space="0" w:color="C9D4E8"/>
            </w:tcBorders>
          </w:tcPr>
          <w:p w14:paraId="221616D7" w14:textId="77777777" w:rsidR="004A19CA" w:rsidRDefault="00673B00">
            <w:pPr>
              <w:spacing w:after="0" w:line="259" w:lineRule="auto"/>
              <w:ind w:left="0" w:right="0" w:firstLine="0"/>
              <w:jc w:val="left"/>
            </w:pPr>
            <w:r>
              <w:rPr>
                <w:sz w:val="19"/>
              </w:rPr>
              <w:t>$97,800</w:t>
            </w:r>
          </w:p>
        </w:tc>
      </w:tr>
      <w:tr w:rsidR="004A19CA" w14:paraId="56C17791" w14:textId="77777777">
        <w:trPr>
          <w:trHeight w:val="604"/>
        </w:trPr>
        <w:tc>
          <w:tcPr>
            <w:tcW w:w="6240" w:type="dxa"/>
            <w:tcBorders>
              <w:top w:val="single" w:sz="2" w:space="0" w:color="C9D4E8"/>
              <w:left w:val="single" w:sz="2" w:space="0" w:color="C9D4E8"/>
              <w:bottom w:val="single" w:sz="2" w:space="0" w:color="C9D4E8"/>
              <w:right w:val="single" w:sz="2" w:space="0" w:color="C9D4E8"/>
            </w:tcBorders>
          </w:tcPr>
          <w:p w14:paraId="21254837" w14:textId="77777777" w:rsidR="004A19CA" w:rsidRDefault="00673B00">
            <w:pPr>
              <w:spacing w:after="0" w:line="259" w:lineRule="auto"/>
              <w:ind w:left="0" w:right="0" w:firstLine="0"/>
              <w:jc w:val="left"/>
            </w:pPr>
            <w:r>
              <w:rPr>
                <w:sz w:val="19"/>
              </w:rPr>
              <w:t>Declined service conversion (incremental 13% of declined ROs at $279)</w:t>
            </w:r>
          </w:p>
        </w:tc>
        <w:tc>
          <w:tcPr>
            <w:tcW w:w="3120" w:type="dxa"/>
            <w:tcBorders>
              <w:top w:val="single" w:sz="2" w:space="0" w:color="C9D4E8"/>
              <w:left w:val="single" w:sz="2" w:space="0" w:color="C9D4E8"/>
              <w:bottom w:val="single" w:sz="2" w:space="0" w:color="C9D4E8"/>
              <w:right w:val="single" w:sz="2" w:space="0" w:color="C9D4E8"/>
            </w:tcBorders>
          </w:tcPr>
          <w:p w14:paraId="2E5039AD" w14:textId="77777777" w:rsidR="004A19CA" w:rsidRDefault="00673B00">
            <w:pPr>
              <w:spacing w:after="0" w:line="259" w:lineRule="auto"/>
              <w:ind w:left="0" w:right="0" w:firstLine="0"/>
              <w:jc w:val="left"/>
            </w:pPr>
            <w:r>
              <w:rPr>
                <w:sz w:val="19"/>
              </w:rPr>
              <w:t>$103,200</w:t>
            </w:r>
          </w:p>
        </w:tc>
      </w:tr>
      <w:tr w:rsidR="004A19CA" w14:paraId="2D40EAE3" w14:textId="77777777">
        <w:trPr>
          <w:trHeight w:val="382"/>
        </w:trPr>
        <w:tc>
          <w:tcPr>
            <w:tcW w:w="6240" w:type="dxa"/>
            <w:tcBorders>
              <w:top w:val="single" w:sz="2" w:space="0" w:color="C9D4E8"/>
              <w:left w:val="single" w:sz="2" w:space="0" w:color="C9D4E8"/>
              <w:bottom w:val="single" w:sz="2" w:space="0" w:color="C9D4E8"/>
              <w:right w:val="single" w:sz="2" w:space="0" w:color="C9D4E8"/>
            </w:tcBorders>
          </w:tcPr>
          <w:p w14:paraId="5714C7B9" w14:textId="77777777" w:rsidR="004A19CA" w:rsidRDefault="00673B00">
            <w:pPr>
              <w:spacing w:after="0" w:line="259" w:lineRule="auto"/>
              <w:ind w:left="0" w:right="0" w:firstLine="0"/>
              <w:jc w:val="left"/>
            </w:pPr>
            <w:r>
              <w:rPr>
                <w:sz w:val="19"/>
              </w:rPr>
              <w:t>Technician retention savings (1 fewer separation)</w:t>
            </w:r>
          </w:p>
        </w:tc>
        <w:tc>
          <w:tcPr>
            <w:tcW w:w="3120" w:type="dxa"/>
            <w:tcBorders>
              <w:top w:val="single" w:sz="2" w:space="0" w:color="C9D4E8"/>
              <w:left w:val="single" w:sz="2" w:space="0" w:color="C9D4E8"/>
              <w:bottom w:val="single" w:sz="2" w:space="0" w:color="C9D4E8"/>
              <w:right w:val="single" w:sz="2" w:space="0" w:color="C9D4E8"/>
            </w:tcBorders>
          </w:tcPr>
          <w:p w14:paraId="533EDA13" w14:textId="77777777" w:rsidR="004A19CA" w:rsidRDefault="00673B00">
            <w:pPr>
              <w:spacing w:after="0" w:line="259" w:lineRule="auto"/>
              <w:ind w:left="0" w:right="0" w:firstLine="0"/>
              <w:jc w:val="left"/>
            </w:pPr>
            <w:r>
              <w:rPr>
                <w:sz w:val="19"/>
              </w:rPr>
              <w:t>$20,000</w:t>
            </w:r>
          </w:p>
        </w:tc>
      </w:tr>
      <w:tr w:rsidR="004A19CA" w14:paraId="6A31D3F0" w14:textId="77777777">
        <w:trPr>
          <w:trHeight w:val="608"/>
        </w:trPr>
        <w:tc>
          <w:tcPr>
            <w:tcW w:w="6240" w:type="dxa"/>
            <w:tcBorders>
              <w:top w:val="single" w:sz="2" w:space="0" w:color="C9D4E8"/>
              <w:left w:val="single" w:sz="2" w:space="0" w:color="C9D4E8"/>
              <w:bottom w:val="single" w:sz="2" w:space="0" w:color="C9D4E8"/>
              <w:right w:val="single" w:sz="2" w:space="0" w:color="C9D4E8"/>
            </w:tcBorders>
          </w:tcPr>
          <w:p w14:paraId="2E7FD418" w14:textId="77777777" w:rsidR="004A19CA" w:rsidRDefault="00673B00">
            <w:pPr>
              <w:spacing w:after="0" w:line="259" w:lineRule="auto"/>
              <w:ind w:left="0" w:right="0" w:firstLine="0"/>
              <w:jc w:val="left"/>
            </w:pPr>
            <w:r>
              <w:rPr>
                <w:b/>
                <w:sz w:val="19"/>
              </w:rPr>
              <w:t>TOTAL QUANTIFIED ANNUAL RETURN (CONSERVATIVE)</w:t>
            </w:r>
          </w:p>
        </w:tc>
        <w:tc>
          <w:tcPr>
            <w:tcW w:w="3120" w:type="dxa"/>
            <w:tcBorders>
              <w:top w:val="single" w:sz="2" w:space="0" w:color="C9D4E8"/>
              <w:left w:val="single" w:sz="2" w:space="0" w:color="C9D4E8"/>
              <w:bottom w:val="single" w:sz="2" w:space="0" w:color="C9D4E8"/>
              <w:right w:val="single" w:sz="2" w:space="0" w:color="C9D4E8"/>
            </w:tcBorders>
          </w:tcPr>
          <w:p w14:paraId="78F85716" w14:textId="77777777" w:rsidR="004A19CA" w:rsidRDefault="00673B00">
            <w:pPr>
              <w:spacing w:after="0" w:line="259" w:lineRule="auto"/>
              <w:ind w:left="0" w:right="0" w:firstLine="0"/>
              <w:jc w:val="left"/>
            </w:pPr>
            <w:r>
              <w:rPr>
                <w:b/>
                <w:sz w:val="19"/>
              </w:rPr>
              <w:t>$356,000</w:t>
            </w:r>
          </w:p>
        </w:tc>
      </w:tr>
      <w:tr w:rsidR="004A19CA" w14:paraId="58EC1F3F" w14:textId="77777777">
        <w:trPr>
          <w:trHeight w:val="386"/>
        </w:trPr>
        <w:tc>
          <w:tcPr>
            <w:tcW w:w="6240" w:type="dxa"/>
            <w:tcBorders>
              <w:top w:val="single" w:sz="2" w:space="0" w:color="C9D4E8"/>
              <w:left w:val="single" w:sz="2" w:space="0" w:color="C9D4E8"/>
              <w:bottom w:val="single" w:sz="2" w:space="0" w:color="C9D4E8"/>
              <w:right w:val="single" w:sz="2" w:space="0" w:color="C9D4E8"/>
            </w:tcBorders>
          </w:tcPr>
          <w:p w14:paraId="149C7C3A" w14:textId="77777777" w:rsidR="004A19CA" w:rsidRDefault="00673B00">
            <w:pPr>
              <w:spacing w:after="0" w:line="259" w:lineRule="auto"/>
              <w:ind w:left="0" w:right="0" w:firstLine="0"/>
              <w:jc w:val="left"/>
            </w:pPr>
            <w:r>
              <w:rPr>
                <w:b/>
                <w:sz w:val="19"/>
              </w:rPr>
              <w:t>Incremental investment, by model (Section 10)</w:t>
            </w:r>
          </w:p>
        </w:tc>
        <w:tc>
          <w:tcPr>
            <w:tcW w:w="3120" w:type="dxa"/>
            <w:tcBorders>
              <w:top w:val="single" w:sz="2" w:space="0" w:color="C9D4E8"/>
              <w:left w:val="single" w:sz="2" w:space="0" w:color="C9D4E8"/>
              <w:bottom w:val="single" w:sz="2" w:space="0" w:color="C9D4E8"/>
              <w:right w:val="single" w:sz="2" w:space="0" w:color="C9D4E8"/>
            </w:tcBorders>
          </w:tcPr>
          <w:p w14:paraId="52566EF9" w14:textId="77777777" w:rsidR="004A19CA" w:rsidRDefault="00673B00">
            <w:pPr>
              <w:spacing w:after="0" w:line="259" w:lineRule="auto"/>
              <w:ind w:left="0" w:right="0" w:firstLine="0"/>
              <w:jc w:val="left"/>
            </w:pPr>
            <w:r>
              <w:rPr>
                <w:b/>
                <w:sz w:val="19"/>
              </w:rPr>
              <w:t>$5.7K to $178K</w:t>
            </w:r>
          </w:p>
        </w:tc>
      </w:tr>
    </w:tbl>
    <w:p w14:paraId="75779717" w14:textId="77777777" w:rsidR="004A19CA" w:rsidRDefault="00673B00">
      <w:pPr>
        <w:spacing w:after="198" w:line="290" w:lineRule="auto"/>
        <w:ind w:left="-5" w:right="29"/>
        <w:jc w:val="left"/>
      </w:pPr>
      <w:r>
        <w:rPr>
          <w:i/>
          <w:color w:val="595959"/>
          <w:sz w:val="19"/>
        </w:rPr>
        <w:t>Channels 1 through 4 are quantified above with shown arithmetic and conservative inputs grounded in current public-company gross data (Haig Partners, 2026) and NADA 2025 serviceand-parts data (National Automobile Dealers Association, 2025b). Channel 5 and the Loyalty Labor Rate (Section 7) are directional and intentionally unpriced, for the reasons stated in their sections. Under the upside reading of Channel 1, the quantified total approaches $535,000.</w:t>
      </w:r>
    </w:p>
    <w:p w14:paraId="07EC3A15" w14:textId="77777777" w:rsidR="004A19CA" w:rsidRDefault="00673B00">
      <w:pPr>
        <w:spacing w:after="198" w:line="290" w:lineRule="auto"/>
        <w:ind w:left="-5" w:right="29"/>
        <w:jc w:val="left"/>
      </w:pPr>
      <w:r>
        <w:rPr>
          <w:i/>
          <w:color w:val="595959"/>
          <w:sz w:val="19"/>
        </w:rPr>
        <w:t>The cost of inaction is not zero. It is ongoing, compounding, and largely invisible on the P&amp;L, because it shows up as revenue never generated, not as expense incurred.</w:t>
      </w:r>
      <w:r>
        <w:br w:type="page"/>
      </w:r>
    </w:p>
    <w:p w14:paraId="0C7CDA53" w14:textId="77777777" w:rsidR="004A19CA" w:rsidRDefault="00673B00">
      <w:pPr>
        <w:pStyle w:val="Heading1"/>
        <w:ind w:left="-5"/>
      </w:pPr>
      <w:r>
        <w:t>07   The Loyalty Labor Rate: Re-engaging the Dormant Customer Portfolio</w:t>
      </w:r>
    </w:p>
    <w:p w14:paraId="2CD05973" w14:textId="77777777" w:rsidR="004A19CA" w:rsidRDefault="00673B00">
      <w:pPr>
        <w:ind w:left="-5" w:right="9"/>
      </w:pPr>
      <w:r>
        <w:t>Half the DMS is asleep.</w:t>
      </w:r>
    </w:p>
    <w:p w14:paraId="50046C90" w14:textId="77777777" w:rsidR="004A19CA" w:rsidRDefault="00673B00">
      <w:pPr>
        <w:ind w:left="-5" w:right="9"/>
      </w:pPr>
      <w:r>
        <w:t>Not closed. Not lost. Asleep. There is a meaningful distinction. A closed account is gone. A sleeping one is still there, still holding a vehicle, still driving past your building on the way to the shop that won their habit after the warranty ran out. They remember you. They stopped believing you were worth the price difference.</w:t>
      </w:r>
    </w:p>
    <w:p w14:paraId="54C5BDB5" w14:textId="77777777" w:rsidR="004A19CA" w:rsidRDefault="00673B00">
      <w:pPr>
        <w:spacing w:after="260"/>
        <w:ind w:left="-5" w:right="9"/>
      </w:pPr>
      <w:r>
        <w:t>Most dealerships have no idea how many of them there are. Not because the data is unavailable. Because no one built a practice around looking at it. The DMS holds the record. The record holds the history. And the history holds a question most operators have not yet found the discipline to ask. When did they stop coming back? And why has no one called?</w:t>
      </w:r>
    </w:p>
    <w:p w14:paraId="410BAA16" w14:textId="77777777" w:rsidR="004A19CA" w:rsidRDefault="00673B00">
      <w:pPr>
        <w:spacing w:after="269" w:line="261" w:lineRule="auto"/>
        <w:ind w:left="475" w:right="502"/>
        <w:jc w:val="left"/>
      </w:pPr>
      <w:r>
        <w:rPr>
          <w:noProof/>
        </w:rPr>
        <mc:AlternateContent>
          <mc:Choice Requires="wpg">
            <w:drawing>
              <wp:anchor distT="0" distB="0" distL="114300" distR="114300" simplePos="0" relativeHeight="251663360" behindDoc="0" locked="0" layoutInCell="1" allowOverlap="1" wp14:anchorId="46FF4523" wp14:editId="4A0C3072">
                <wp:simplePos x="0" y="0"/>
                <wp:positionH relativeFrom="column">
                  <wp:posOffset>132080</wp:posOffset>
                </wp:positionH>
                <wp:positionV relativeFrom="paragraph">
                  <wp:posOffset>-21098</wp:posOffset>
                </wp:positionV>
                <wp:extent cx="38100" cy="405765"/>
                <wp:effectExtent l="0" t="0" r="0" b="0"/>
                <wp:wrapSquare wrapText="bothSides"/>
                <wp:docPr id="36945" name="Group 36945"/>
                <wp:cNvGraphicFramePr/>
                <a:graphic xmlns:a="http://schemas.openxmlformats.org/drawingml/2006/main">
                  <a:graphicData uri="http://schemas.microsoft.com/office/word/2010/wordprocessingGroup">
                    <wpg:wgp>
                      <wpg:cNvGrpSpPr/>
                      <wpg:grpSpPr>
                        <a:xfrm>
                          <a:off x="0" y="0"/>
                          <a:ext cx="38100" cy="405765"/>
                          <a:chOff x="0" y="0"/>
                          <a:chExt cx="38100" cy="405765"/>
                        </a:xfrm>
                      </wpg:grpSpPr>
                      <wps:wsp>
                        <wps:cNvPr id="1520" name="Shape 1520"/>
                        <wps:cNvSpPr/>
                        <wps:spPr>
                          <a:xfrm>
                            <a:off x="0" y="0"/>
                            <a:ext cx="0" cy="405765"/>
                          </a:xfrm>
                          <a:custGeom>
                            <a:avLst/>
                            <a:gdLst/>
                            <a:ahLst/>
                            <a:cxnLst/>
                            <a:rect l="0" t="0" r="0" b="0"/>
                            <a:pathLst>
                              <a:path h="405765">
                                <a:moveTo>
                                  <a:pt x="0" y="4057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s:wsp>
                        <wps:cNvPr id="1522" name="Shape 1522"/>
                        <wps:cNvSpPr/>
                        <wps:spPr>
                          <a:xfrm>
                            <a:off x="0" y="0"/>
                            <a:ext cx="0" cy="405765"/>
                          </a:xfrm>
                          <a:custGeom>
                            <a:avLst/>
                            <a:gdLst/>
                            <a:ahLst/>
                            <a:cxnLst/>
                            <a:rect l="0" t="0" r="0" b="0"/>
                            <a:pathLst>
                              <a:path h="405765">
                                <a:moveTo>
                                  <a:pt x="0" y="4057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945" style="width:3pt;height:31.95pt;position:absolute;mso-position-horizontal-relative:text;mso-position-horizontal:absolute;margin-left:10.4pt;mso-position-vertical-relative:text;margin-top:-1.66135pt;" coordsize="381,4057">
                <v:shape id="Shape 1520" style="position:absolute;width:0;height:4057;left:0;top:0;" coordsize="0,405765" path="m0,405765l0,0">
                  <v:stroke weight="3pt" endcap="flat" joinstyle="round" on="true" color="#1f3864"/>
                  <v:fill on="false" color="#000000" opacity="0"/>
                </v:shape>
                <v:shape id="Shape 1522" style="position:absolute;width:0;height:4057;left:0;top:0;" coordsize="0,405765" path="m0,405765l0,0">
                  <v:stroke weight="3pt" endcap="flat" joinstyle="round" on="true" color="#1f3864"/>
                  <v:fill on="false" color="#000000" opacity="0"/>
                </v:shape>
                <w10:wrap type="square"/>
              </v:group>
            </w:pict>
          </mc:Fallback>
        </mc:AlternateContent>
      </w:r>
      <w:r>
        <w:rPr>
          <w:i/>
          <w:color w:val="1F3864"/>
          <w:sz w:val="24"/>
        </w:rPr>
        <w:t>The most dangerous customer in a dealership’s database is not the one who complained. It is the one who left without saying a word.</w:t>
      </w:r>
    </w:p>
    <w:p w14:paraId="7788E5F4" w14:textId="77777777" w:rsidR="004A19CA" w:rsidRDefault="00673B00">
      <w:pPr>
        <w:pStyle w:val="Heading2"/>
        <w:ind w:left="-5"/>
      </w:pPr>
      <w:r>
        <w:t>The Fault Line</w:t>
      </w:r>
    </w:p>
    <w:p w14:paraId="59EACB48" w14:textId="77777777" w:rsidR="004A19CA" w:rsidRDefault="00673B00">
      <w:pPr>
        <w:ind w:left="-5" w:right="9"/>
      </w:pPr>
      <w:r>
        <w:t>Geologists use the term creeping fault for a fault line that moves so slowly and so continuously that the stress never accumulates into a single dramatic event. The ground shifts. Structures absorb the movement. Life continues. What a creeping fault produces over time is not a sudden break. It is subsidence. A slow, invisible sinking that does not feel like a crisis until a foundation cracks and everything built on top of it no longer sits level.</w:t>
      </w:r>
    </w:p>
    <w:p w14:paraId="1F857CEC" w14:textId="77777777" w:rsidR="004A19CA" w:rsidRDefault="00673B00">
      <w:pPr>
        <w:ind w:left="-5" w:right="9"/>
      </w:pPr>
      <w:r>
        <w:t>The dormant customer base is the automotive industry’s creeping fault. It does not announce itself. Revenue per repair order is at a record high, and the monthly report presents that as strength. Beneath it, a customer population that once chose this dealership has been quietly reorganizing its habits somewhere else. Not in response to a single unpleasant experience. Because of an accumulation of small moments that were never addressed, followed by the discovery that the shop around the corner was close eno</w:t>
      </w:r>
      <w:r>
        <w:t>ugh, convenient enough, and meaningfully less expensive per hour.</w:t>
      </w:r>
    </w:p>
    <w:p w14:paraId="5F16358F" w14:textId="77777777" w:rsidR="004A19CA" w:rsidRDefault="00673B00">
      <w:pPr>
        <w:ind w:left="-5" w:right="9"/>
      </w:pPr>
      <w:r>
        <w:t>The retention data in Section 3 marks the trajectory: 54 percent of newest-vehicle owners returning, down from 72 percent two years earlier, then the long slide Agero documented to 8 percent by year ten. That attrition is now colliding with a structural shift in how long people hold vehicles. Customers who purchased in 2018 and 2019 are in their seventh and eighth year of ownership, holding vehicles that need increasingly significant work, and having that work performed at independent shops that won them ye</w:t>
      </w:r>
      <w:r>
        <w:t>ars ago. The ground has been shifting the entire time. Most dealerships have not yet felt the crack.</w:t>
      </w:r>
    </w:p>
    <w:p w14:paraId="7211A841" w14:textId="77777777" w:rsidR="004A19CA" w:rsidRDefault="00673B00">
      <w:pPr>
        <w:spacing w:after="269" w:line="261" w:lineRule="auto"/>
        <w:ind w:left="475" w:right="502"/>
        <w:jc w:val="left"/>
      </w:pPr>
      <w:r>
        <w:rPr>
          <w:noProof/>
        </w:rPr>
        <mc:AlternateContent>
          <mc:Choice Requires="wpg">
            <w:drawing>
              <wp:anchor distT="0" distB="0" distL="114300" distR="114300" simplePos="0" relativeHeight="251664384" behindDoc="0" locked="0" layoutInCell="1" allowOverlap="1" wp14:anchorId="50AB725C" wp14:editId="5C4F114E">
                <wp:simplePos x="0" y="0"/>
                <wp:positionH relativeFrom="column">
                  <wp:posOffset>132080</wp:posOffset>
                </wp:positionH>
                <wp:positionV relativeFrom="paragraph">
                  <wp:posOffset>-21098</wp:posOffset>
                </wp:positionV>
                <wp:extent cx="38100" cy="405765"/>
                <wp:effectExtent l="0" t="0" r="0" b="0"/>
                <wp:wrapSquare wrapText="bothSides"/>
                <wp:docPr id="37142" name="Group 37142"/>
                <wp:cNvGraphicFramePr/>
                <a:graphic xmlns:a="http://schemas.openxmlformats.org/drawingml/2006/main">
                  <a:graphicData uri="http://schemas.microsoft.com/office/word/2010/wordprocessingGroup">
                    <wpg:wgp>
                      <wpg:cNvGrpSpPr/>
                      <wpg:grpSpPr>
                        <a:xfrm>
                          <a:off x="0" y="0"/>
                          <a:ext cx="38100" cy="405765"/>
                          <a:chOff x="0" y="0"/>
                          <a:chExt cx="38100" cy="405765"/>
                        </a:xfrm>
                      </wpg:grpSpPr>
                      <wps:wsp>
                        <wps:cNvPr id="1589" name="Shape 1589"/>
                        <wps:cNvSpPr/>
                        <wps:spPr>
                          <a:xfrm>
                            <a:off x="0" y="0"/>
                            <a:ext cx="0" cy="405765"/>
                          </a:xfrm>
                          <a:custGeom>
                            <a:avLst/>
                            <a:gdLst/>
                            <a:ahLst/>
                            <a:cxnLst/>
                            <a:rect l="0" t="0" r="0" b="0"/>
                            <a:pathLst>
                              <a:path h="405765">
                                <a:moveTo>
                                  <a:pt x="0" y="4057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s:wsp>
                        <wps:cNvPr id="1591" name="Shape 1591"/>
                        <wps:cNvSpPr/>
                        <wps:spPr>
                          <a:xfrm>
                            <a:off x="0" y="0"/>
                            <a:ext cx="0" cy="405765"/>
                          </a:xfrm>
                          <a:custGeom>
                            <a:avLst/>
                            <a:gdLst/>
                            <a:ahLst/>
                            <a:cxnLst/>
                            <a:rect l="0" t="0" r="0" b="0"/>
                            <a:pathLst>
                              <a:path h="405765">
                                <a:moveTo>
                                  <a:pt x="0" y="4057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142" style="width:3pt;height:31.95pt;position:absolute;mso-position-horizontal-relative:text;mso-position-horizontal:absolute;margin-left:10.4pt;mso-position-vertical-relative:text;margin-top:-1.66132pt;" coordsize="381,4057">
                <v:shape id="Shape 1589" style="position:absolute;width:0;height:4057;left:0;top:0;" coordsize="0,405765" path="m0,405765l0,0">
                  <v:stroke weight="3pt" endcap="flat" joinstyle="round" on="true" color="#1f3864"/>
                  <v:fill on="false" color="#000000" opacity="0"/>
                </v:shape>
                <v:shape id="Shape 1591" style="position:absolute;width:0;height:4057;left:0;top:0;" coordsize="0,405765" path="m0,405765l0,0">
                  <v:stroke weight="3pt" endcap="flat" joinstyle="round" on="true" color="#1f3864"/>
                  <v:fill on="false" color="#000000" opacity="0"/>
                </v:shape>
                <w10:wrap type="square"/>
              </v:group>
            </w:pict>
          </mc:Fallback>
        </mc:AlternateContent>
      </w:r>
      <w:r>
        <w:rPr>
          <w:i/>
          <w:color w:val="1F3864"/>
          <w:sz w:val="24"/>
        </w:rPr>
        <w:t>This is not a lead problem. It is not a marketing problem. It is a pricing and relationship problem. Both are solvable.</w:t>
      </w:r>
    </w:p>
    <w:p w14:paraId="2A70C8BD" w14:textId="77777777" w:rsidR="004A19CA" w:rsidRDefault="00673B00">
      <w:pPr>
        <w:pStyle w:val="Heading2"/>
        <w:ind w:left="-5"/>
      </w:pPr>
      <w:r>
        <w:t>The Dormant Customer Window: 13 to 96 Months</w:t>
      </w:r>
    </w:p>
    <w:p w14:paraId="43D1CFB4" w14:textId="77777777" w:rsidR="004A19CA" w:rsidRDefault="00673B00">
      <w:pPr>
        <w:ind w:left="-5" w:right="9"/>
      </w:pPr>
      <w:r>
        <w:t>Every store has a number. The number of customers who came through the service drive, completed at least one transaction, and have not returned in over a year. That number is not abstract. It lives in the DMS right now, attached to real names, real vehicles, and a real service history that ends somewhere between 13 and 96 months ago.</w:t>
      </w:r>
    </w:p>
    <w:p w14:paraId="631A0C72" w14:textId="77777777" w:rsidR="004A19CA" w:rsidRDefault="00673B00">
      <w:pPr>
        <w:ind w:left="-5" w:right="9"/>
      </w:pPr>
      <w:r>
        <w:t>Thirteen months is the entry point. It signals a customer who has missed at least one full service cycle and completed at least one visit elsewhere. A habit has formed. It has not hardened. Ninety-six months is the outer boundary. Eight years of service history built elsewhere represents an ownership cycle nearing its end. Beyond that threshold, the customer’s alternative relationship is no longer behavioral. It is structural. The window has closed.</w:t>
      </w:r>
    </w:p>
    <w:p w14:paraId="795C6C5E" w14:textId="77777777" w:rsidR="004A19CA" w:rsidRDefault="00673B00">
      <w:pPr>
        <w:ind w:left="-5" w:right="9"/>
      </w:pPr>
      <w:r>
        <w:t>Between those two points sits the most valuable and most neglected population in fixed operations. Industry analysis suggests dormant customers represent nearly half the total DMS in many stores (Dealership Guy, 2025). Those names are not strangers. They are former customers. The relationship does not need to be rebuilt from the beginning. It needs to be restarted from where it was left.</w:t>
      </w:r>
    </w:p>
    <w:p w14:paraId="69B6551F" w14:textId="77777777" w:rsidR="004A19CA" w:rsidRDefault="00673B00">
      <w:pPr>
        <w:spacing w:after="288"/>
        <w:ind w:left="-5" w:right="9"/>
      </w:pPr>
      <w:r>
        <w:t>The cost asymmetry matters here. NADA data placed the average cost of acquiring a new customer at $633 per new vehicle sold as far back as 2016, against a reengagement cost of under $100 for a customer whose record already lives in the system (National Automobile Dealers Association, 2016). Acquisition costs have only risen since. For a dealership running conquest marketing while a database of former customers sits untouched in the DMS, the priorities are working against the math.</w:t>
      </w:r>
    </w:p>
    <w:p w14:paraId="12EC7396" w14:textId="77777777" w:rsidR="004A19CA" w:rsidRDefault="00673B00">
      <w:pPr>
        <w:pStyle w:val="Heading2"/>
        <w:ind w:left="-5"/>
      </w:pPr>
      <w:r>
        <w:t>The Loyalty Labor Rate</w:t>
      </w:r>
    </w:p>
    <w:p w14:paraId="141AF57F" w14:textId="77777777" w:rsidR="004A19CA" w:rsidRDefault="00673B00">
      <w:pPr>
        <w:ind w:left="-5" w:right="9"/>
      </w:pPr>
      <w:r>
        <w:t>Dealerships carry a posted labor rate built to absorb a specific set of costs: income volatility from flat-rate compensation, diagnostic work that does not fully flag, nonproduction hours, facility overhead, and the premium that comes with factorytrained technicians and OEM tooling. That architecture is sound for the customers already in the drive. It was not designed with the dormant customer in mind. The independent shop runs a leaner model with a posted rate that, in most markets, sits meaningfully below</w:t>
      </w:r>
      <w:r>
        <w:t xml:space="preserve"> the franchised dealership’s. Any operator can verify their local gap in an afternoon. For a customer who left already carrying a cost concern, that gap is enough to keep them from coming back.</w:t>
      </w:r>
    </w:p>
    <w:p w14:paraId="6948BEDC" w14:textId="77777777" w:rsidR="004A19CA" w:rsidRDefault="00673B00">
      <w:pPr>
        <w:ind w:left="-5" w:right="9"/>
      </w:pPr>
      <w:r>
        <w:t>This paper proposes a formally structured pricing tier, a Loyalty Labor Rate, maintained as a permanent part of the service pricing architecture and applied exclusively to customers within the 13-to-96-month dormant window.</w:t>
      </w:r>
    </w:p>
    <w:p w14:paraId="26CEE0D4" w14:textId="77777777" w:rsidR="004A19CA" w:rsidRDefault="00673B00">
      <w:pPr>
        <w:ind w:left="-5" w:right="9"/>
      </w:pPr>
      <w:r>
        <w:t>The Loyalty Labor Rate is not a coupon. Coupons are broadcast. They go to everyone. They train the customer to look for the next one. The Loyalty Labor Rate is exclusive. It is earned by relationship. It exists because a customer has a documented history with this dealership, and that history carries value the store is prepared to recognize.</w:t>
      </w:r>
    </w:p>
    <w:p w14:paraId="6993F5DC" w14:textId="77777777" w:rsidR="004A19CA" w:rsidRDefault="00673B00">
      <w:pPr>
        <w:ind w:left="-5" w:right="9"/>
      </w:pPr>
      <w:r>
        <w:t>The specific rate is a market decision. Cost structure, regional competition, and local pricing conditions vary too much for a single recommendation to serve every operator. What the rate must accomplish is consistent everywhere: it must bring the dealership’s price for this specific segment into competitive alignment with local independents, without reducing the posted rate that active customers see. The rate closes the gap. The gap each operator defines for themselves.</w:t>
      </w:r>
    </w:p>
    <w:p w14:paraId="6C4BF8BF" w14:textId="77777777" w:rsidR="004A19CA" w:rsidRDefault="00673B00">
      <w:pPr>
        <w:spacing w:after="260"/>
        <w:ind w:left="-5" w:right="9"/>
      </w:pPr>
      <w:r>
        <w:t>The behavioral distinction is where the architecture becomes consequential. A customer who returns in response to a price promotion has been trained on price. They will expect the next one. A customer who returns because this dealership reached out personally, recognized them by name and vehicle history, and offered a rate reserved for their relationship has been anchored to something harder to leave. Not a transaction. A restored relationship.</w:t>
      </w:r>
    </w:p>
    <w:p w14:paraId="3992B2F2" w14:textId="77777777" w:rsidR="004A19CA" w:rsidRDefault="00673B00">
      <w:pPr>
        <w:spacing w:after="225" w:line="261" w:lineRule="auto"/>
        <w:ind w:left="475" w:right="502"/>
        <w:jc w:val="left"/>
      </w:pPr>
      <w:r>
        <w:rPr>
          <w:noProof/>
        </w:rPr>
        <mc:AlternateContent>
          <mc:Choice Requires="wpg">
            <w:drawing>
              <wp:anchor distT="0" distB="0" distL="114300" distR="114300" simplePos="0" relativeHeight="251665408" behindDoc="0" locked="0" layoutInCell="1" allowOverlap="1" wp14:anchorId="6057CE07" wp14:editId="2387C394">
                <wp:simplePos x="0" y="0"/>
                <wp:positionH relativeFrom="column">
                  <wp:posOffset>132080</wp:posOffset>
                </wp:positionH>
                <wp:positionV relativeFrom="paragraph">
                  <wp:posOffset>-21098</wp:posOffset>
                </wp:positionV>
                <wp:extent cx="38100" cy="405765"/>
                <wp:effectExtent l="0" t="0" r="0" b="0"/>
                <wp:wrapSquare wrapText="bothSides"/>
                <wp:docPr id="37477" name="Group 37477"/>
                <wp:cNvGraphicFramePr/>
                <a:graphic xmlns:a="http://schemas.openxmlformats.org/drawingml/2006/main">
                  <a:graphicData uri="http://schemas.microsoft.com/office/word/2010/wordprocessingGroup">
                    <wpg:wgp>
                      <wpg:cNvGrpSpPr/>
                      <wpg:grpSpPr>
                        <a:xfrm>
                          <a:off x="0" y="0"/>
                          <a:ext cx="38100" cy="405765"/>
                          <a:chOff x="0" y="0"/>
                          <a:chExt cx="38100" cy="405765"/>
                        </a:xfrm>
                      </wpg:grpSpPr>
                      <wps:wsp>
                        <wps:cNvPr id="1660" name="Shape 1660"/>
                        <wps:cNvSpPr/>
                        <wps:spPr>
                          <a:xfrm>
                            <a:off x="0" y="0"/>
                            <a:ext cx="0" cy="405765"/>
                          </a:xfrm>
                          <a:custGeom>
                            <a:avLst/>
                            <a:gdLst/>
                            <a:ahLst/>
                            <a:cxnLst/>
                            <a:rect l="0" t="0" r="0" b="0"/>
                            <a:pathLst>
                              <a:path h="405765">
                                <a:moveTo>
                                  <a:pt x="0" y="4057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s:wsp>
                        <wps:cNvPr id="1662" name="Shape 1662"/>
                        <wps:cNvSpPr/>
                        <wps:spPr>
                          <a:xfrm>
                            <a:off x="0" y="0"/>
                            <a:ext cx="0" cy="405765"/>
                          </a:xfrm>
                          <a:custGeom>
                            <a:avLst/>
                            <a:gdLst/>
                            <a:ahLst/>
                            <a:cxnLst/>
                            <a:rect l="0" t="0" r="0" b="0"/>
                            <a:pathLst>
                              <a:path h="405765">
                                <a:moveTo>
                                  <a:pt x="0" y="4057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477" style="width:3pt;height:31.95pt;position:absolute;mso-position-horizontal-relative:text;mso-position-horizontal:absolute;margin-left:10.4pt;mso-position-vertical-relative:text;margin-top:-1.66132pt;" coordsize="381,4057">
                <v:shape id="Shape 1660" style="position:absolute;width:0;height:4057;left:0;top:0;" coordsize="0,405765" path="m0,405765l0,0">
                  <v:stroke weight="3pt" endcap="flat" joinstyle="round" on="true" color="#1f3864"/>
                  <v:fill on="false" color="#000000" opacity="0"/>
                </v:shape>
                <v:shape id="Shape 1662" style="position:absolute;width:0;height:4057;left:0;top:0;" coordsize="0,405765" path="m0,405765l0,0">
                  <v:stroke weight="3pt" endcap="flat" joinstyle="round" on="true" color="#1f3864"/>
                  <v:fill on="false" color="#000000" opacity="0"/>
                </v:shape>
                <w10:wrap type="square"/>
              </v:group>
            </w:pict>
          </mc:Fallback>
        </mc:AlternateContent>
      </w:r>
      <w:r>
        <w:rPr>
          <w:i/>
          <w:color w:val="1F3864"/>
          <w:sz w:val="24"/>
        </w:rPr>
        <w:t>This rate is reserved for customers in our service history. It is our way of recognizing that relationship and bringing you home.</w:t>
      </w:r>
    </w:p>
    <w:p w14:paraId="4BE7B59F" w14:textId="77777777" w:rsidR="004A19CA" w:rsidRDefault="00673B00">
      <w:pPr>
        <w:spacing w:after="290"/>
        <w:ind w:left="-5" w:right="9"/>
      </w:pPr>
      <w:r>
        <w:t>That is not a discount. That is a completely different conversation.</w:t>
      </w:r>
    </w:p>
    <w:p w14:paraId="132F6816" w14:textId="77777777" w:rsidR="004A19CA" w:rsidRDefault="00673B00">
      <w:pPr>
        <w:pStyle w:val="Heading2"/>
        <w:ind w:left="-5"/>
      </w:pPr>
      <w:r>
        <w:t>The Portfolio Connection: Models 3 and 5</w:t>
      </w:r>
    </w:p>
    <w:p w14:paraId="1CB8C6DF" w14:textId="77777777" w:rsidR="004A19CA" w:rsidRDefault="00673B00">
      <w:pPr>
        <w:ind w:left="-5" w:right="9"/>
      </w:pPr>
      <w:r>
        <w:t>A pricing tier without outreach is a policy document sitting in a folder. It does nothing until someone picks up the phone. This is where the Portfolio Ownership architecture of Models 3 and 5 becomes the delivery engine the Loyalty Labor Rate requires.</w:t>
      </w:r>
    </w:p>
    <w:p w14:paraId="77B2194C" w14:textId="77777777" w:rsidR="004A19CA" w:rsidRDefault="00673B00">
      <w:pPr>
        <w:ind w:left="-5" w:right="9"/>
      </w:pPr>
      <w:r>
        <w:t>A technician managing a portfolio of 100 to 150 vehicles under Model 5 already holds, inside their downstream metric, a documented picture of which customers should be returning and are not. Return visit rate is not an abstract dashboard number. It is a list of names, attached to vehicles, attached to service histories the technician worked on personally. The downstream premium makes that list financially meaningful. The Loyalty Labor Rate makes it possible to act on. Under Model 3, the same logic runs acro</w:t>
      </w:r>
      <w:r>
        <w:t>ss the cell portfolio of 250 to 350 vehicles with shared accountability: a cell looking at 18 dormant accounts in its combined portfolio is not looking at a marketing problem. It is looking at a retention gap that affects its downstream metric and now has a structured pricing response.</w:t>
      </w:r>
    </w:p>
    <w:p w14:paraId="068172F9" w14:textId="77777777" w:rsidR="004A19CA" w:rsidRDefault="00673B00">
      <w:pPr>
        <w:spacing w:after="262"/>
        <w:ind w:left="-5" w:right="9"/>
      </w:pPr>
      <w:r>
        <w:t>The conversation is not scripted. But it is specific. It sounds like this:</w:t>
      </w:r>
    </w:p>
    <w:p w14:paraId="2F245F66" w14:textId="77777777" w:rsidR="004A19CA" w:rsidRDefault="00673B00">
      <w:pPr>
        <w:spacing w:after="225" w:line="261" w:lineRule="auto"/>
        <w:ind w:left="475" w:right="502"/>
        <w:jc w:val="left"/>
      </w:pPr>
      <w:r>
        <w:rPr>
          <w:noProof/>
        </w:rPr>
        <mc:AlternateContent>
          <mc:Choice Requires="wpg">
            <w:drawing>
              <wp:anchor distT="0" distB="0" distL="114300" distR="114300" simplePos="0" relativeHeight="251666432" behindDoc="0" locked="0" layoutInCell="1" allowOverlap="1" wp14:anchorId="2A66C0DC" wp14:editId="43018553">
                <wp:simplePos x="0" y="0"/>
                <wp:positionH relativeFrom="column">
                  <wp:posOffset>132080</wp:posOffset>
                </wp:positionH>
                <wp:positionV relativeFrom="paragraph">
                  <wp:posOffset>-21098</wp:posOffset>
                </wp:positionV>
                <wp:extent cx="38100" cy="1015365"/>
                <wp:effectExtent l="0" t="0" r="0" b="0"/>
                <wp:wrapSquare wrapText="bothSides"/>
                <wp:docPr id="37413" name="Group 37413"/>
                <wp:cNvGraphicFramePr/>
                <a:graphic xmlns:a="http://schemas.openxmlformats.org/drawingml/2006/main">
                  <a:graphicData uri="http://schemas.microsoft.com/office/word/2010/wordprocessingGroup">
                    <wpg:wgp>
                      <wpg:cNvGrpSpPr/>
                      <wpg:grpSpPr>
                        <a:xfrm>
                          <a:off x="0" y="0"/>
                          <a:ext cx="38100" cy="1015365"/>
                          <a:chOff x="0" y="0"/>
                          <a:chExt cx="38100" cy="1015365"/>
                        </a:xfrm>
                      </wpg:grpSpPr>
                      <wps:wsp>
                        <wps:cNvPr id="1730" name="Shape 1730"/>
                        <wps:cNvSpPr/>
                        <wps:spPr>
                          <a:xfrm>
                            <a:off x="0" y="0"/>
                            <a:ext cx="0" cy="1015365"/>
                          </a:xfrm>
                          <a:custGeom>
                            <a:avLst/>
                            <a:gdLst/>
                            <a:ahLst/>
                            <a:cxnLst/>
                            <a:rect l="0" t="0" r="0" b="0"/>
                            <a:pathLst>
                              <a:path h="1015365">
                                <a:moveTo>
                                  <a:pt x="0" y="10153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s:wsp>
                        <wps:cNvPr id="1732" name="Shape 1732"/>
                        <wps:cNvSpPr/>
                        <wps:spPr>
                          <a:xfrm>
                            <a:off x="0" y="0"/>
                            <a:ext cx="0" cy="1015365"/>
                          </a:xfrm>
                          <a:custGeom>
                            <a:avLst/>
                            <a:gdLst/>
                            <a:ahLst/>
                            <a:cxnLst/>
                            <a:rect l="0" t="0" r="0" b="0"/>
                            <a:pathLst>
                              <a:path h="1015365">
                                <a:moveTo>
                                  <a:pt x="0" y="10153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413" style="width:3pt;height:79.95pt;position:absolute;mso-position-horizontal-relative:text;mso-position-horizontal:absolute;margin-left:10.4pt;mso-position-vertical-relative:text;margin-top:-1.66132pt;" coordsize="381,10153">
                <v:shape id="Shape 1730" style="position:absolute;width:0;height:10153;left:0;top:0;" coordsize="0,1015365" path="m0,1015365l0,0">
                  <v:stroke weight="3pt" endcap="flat" joinstyle="round" on="true" color="#1f3864"/>
                  <v:fill on="false" color="#000000" opacity="0"/>
                </v:shape>
                <v:shape id="Shape 1732" style="position:absolute;width:0;height:10153;left:0;top:0;" coordsize="0,1015365" path="m0,1015365l0,0">
                  <v:stroke weight="3pt" endcap="flat" joinstyle="round" on="true" color="#1f3864"/>
                  <v:fill on="false" color="#000000" opacity="0"/>
                </v:shape>
                <w10:wrap type="square"/>
              </v:group>
            </w:pict>
          </mc:Fallback>
        </mc:AlternateContent>
      </w:r>
      <w:r>
        <w:rPr>
          <w:i/>
          <w:color w:val="1F3864"/>
          <w:sz w:val="24"/>
        </w:rPr>
        <w:t>Mr. Hernandez, this is Marcus. I have been the technician on your Silverado for several years. You have not been in since early 2023, and based on your last service, you are approaching the interval on your transfer case fluid. We have a loyalty rate for customers in our history here. I would like to bring you back in and take care of this.</w:t>
      </w:r>
    </w:p>
    <w:p w14:paraId="216C9496" w14:textId="77777777" w:rsidR="004A19CA" w:rsidRDefault="00673B00">
      <w:pPr>
        <w:spacing w:after="288"/>
        <w:ind w:left="-5" w:right="9"/>
      </w:pPr>
      <w:r>
        <w:t>That call is personal accountability reaching through a phone line. It references the vehicle by name. It identifies a specific service need. It comes from someone who has worked on that truck and whose pay structure gives them a reason to care whether it comes back. The Loyalty Labor Rate gives the conversation an offer the independent shop down the road cannot match: the credentials, the OEM diagnostic capability, the institutional service knowledge, and a rate designed to remove the one objection that ke</w:t>
      </w:r>
      <w:r>
        <w:t>pt this customer away. The downstream metric captures the return. The DMS records the visit. The technician’s compensation reflects the outcome. The Loyalty Labor Rate does not live outside the pay architecture this paper proposes. It lives inside it.</w:t>
      </w:r>
    </w:p>
    <w:p w14:paraId="5D8D11BC" w14:textId="77777777" w:rsidR="004A19CA" w:rsidRDefault="00673B00">
      <w:pPr>
        <w:pStyle w:val="Heading2"/>
        <w:ind w:left="-5"/>
      </w:pPr>
      <w:r>
        <w:t>The Compounding Case</w:t>
      </w:r>
    </w:p>
    <w:p w14:paraId="07EE51EF" w14:textId="77777777" w:rsidR="004A19CA" w:rsidRDefault="00673B00">
      <w:pPr>
        <w:ind w:left="-5" w:right="9"/>
      </w:pPr>
      <w:r>
        <w:t>This section carries no specific dollar figure, deliberately. The margin difference between the Loyalty Rate and the standard posted rate varies by market, by operator, and by the service mix a returning customer brings. A single projection would overstate the precision and understate the variability. Neither serves the operator making this decision.</w:t>
      </w:r>
    </w:p>
    <w:p w14:paraId="5CCA023B" w14:textId="77777777" w:rsidR="004A19CA" w:rsidRDefault="00673B00">
      <w:pPr>
        <w:ind w:left="-5" w:right="9"/>
      </w:pPr>
      <w:r>
        <w:t>What can be stated without qualification: a dormant customer who returns through the Loyalty Labor Rate brings repair order revenue that was generating nothing before the call was made. A customer who returns twice a year compounds across the portfolio over the five-plus remaining years of the average ownership window. Then layer in the repurchase effect documented in Channel 1. The Loyalty Labor Rate is not only a fixed-operations recovery tool. It is a variable-operations feeder. Every dormant customer re</w:t>
      </w:r>
      <w:r>
        <w:t>covered in the service drive is a future vehicle sale that would not have happened if the call were never made.</w:t>
      </w:r>
    </w:p>
    <w:p w14:paraId="4CC48B6B" w14:textId="77777777" w:rsidR="004A19CA" w:rsidRDefault="00673B00">
      <w:pPr>
        <w:ind w:left="-5" w:right="9"/>
      </w:pPr>
      <w:r>
        <w:t>The fault line does not have to release. But it will not close on its own. Closing it requires a pricing tier the DMS can operationalize, a pay architecture that gives the technician a financial reason to make the call, and a leadership decision to treat the dormant customer not as a closed account but as a recoverable relationship the dealership already earned.</w:t>
      </w:r>
    </w:p>
    <w:p w14:paraId="2B25569F" w14:textId="77777777" w:rsidR="004A19CA" w:rsidRDefault="00673B00">
      <w:pPr>
        <w:spacing w:after="225" w:line="261" w:lineRule="auto"/>
        <w:ind w:left="475" w:right="502"/>
        <w:jc w:val="left"/>
      </w:pPr>
      <w:r>
        <w:rPr>
          <w:noProof/>
        </w:rPr>
        <mc:AlternateContent>
          <mc:Choice Requires="wpg">
            <w:drawing>
              <wp:anchor distT="0" distB="0" distL="114300" distR="114300" simplePos="0" relativeHeight="251667456" behindDoc="0" locked="0" layoutInCell="1" allowOverlap="1" wp14:anchorId="2C648CFB" wp14:editId="28814C22">
                <wp:simplePos x="0" y="0"/>
                <wp:positionH relativeFrom="column">
                  <wp:posOffset>132080</wp:posOffset>
                </wp:positionH>
                <wp:positionV relativeFrom="paragraph">
                  <wp:posOffset>-21098</wp:posOffset>
                </wp:positionV>
                <wp:extent cx="38100" cy="608965"/>
                <wp:effectExtent l="0" t="0" r="0" b="0"/>
                <wp:wrapSquare wrapText="bothSides"/>
                <wp:docPr id="37298" name="Group 37298"/>
                <wp:cNvGraphicFramePr/>
                <a:graphic xmlns:a="http://schemas.openxmlformats.org/drawingml/2006/main">
                  <a:graphicData uri="http://schemas.microsoft.com/office/word/2010/wordprocessingGroup">
                    <wpg:wgp>
                      <wpg:cNvGrpSpPr/>
                      <wpg:grpSpPr>
                        <a:xfrm>
                          <a:off x="0" y="0"/>
                          <a:ext cx="38100" cy="608965"/>
                          <a:chOff x="0" y="0"/>
                          <a:chExt cx="38100" cy="608965"/>
                        </a:xfrm>
                      </wpg:grpSpPr>
                      <wps:wsp>
                        <wps:cNvPr id="1742" name="Shape 1742"/>
                        <wps:cNvSpPr/>
                        <wps:spPr>
                          <a:xfrm>
                            <a:off x="0" y="0"/>
                            <a:ext cx="0" cy="608965"/>
                          </a:xfrm>
                          <a:custGeom>
                            <a:avLst/>
                            <a:gdLst/>
                            <a:ahLst/>
                            <a:cxnLst/>
                            <a:rect l="0" t="0" r="0" b="0"/>
                            <a:pathLst>
                              <a:path h="608965">
                                <a:moveTo>
                                  <a:pt x="0" y="6089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s:wsp>
                        <wps:cNvPr id="1744" name="Shape 1744"/>
                        <wps:cNvSpPr/>
                        <wps:spPr>
                          <a:xfrm>
                            <a:off x="0" y="0"/>
                            <a:ext cx="0" cy="608965"/>
                          </a:xfrm>
                          <a:custGeom>
                            <a:avLst/>
                            <a:gdLst/>
                            <a:ahLst/>
                            <a:cxnLst/>
                            <a:rect l="0" t="0" r="0" b="0"/>
                            <a:pathLst>
                              <a:path h="608965">
                                <a:moveTo>
                                  <a:pt x="0" y="6089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298" style="width:3pt;height:47.95pt;position:absolute;mso-position-horizontal-relative:text;mso-position-horizontal:absolute;margin-left:10.4pt;mso-position-vertical-relative:text;margin-top:-1.66132pt;" coordsize="381,6089">
                <v:shape id="Shape 1742" style="position:absolute;width:0;height:6089;left:0;top:0;" coordsize="0,608965" path="m0,608965l0,0">
                  <v:stroke weight="3pt" endcap="flat" joinstyle="round" on="true" color="#1f3864"/>
                  <v:fill on="false" color="#000000" opacity="0"/>
                </v:shape>
                <v:shape id="Shape 1744" style="position:absolute;width:0;height:6089;left:0;top:0;" coordsize="0,608965" path="m0,608965l0,0">
                  <v:stroke weight="3pt" endcap="flat" joinstyle="round" on="true" color="#1f3864"/>
                  <v:fill on="false" color="#000000" opacity="0"/>
                </v:shape>
                <w10:wrap type="square"/>
              </v:group>
            </w:pict>
          </mc:Fallback>
        </mc:AlternateContent>
      </w:r>
      <w:r>
        <w:rPr>
          <w:i/>
          <w:color w:val="1F3864"/>
          <w:sz w:val="24"/>
        </w:rPr>
        <w:t>The most efficient growth available to a dealership today is not a new name on a conquest list. It is the right call to the right person in the right window. The data already knows who they are.</w:t>
      </w:r>
    </w:p>
    <w:p w14:paraId="5278E7EE" w14:textId="77777777" w:rsidR="004A19CA" w:rsidRDefault="00673B00">
      <w:pPr>
        <w:ind w:left="-5" w:right="9"/>
      </w:pPr>
      <w:r>
        <w:t>What remains is the decision to act on it.</w:t>
      </w:r>
      <w:r>
        <w:br w:type="page"/>
      </w:r>
    </w:p>
    <w:p w14:paraId="03666AF5" w14:textId="77777777" w:rsidR="004A19CA" w:rsidRDefault="00673B00">
      <w:pPr>
        <w:pStyle w:val="Heading1"/>
        <w:ind w:left="-5"/>
      </w:pPr>
      <w:r>
        <w:t xml:space="preserve">08   The Other Side of the Counter: Challenging </w:t>
      </w:r>
    </w:p>
    <w:p w14:paraId="0B21F626" w14:textId="77777777" w:rsidR="004A19CA" w:rsidRDefault="00673B00">
      <w:pPr>
        <w:spacing w:after="157" w:line="231" w:lineRule="auto"/>
        <w:ind w:left="-5" w:right="0"/>
        <w:jc w:val="left"/>
      </w:pPr>
      <w:r>
        <w:rPr>
          <w:b/>
          <w:color w:val="1F3864"/>
          <w:sz w:val="34"/>
        </w:rPr>
        <w:t>the Advisor Pay Structure</w:t>
      </w:r>
    </w:p>
    <w:p w14:paraId="30ECCBAC" w14:textId="77777777" w:rsidR="004A19CA" w:rsidRDefault="00673B00">
      <w:pPr>
        <w:ind w:left="-5" w:right="9"/>
      </w:pPr>
      <w:r>
        <w:t>Five channels and a recovery mechanism. One structural blind spot.</w:t>
      </w:r>
    </w:p>
    <w:p w14:paraId="074E6459" w14:textId="77777777" w:rsidR="004A19CA" w:rsidRDefault="00673B00">
      <w:pPr>
        <w:ind w:left="-5" w:right="9"/>
      </w:pPr>
      <w:r>
        <w:t>Every dollar in the investment analysis above traces to a customer who returns. A customer who returns for service. A customer who trusts the recommendation they receive when they do. A customer who becomes, over time, the kind of relationship that drives repurchase, referral, and the retention that protects gross when newvehicle margins compress. That customer is not won in the bay. They are won at the counter.</w:t>
      </w:r>
    </w:p>
    <w:p w14:paraId="656C5C28" w14:textId="77777777" w:rsidR="004A19CA" w:rsidRDefault="00673B00">
      <w:pPr>
        <w:ind w:left="-5" w:right="9"/>
      </w:pPr>
      <w:r>
        <w:t>The service advisor is the dealership’s most consequential customer-facing position. Not by volume. Not by reputation. By placement. The customer who arrives at the service drive has one direct human interaction before the technician’s work begins and one after it ends. Both belong to the advisor. The recommendation to approve or decline. The explanation of what was found and why it matters. The moment that determines whether the customer leaves feeling served or sold. These live entirely at the advisor’s d</w:t>
      </w:r>
      <w:r>
        <w:t>esk. The pay structure governing that desk has not been part of this conversation. It should be.</w:t>
      </w:r>
    </w:p>
    <w:p w14:paraId="091862B8" w14:textId="77777777" w:rsidR="004A19CA" w:rsidRDefault="00673B00">
      <w:pPr>
        <w:spacing w:after="288"/>
        <w:ind w:left="-5" w:right="9"/>
      </w:pPr>
      <w:r>
        <w:t>The advisor’s job has changed underneath the pay plan that still governs it. The work is no longer a transaction at a counter. It is a consultation. The advisor translates a technician’s findings into language a worried customer can act on, manages a queue that never stops moving, and carries a number on customer-pay sales the entire time. The role now asks for trust and bills for gross. Those two demands do not always point in the same direction.</w:t>
      </w:r>
    </w:p>
    <w:p w14:paraId="078FEDCF" w14:textId="77777777" w:rsidR="004A19CA" w:rsidRDefault="00673B00">
      <w:pPr>
        <w:pStyle w:val="Heading2"/>
        <w:ind w:left="-5"/>
      </w:pPr>
      <w:r>
        <w:t>The Gross Incentive and the Trust Deficit</w:t>
      </w:r>
    </w:p>
    <w:p w14:paraId="37A2E42F" w14:textId="77777777" w:rsidR="004A19CA" w:rsidRDefault="00673B00">
      <w:pPr>
        <w:ind w:left="-5" w:right="9"/>
      </w:pPr>
      <w:r>
        <w:t>The standard service advisor pay plan ties a substantial share of compensation to gross profit on customer-pay work, typically structured around hours per repair order, customer-pay sales, and effective labor rate. That architecture was designed to maximize what happens inside a single visit. It accomplishes that. What it does not accomplish is creating any financial stake in whether the customer comes back for the next one.</w:t>
      </w:r>
    </w:p>
    <w:p w14:paraId="7F18AB93" w14:textId="77777777" w:rsidR="004A19CA" w:rsidRDefault="00673B00">
      <w:pPr>
        <w:ind w:left="-5" w:right="9"/>
      </w:pPr>
      <w:r>
        <w:t>An advisor compensated on per-transaction gross carries a structurally different set of interests than the customer across the counter. The customer wants honest prioritization, fair pricing, and confidence they are not being oversold. The advisor’s income grows when the repair order grows. The customer senses the difference. Behavioral research is consistent on what happens when people suspect that advice is shaped by the advisor’s financial interest rather than their own: trust erodes before the first rec</w:t>
      </w:r>
      <w:r>
        <w:t>ommendation is made (Ariely et al., 2009).</w:t>
      </w:r>
    </w:p>
    <w:p w14:paraId="707B11B2" w14:textId="77777777" w:rsidR="004A19CA" w:rsidRDefault="00673B00">
      <w:pPr>
        <w:spacing w:after="288"/>
        <w:ind w:left="-5" w:right="9"/>
      </w:pPr>
      <w:r>
        <w:t xml:space="preserve">The consequence of that erosion is not dramatic. The customer does not argue. They approve the minimum, pay the invoice, and drive to the independent shop for the next visit. The advisor never knows why. The DMS records the departure as normal variation. Nothing in the compensation model registers the loss. Nothing was designed to. This is the same invisible attrition documented throughout this paper, and it has the same root cause: a compensation structure designed for transaction volume, not relationship </w:t>
      </w:r>
      <w:r>
        <w:t>depth.</w:t>
      </w:r>
    </w:p>
    <w:p w14:paraId="3C62DE10" w14:textId="77777777" w:rsidR="004A19CA" w:rsidRDefault="00673B00">
      <w:pPr>
        <w:pStyle w:val="Heading2"/>
        <w:ind w:left="-5"/>
      </w:pPr>
      <w:r>
        <w:t>The Loyalty Labor Rate Exposes the Misalignment</w:t>
      </w:r>
    </w:p>
    <w:p w14:paraId="37EDE427" w14:textId="77777777" w:rsidR="004A19CA" w:rsidRDefault="00673B00">
      <w:pPr>
        <w:ind w:left="-5" w:right="9"/>
      </w:pPr>
      <w:r>
        <w:t>Consider what a dormant customer carries into their first visit back under the Section 7 program. They left because something broke in the value equation. They return because a technician they remember reached out personally with an offer that felt honest. They arrive carrying a specific vulnerability: a willingness to try again, paired with a clear threshold for what would confirm their original decision to leave.</w:t>
      </w:r>
    </w:p>
    <w:p w14:paraId="3C568BED" w14:textId="77777777" w:rsidR="004A19CA" w:rsidRDefault="00673B00">
      <w:pPr>
        <w:spacing w:after="260"/>
        <w:ind w:left="-5" w:right="9"/>
      </w:pPr>
      <w:r>
        <w:t xml:space="preserve">The advisor who greets them is paid on gross. The Loyalty Labor Rate has already reduced the gross on this visit. The advisor’s financial interest in this transaction is structurally lower than on a standard posted-rate visit. If the advisor’s behavior reflects that even slightly, if the recommendation lands one degree more aggressively than the customer anticipated, if the welcome does not match the warmth of the technician’s phone call, the dormant customer leaves with a confirmed belief: this dealership </w:t>
      </w:r>
      <w:r>
        <w:t>has not changed. The independent shop sees them next month. The fault line holds.</w:t>
      </w:r>
    </w:p>
    <w:p w14:paraId="5F42E22E" w14:textId="77777777" w:rsidR="004A19CA" w:rsidRDefault="00673B00">
      <w:pPr>
        <w:spacing w:after="269" w:line="261" w:lineRule="auto"/>
        <w:ind w:left="475" w:right="502"/>
        <w:jc w:val="left"/>
      </w:pPr>
      <w:r>
        <w:rPr>
          <w:noProof/>
        </w:rPr>
        <mc:AlternateContent>
          <mc:Choice Requires="wpg">
            <w:drawing>
              <wp:anchor distT="0" distB="0" distL="114300" distR="114300" simplePos="0" relativeHeight="251668480" behindDoc="0" locked="0" layoutInCell="1" allowOverlap="1" wp14:anchorId="03526AC1" wp14:editId="0BD61CA6">
                <wp:simplePos x="0" y="0"/>
                <wp:positionH relativeFrom="column">
                  <wp:posOffset>132080</wp:posOffset>
                </wp:positionH>
                <wp:positionV relativeFrom="paragraph">
                  <wp:posOffset>-21098</wp:posOffset>
                </wp:positionV>
                <wp:extent cx="38100" cy="608965"/>
                <wp:effectExtent l="0" t="0" r="0" b="0"/>
                <wp:wrapSquare wrapText="bothSides"/>
                <wp:docPr id="36633" name="Group 36633"/>
                <wp:cNvGraphicFramePr/>
                <a:graphic xmlns:a="http://schemas.openxmlformats.org/drawingml/2006/main">
                  <a:graphicData uri="http://schemas.microsoft.com/office/word/2010/wordprocessingGroup">
                    <wpg:wgp>
                      <wpg:cNvGrpSpPr/>
                      <wpg:grpSpPr>
                        <a:xfrm>
                          <a:off x="0" y="0"/>
                          <a:ext cx="38100" cy="608965"/>
                          <a:chOff x="0" y="0"/>
                          <a:chExt cx="38100" cy="608965"/>
                        </a:xfrm>
                      </wpg:grpSpPr>
                      <wps:wsp>
                        <wps:cNvPr id="1890" name="Shape 1890"/>
                        <wps:cNvSpPr/>
                        <wps:spPr>
                          <a:xfrm>
                            <a:off x="0" y="0"/>
                            <a:ext cx="0" cy="608965"/>
                          </a:xfrm>
                          <a:custGeom>
                            <a:avLst/>
                            <a:gdLst/>
                            <a:ahLst/>
                            <a:cxnLst/>
                            <a:rect l="0" t="0" r="0" b="0"/>
                            <a:pathLst>
                              <a:path h="608965">
                                <a:moveTo>
                                  <a:pt x="0" y="6089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s:wsp>
                        <wps:cNvPr id="1892" name="Shape 1892"/>
                        <wps:cNvSpPr/>
                        <wps:spPr>
                          <a:xfrm>
                            <a:off x="0" y="0"/>
                            <a:ext cx="0" cy="608965"/>
                          </a:xfrm>
                          <a:custGeom>
                            <a:avLst/>
                            <a:gdLst/>
                            <a:ahLst/>
                            <a:cxnLst/>
                            <a:rect l="0" t="0" r="0" b="0"/>
                            <a:pathLst>
                              <a:path h="608965">
                                <a:moveTo>
                                  <a:pt x="0" y="6089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633" style="width:3pt;height:47.95pt;position:absolute;mso-position-horizontal-relative:text;mso-position-horizontal:absolute;margin-left:10.4pt;mso-position-vertical-relative:text;margin-top:-1.66135pt;" coordsize="381,6089">
                <v:shape id="Shape 1890" style="position:absolute;width:0;height:6089;left:0;top:0;" coordsize="0,608965" path="m0,608965l0,0">
                  <v:stroke weight="3pt" endcap="flat" joinstyle="round" on="true" color="#1f3864"/>
                  <v:fill on="false" color="#000000" opacity="0"/>
                </v:shape>
                <v:shape id="Shape 1892" style="position:absolute;width:0;height:6089;left:0;top:0;" coordsize="0,608965" path="m0,608965l0,0">
                  <v:stroke weight="3pt" endcap="flat" joinstyle="round" on="true" color="#1f3864"/>
                  <v:fill on="false" color="#000000" opacity="0"/>
                </v:shape>
                <w10:wrap type="square"/>
              </v:group>
            </w:pict>
          </mc:Fallback>
        </mc:AlternateContent>
      </w:r>
      <w:r>
        <w:rPr>
          <w:i/>
          <w:color w:val="1F3864"/>
          <w:sz w:val="24"/>
        </w:rPr>
        <w:t>The Loyalty Labor Rate recovers the repair order. The advisor’s compensation model can prevent it from recovering the relationship.</w:t>
      </w:r>
    </w:p>
    <w:p w14:paraId="23EBEBCF" w14:textId="77777777" w:rsidR="004A19CA" w:rsidRDefault="00673B00">
      <w:pPr>
        <w:pStyle w:val="Heading2"/>
        <w:ind w:left="-5"/>
      </w:pPr>
      <w:r>
        <w:t>The Engagement Share Model</w:t>
      </w:r>
    </w:p>
    <w:p w14:paraId="2CC229A9" w14:textId="77777777" w:rsidR="004A19CA" w:rsidRDefault="00673B00">
      <w:pPr>
        <w:ind w:left="-5" w:right="9"/>
      </w:pPr>
      <w:r>
        <w:t>This paper does not prescribe a specific advisor pay plan. That decision belongs to the operator and the economics of their store. What this paper argues is that any dealership implementing the technician reforms in Section 9 should simultaneously examine whether the advisor’s pay structure reinforces or undermines those reforms at the customer level. The question is specific: does the advisor have any financial stake in the return visit? Under the current gross-based model, the honest answer is no. A rebal</w:t>
      </w:r>
      <w:r>
        <w:t>anced engagement model introduces three dimensions the gross incentive cannot capture.</w:t>
      </w:r>
    </w:p>
    <w:p w14:paraId="2FC4FA7C" w14:textId="77777777" w:rsidR="004A19CA" w:rsidRDefault="00673B00">
      <w:pPr>
        <w:ind w:left="-5" w:right="9"/>
      </w:pPr>
      <w:r>
        <w:rPr>
          <w:b/>
        </w:rPr>
        <w:t>Return visit rate.</w:t>
      </w:r>
      <w:r>
        <w:t xml:space="preserve"> The percentage of an advisor’s customer base that returns for service within 12 months. This is traceable in the DMS and attributable to the advisor. Cox Automotive (2026b) estimates each lost service customer costs the dealership roughly $12,000 across the ownership period. An advisor running above the store’s return-rate target has built something measurable. An advisor running below it has a retention gap that is currently invisible to their pay. Making it visible changes the behavior.</w:t>
      </w:r>
    </w:p>
    <w:p w14:paraId="32CA2277" w14:textId="77777777" w:rsidR="004A19CA" w:rsidRDefault="00673B00">
      <w:pPr>
        <w:ind w:left="-5" w:right="9"/>
      </w:pPr>
      <w:r>
        <w:rPr>
          <w:b/>
        </w:rPr>
        <w:t>Dormant customer recovery participation.</w:t>
      </w:r>
      <w:r>
        <w:t xml:space="preserve"> A structured bonus component tied to reactivated dormant accounts within the advisor’s base. When a customer in the 13-to-96-month window returns under the Loyalty Labor Rate and continues the relationship beyond that first visit, the advisor who managed the re-engagement receives a participation credit. This creates a direct financial reason to support the recovery effort rather than treat a lower-gross visit as a transaction to minimize.</w:t>
      </w:r>
    </w:p>
    <w:p w14:paraId="0F990AA5" w14:textId="77777777" w:rsidR="004A19CA" w:rsidRDefault="00673B00">
      <w:pPr>
        <w:ind w:left="-5" w:right="9"/>
      </w:pPr>
      <w:r>
        <w:rPr>
          <w:b/>
        </w:rPr>
        <w:t>Relationship tenure.</w:t>
      </w:r>
      <w:r>
        <w:t xml:space="preserve"> A component that increases advisor compensation with the number of customers in their base who have maintained a continuous service relationship for 24 months or more. This rewards the behavior the entire model depends on: advisors who develop lasting relationships rather than optimizing each visit in isolation. McKinsey’s analysis of dealer service operations identifies adjusting incentive models to encourage desired behaviors as a primary lever for both conversion and long-term retention (McKinsey &amp; Comp</w:t>
      </w:r>
      <w:r>
        <w:t>any, 2025).</w:t>
      </w:r>
    </w:p>
    <w:p w14:paraId="7D3A267E" w14:textId="77777777" w:rsidR="004A19CA" w:rsidRDefault="00673B00">
      <w:pPr>
        <w:spacing w:after="288"/>
        <w:ind w:left="-5" w:right="9"/>
      </w:pPr>
      <w:r>
        <w:t>The share is not complex in principle: the advisor participates in the value of the relationships they build, not only in the value of the transactions they close. The exact weighting is an operator decision. The direction is not.</w:t>
      </w:r>
    </w:p>
    <w:p w14:paraId="3AE3A5B6" w14:textId="77777777" w:rsidR="004A19CA" w:rsidRDefault="00673B00">
      <w:pPr>
        <w:pStyle w:val="Heading2"/>
        <w:ind w:left="-5"/>
      </w:pPr>
      <w:r>
        <w:t>Why This Challenge Belongs Here</w:t>
      </w:r>
    </w:p>
    <w:p w14:paraId="4A590D5C" w14:textId="77777777" w:rsidR="004A19CA" w:rsidRDefault="00673B00">
      <w:pPr>
        <w:ind w:left="-5" w:right="9"/>
      </w:pPr>
      <w:r>
        <w:t>The quantified channels in Section 6 represent $356,000 in conservative annual impact. That number rests entirely on a customer who feels well enough served to return. The technician reforms create the conditions for better technical outcomes. The Loyalty Labor Rate creates the pricing mechanism to recover dormant relationships. The advisor engagement model creates the human experience that makes both investments worth something to the customer, who decides each year whether this dealership deserves their c</w:t>
      </w:r>
      <w:r>
        <w:t>ontinued trust.</w:t>
      </w:r>
    </w:p>
    <w:p w14:paraId="55625EE2" w14:textId="77777777" w:rsidR="004A19CA" w:rsidRDefault="00673B00">
      <w:pPr>
        <w:spacing w:after="260"/>
        <w:ind w:left="-5" w:right="9"/>
      </w:pPr>
      <w:r>
        <w:t>The service department contributes up to 49 percent of a dealership’s total gross profit (National Automobile Dealers Association, 2024). That concentration of value passes through the advisor’s desk on its way to the bottom line. A compensation model for the most consequential customer-facing position in the building that carries no financial stake in retention is not a minor oversight. It is a structural misalignment operating at the center of the dealership’s most important asset.</w:t>
      </w:r>
    </w:p>
    <w:p w14:paraId="39DEE37C" w14:textId="77777777" w:rsidR="004A19CA" w:rsidRDefault="00673B00">
      <w:pPr>
        <w:spacing w:after="225" w:line="261" w:lineRule="auto"/>
        <w:ind w:left="475" w:right="502"/>
        <w:jc w:val="left"/>
      </w:pPr>
      <w:r>
        <w:rPr>
          <w:noProof/>
        </w:rPr>
        <mc:AlternateContent>
          <mc:Choice Requires="wpg">
            <w:drawing>
              <wp:anchor distT="0" distB="0" distL="114300" distR="114300" simplePos="0" relativeHeight="251669504" behindDoc="0" locked="0" layoutInCell="1" allowOverlap="1" wp14:anchorId="3015B811" wp14:editId="4C4331A4">
                <wp:simplePos x="0" y="0"/>
                <wp:positionH relativeFrom="column">
                  <wp:posOffset>132080</wp:posOffset>
                </wp:positionH>
                <wp:positionV relativeFrom="paragraph">
                  <wp:posOffset>-21098</wp:posOffset>
                </wp:positionV>
                <wp:extent cx="38100" cy="405765"/>
                <wp:effectExtent l="0" t="0" r="0" b="0"/>
                <wp:wrapSquare wrapText="bothSides"/>
                <wp:docPr id="36839" name="Group 36839"/>
                <wp:cNvGraphicFramePr/>
                <a:graphic xmlns:a="http://schemas.openxmlformats.org/drawingml/2006/main">
                  <a:graphicData uri="http://schemas.microsoft.com/office/word/2010/wordprocessingGroup">
                    <wpg:wgp>
                      <wpg:cNvGrpSpPr/>
                      <wpg:grpSpPr>
                        <a:xfrm>
                          <a:off x="0" y="0"/>
                          <a:ext cx="38100" cy="405765"/>
                          <a:chOff x="0" y="0"/>
                          <a:chExt cx="38100" cy="405765"/>
                        </a:xfrm>
                      </wpg:grpSpPr>
                      <wps:wsp>
                        <wps:cNvPr id="1963" name="Shape 1963"/>
                        <wps:cNvSpPr/>
                        <wps:spPr>
                          <a:xfrm>
                            <a:off x="0" y="0"/>
                            <a:ext cx="0" cy="405765"/>
                          </a:xfrm>
                          <a:custGeom>
                            <a:avLst/>
                            <a:gdLst/>
                            <a:ahLst/>
                            <a:cxnLst/>
                            <a:rect l="0" t="0" r="0" b="0"/>
                            <a:pathLst>
                              <a:path h="405765">
                                <a:moveTo>
                                  <a:pt x="0" y="4057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s:wsp>
                        <wps:cNvPr id="1965" name="Shape 1965"/>
                        <wps:cNvSpPr/>
                        <wps:spPr>
                          <a:xfrm>
                            <a:off x="0" y="0"/>
                            <a:ext cx="0" cy="405765"/>
                          </a:xfrm>
                          <a:custGeom>
                            <a:avLst/>
                            <a:gdLst/>
                            <a:ahLst/>
                            <a:cxnLst/>
                            <a:rect l="0" t="0" r="0" b="0"/>
                            <a:pathLst>
                              <a:path h="405765">
                                <a:moveTo>
                                  <a:pt x="0" y="4057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839" style="width:3pt;height:31.95pt;position:absolute;mso-position-horizontal-relative:text;mso-position-horizontal:absolute;margin-left:10.4pt;mso-position-vertical-relative:text;margin-top:-1.66132pt;" coordsize="381,4057">
                <v:shape id="Shape 1963" style="position:absolute;width:0;height:4057;left:0;top:0;" coordsize="0,405765" path="m0,405765l0,0">
                  <v:stroke weight="3pt" endcap="flat" joinstyle="round" on="true" color="#1f3864"/>
                  <v:fill on="false" color="#000000" opacity="0"/>
                </v:shape>
                <v:shape id="Shape 1965" style="position:absolute;width:0;height:4057;left:0;top:0;" coordsize="0,405765" path="m0,405765l0,0">
                  <v:stroke weight="3pt" endcap="flat" joinstyle="round" on="true" color="#1f3864"/>
                  <v:fill on="false" color="#000000" opacity="0"/>
                </v:shape>
                <w10:wrap type="square"/>
              </v:group>
            </w:pict>
          </mc:Fallback>
        </mc:AlternateContent>
      </w:r>
      <w:r>
        <w:rPr>
          <w:i/>
          <w:color w:val="1F3864"/>
          <w:sz w:val="24"/>
        </w:rPr>
        <w:t>You cannot build a retention strategy on a compensation model that rewards each visit as if it were the last one.</w:t>
      </w:r>
    </w:p>
    <w:p w14:paraId="36C9EEA7" w14:textId="77777777" w:rsidR="004A19CA" w:rsidRDefault="00673B00">
      <w:pPr>
        <w:ind w:left="-5" w:right="9"/>
      </w:pPr>
      <w:r>
        <w:t>The technician’s flag is not the only compensation model that needs rethinking. The desk does too.</w:t>
      </w:r>
    </w:p>
    <w:p w14:paraId="7BD55801" w14:textId="77777777" w:rsidR="004A19CA" w:rsidRDefault="00673B00">
      <w:pPr>
        <w:pStyle w:val="Heading1"/>
        <w:ind w:left="-5"/>
      </w:pPr>
      <w:r>
        <w:t>09   Five Compensation Models: A Balanced Analysis</w:t>
      </w:r>
    </w:p>
    <w:p w14:paraId="429E0850" w14:textId="77777777" w:rsidR="004A19CA" w:rsidRDefault="00673B00">
      <w:pPr>
        <w:spacing w:after="345" w:line="290" w:lineRule="auto"/>
        <w:ind w:left="-5" w:right="29"/>
        <w:jc w:val="left"/>
      </w:pPr>
      <w:r>
        <w:rPr>
          <w:i/>
          <w:color w:val="595959"/>
          <w:sz w:val="19"/>
        </w:rPr>
        <w:t>A note on framing. Each model is presented with its structural design, behavioral rationale, and a balanced assessment. No single model is universally correct. The aim is to give dealer principals and fixed operations directors an evaluative framework grounded in compensation design, motivation research, and team-effectiveness literature (Hackman, 2002; Pink, 2009; Google re:Work Editorial Team, 2015).</w:t>
      </w:r>
    </w:p>
    <w:p w14:paraId="43B1B8E8" w14:textId="77777777" w:rsidR="004A19CA" w:rsidRDefault="00673B00">
      <w:pPr>
        <w:pStyle w:val="Heading2"/>
        <w:pBdr>
          <w:top w:val="single" w:sz="2" w:space="0" w:color="C9D4E8"/>
          <w:left w:val="single" w:sz="2" w:space="0" w:color="C9D4E8"/>
          <w:bottom w:val="single" w:sz="2" w:space="0" w:color="C9D4E8"/>
          <w:right w:val="single" w:sz="2" w:space="0" w:color="C9D4E8"/>
        </w:pBdr>
        <w:shd w:val="clear" w:color="auto" w:fill="F5F7FC"/>
        <w:spacing w:after="93"/>
        <w:ind w:left="196" w:right="102"/>
      </w:pPr>
      <w:r>
        <w:rPr>
          <w:color w:val="1F3864"/>
          <w:sz w:val="22"/>
        </w:rPr>
        <w:t>MODEL 1   The Revenue Alignment Model</w:t>
      </w:r>
    </w:p>
    <w:p w14:paraId="140F7FF0" w14:textId="77777777" w:rsidR="004A19CA" w:rsidRDefault="00673B00">
      <w:pPr>
        <w:pBdr>
          <w:top w:val="single" w:sz="2" w:space="0" w:color="C9D4E8"/>
          <w:left w:val="single" w:sz="2" w:space="0" w:color="C9D4E8"/>
          <w:bottom w:val="single" w:sz="2" w:space="0" w:color="C9D4E8"/>
          <w:right w:val="single" w:sz="2" w:space="0" w:color="C9D4E8"/>
        </w:pBdr>
        <w:shd w:val="clear" w:color="auto" w:fill="F5F7FC"/>
        <w:spacing w:after="713" w:line="285" w:lineRule="auto"/>
        <w:ind w:left="196" w:right="102"/>
      </w:pPr>
      <w:r>
        <w:rPr>
          <w:sz w:val="20"/>
        </w:rPr>
        <w:t xml:space="preserve">The technician earns a defined percentage of the actual labor revenue billed on every </w:t>
      </w:r>
      <w:r>
        <w:rPr>
          <w:sz w:val="20"/>
        </w:rPr>
        <w:t>repair order. Not flag hours. Not book time. Dollars collected. Three layers: a base participation rate of labor revenue, a threshold accelerator that steps up above baseline, and a quality multiplier tied to comeback rate and CSI. A guaranteed floor protects technicians during diagnostic and warranty work. Precedent: law firms (origination credit), medical groups (revenue-based compensation), consulting firms (client revenue attribution).</w:t>
      </w:r>
    </w:p>
    <w:p w14:paraId="31ABE3FE" w14:textId="77777777" w:rsidR="004A19CA" w:rsidRDefault="00673B00">
      <w:pPr>
        <w:pStyle w:val="Heading2"/>
        <w:pBdr>
          <w:top w:val="single" w:sz="2" w:space="0" w:color="C9D4E8"/>
          <w:left w:val="single" w:sz="2" w:space="0" w:color="C9D4E8"/>
          <w:bottom w:val="single" w:sz="2" w:space="0" w:color="C9D4E8"/>
          <w:right w:val="single" w:sz="2" w:space="0" w:color="C9D4E8"/>
        </w:pBdr>
        <w:shd w:val="clear" w:color="auto" w:fill="F5F7FC"/>
        <w:spacing w:after="93"/>
        <w:ind w:left="196" w:right="102"/>
      </w:pPr>
      <w:r>
        <w:rPr>
          <w:color w:val="1F3864"/>
          <w:sz w:val="22"/>
        </w:rPr>
        <w:t>MODEL 2   The Downstream Model</w:t>
      </w:r>
    </w:p>
    <w:p w14:paraId="2A565DE4" w14:textId="77777777" w:rsidR="004A19CA" w:rsidRDefault="00673B00">
      <w:pPr>
        <w:pBdr>
          <w:top w:val="single" w:sz="2" w:space="0" w:color="C9D4E8"/>
          <w:left w:val="single" w:sz="2" w:space="0" w:color="C9D4E8"/>
          <w:bottom w:val="single" w:sz="2" w:space="0" w:color="C9D4E8"/>
          <w:right w:val="single" w:sz="2" w:space="0" w:color="C9D4E8"/>
        </w:pBdr>
        <w:shd w:val="clear" w:color="auto" w:fill="F5F7FC"/>
        <w:spacing w:after="713" w:line="285" w:lineRule="auto"/>
        <w:ind w:left="196" w:right="102"/>
      </w:pPr>
      <w:r>
        <w:rPr>
          <w:sz w:val="20"/>
        </w:rPr>
        <w:t>Most compensation models pay the technician for what happens during the repair order. The Downstream Model pays them, in part, for what happens after. A guaranteed hourly base covers all hours on the clock. Every hour is paid. A downstream premium is calculated monthly from three DMS-tracked metrics at the technician level: return visit rate (within 12 months), declined service conversion (within 90 days), and direct customer feedback score. The behavioral contract is clear: serve the customer well today, a</w:t>
      </w:r>
      <w:r>
        <w:rPr>
          <w:sz w:val="20"/>
        </w:rPr>
        <w:t>nd they return. When they return, you earn more.</w:t>
      </w:r>
    </w:p>
    <w:p w14:paraId="4E5CCCC4" w14:textId="77777777" w:rsidR="004A19CA" w:rsidRDefault="00673B00">
      <w:pPr>
        <w:pStyle w:val="Heading2"/>
        <w:pBdr>
          <w:top w:val="single" w:sz="2" w:space="0" w:color="C9D4E8"/>
          <w:left w:val="single" w:sz="2" w:space="0" w:color="C9D4E8"/>
          <w:bottom w:val="single" w:sz="2" w:space="0" w:color="C9D4E8"/>
          <w:right w:val="single" w:sz="2" w:space="0" w:color="C9D4E8"/>
        </w:pBdr>
        <w:shd w:val="clear" w:color="auto" w:fill="F5F7FC"/>
        <w:spacing w:after="93"/>
        <w:ind w:left="196" w:right="102"/>
      </w:pPr>
      <w:r>
        <w:rPr>
          <w:color w:val="1F3864"/>
          <w:sz w:val="22"/>
        </w:rPr>
        <w:t>MODEL 3   The Service Cell: Portfolio Ownership Model</w:t>
      </w:r>
    </w:p>
    <w:p w14:paraId="59286C58" w14:textId="77777777" w:rsidR="004A19CA" w:rsidRDefault="00673B00">
      <w:pPr>
        <w:pBdr>
          <w:top w:val="single" w:sz="2" w:space="0" w:color="C9D4E8"/>
          <w:left w:val="single" w:sz="2" w:space="0" w:color="C9D4E8"/>
          <w:bottom w:val="single" w:sz="2" w:space="0" w:color="C9D4E8"/>
          <w:right w:val="single" w:sz="2" w:space="0" w:color="C9D4E8"/>
        </w:pBdr>
        <w:shd w:val="clear" w:color="auto" w:fill="F5F7FC"/>
        <w:spacing w:after="713" w:line="285" w:lineRule="auto"/>
        <w:ind w:left="196" w:right="102"/>
      </w:pPr>
      <w:r>
        <w:rPr>
          <w:sz w:val="20"/>
        </w:rPr>
        <w:t>Technicians are organized into cells of three to four (Lead, Mid-Level, Developing, optional Apprentice). Each cell is assigned a customer portfolio of 250 to 350 vehicles. Customers route to their cell on return visits and are told their vehicle is cared for by a named service team. Four compensation layers: individual base salary by certification tier; a cell production bonus (monthly, collective labor efficiency); a portfolio retention bonus (quarterly: return rate, declined service conversion, CSI); and</w:t>
      </w:r>
      <w:r>
        <w:rPr>
          <w:sz w:val="20"/>
        </w:rPr>
        <w:t xml:space="preserve"> a mentorship credit (annual, tied to Developing Technician advancement). The conceptual basis draws from team-design research on role clarity, interdependence, and shared accountability (Hackman, 2002; Google re:Work Editorial Team, 2015).</w:t>
      </w:r>
    </w:p>
    <w:p w14:paraId="7ED15072" w14:textId="77777777" w:rsidR="004A19CA" w:rsidRDefault="00673B00">
      <w:pPr>
        <w:pStyle w:val="Heading2"/>
        <w:pBdr>
          <w:top w:val="single" w:sz="2" w:space="0" w:color="C9D4E8"/>
          <w:left w:val="single" w:sz="2" w:space="0" w:color="C9D4E8"/>
          <w:bottom w:val="single" w:sz="2" w:space="0" w:color="C9D4E8"/>
          <w:right w:val="single" w:sz="2" w:space="0" w:color="C9D4E8"/>
        </w:pBdr>
        <w:shd w:val="clear" w:color="auto" w:fill="F5F7FC"/>
        <w:spacing w:after="93"/>
        <w:ind w:left="196" w:right="102"/>
      </w:pPr>
      <w:r>
        <w:rPr>
          <w:color w:val="1F3864"/>
          <w:sz w:val="22"/>
        </w:rPr>
        <w:t>MODEL 4   The Professional Craft Model</w:t>
      </w:r>
    </w:p>
    <w:p w14:paraId="3F081582" w14:textId="77777777" w:rsidR="004A19CA" w:rsidRDefault="00673B00">
      <w:pPr>
        <w:pBdr>
          <w:top w:val="single" w:sz="2" w:space="0" w:color="C9D4E8"/>
          <w:left w:val="single" w:sz="2" w:space="0" w:color="C9D4E8"/>
          <w:bottom w:val="single" w:sz="2" w:space="0" w:color="C9D4E8"/>
          <w:right w:val="single" w:sz="2" w:space="0" w:color="C9D4E8"/>
        </w:pBdr>
        <w:shd w:val="clear" w:color="auto" w:fill="F5F7FC"/>
        <w:spacing w:after="713" w:line="285" w:lineRule="auto"/>
        <w:ind w:left="196" w:right="102"/>
      </w:pPr>
      <w:r>
        <w:rPr>
          <w:sz w:val="20"/>
        </w:rPr>
        <w:t>A transparent, publicly posted career and compensation ladder with five defined levels. Every level has published criteria: required ASE certifications, OEM training completions, minimum tenure, and a defined salary range. Advancement is automatic when criteria are met. No discretion, no politics. Level 1: Entry Technician. Level 2: Certified Technician. Level 3: Senior Technician. Level 4: Master Technician (profit participation begins). Level 5: Technical Specialist in EV, ADAS, or hybrid. At Levels 4 and</w:t>
      </w:r>
      <w:r>
        <w:rPr>
          <w:sz w:val="20"/>
        </w:rPr>
        <w:t xml:space="preserve"> 5, a defined percentage of monthly labor gross above baseline is distributed among qualifying technicians.</w:t>
      </w:r>
    </w:p>
    <w:p w14:paraId="342DEBE0" w14:textId="77777777" w:rsidR="004A19CA" w:rsidRDefault="00673B00">
      <w:pPr>
        <w:pStyle w:val="Heading2"/>
        <w:ind w:left="-5"/>
      </w:pPr>
      <w:r>
        <w:t>Model 5, Recommended Architecture: The Full-Cycle Model</w:t>
      </w:r>
    </w:p>
    <w:p w14:paraId="60BECD6F" w14:textId="77777777" w:rsidR="004A19CA" w:rsidRDefault="00673B00">
      <w:pPr>
        <w:ind w:left="-5" w:right="9"/>
      </w:pPr>
      <w:r>
        <w:t>Model 2 serves as the core architecture, with targeted structural additions from the other four models used to address specific gaps. Of the five approaches, it is the only one designed to address income instability, customer-retention decline, career development, and production efficiency simultaneously. Its logic is cumulative rather than substitutive: stable base compensation reduces volatility, downstream incentives align technician behavior with customer-return outcomes, and careerladder elements suppo</w:t>
      </w:r>
      <w:r>
        <w:t>rt mastery and progression (Pink, 2009).</w:t>
      </w:r>
    </w:p>
    <w:p w14:paraId="12DC0C18" w14:textId="77777777" w:rsidR="004A19CA" w:rsidRDefault="00673B00">
      <w:pPr>
        <w:ind w:left="-5" w:right="9"/>
      </w:pPr>
      <w:r>
        <w:rPr>
          <w:b/>
        </w:rPr>
        <w:t>Layer 1.</w:t>
      </w:r>
      <w:r>
        <w:t xml:space="preserve"> Guaranteed hourly base, set by Professional Craft certification tier (Model 4).</w:t>
      </w:r>
    </w:p>
    <w:p w14:paraId="1EC8B65C" w14:textId="77777777" w:rsidR="004A19CA" w:rsidRDefault="00673B00">
      <w:pPr>
        <w:ind w:left="-5" w:right="9"/>
      </w:pPr>
      <w:r>
        <w:rPr>
          <w:b/>
        </w:rPr>
        <w:t>Layer 2.</w:t>
      </w:r>
      <w:r>
        <w:t xml:space="preserve"> Individual customer portfolio, 100 to 150 vehicles per technician, routed on return and communicated to the customer. This is individual-level attribution; a three-technician group carries a combined portfolio of 300 to 450 vehicles, consistent with the cell range in Model 3.</w:t>
      </w:r>
    </w:p>
    <w:p w14:paraId="15089F65" w14:textId="77777777" w:rsidR="004A19CA" w:rsidRDefault="00673B00">
      <w:pPr>
        <w:ind w:left="-5" w:right="9"/>
      </w:pPr>
      <w:r>
        <w:rPr>
          <w:b/>
        </w:rPr>
        <w:t>Layer 3.</w:t>
      </w:r>
      <w:r>
        <w:t xml:space="preserve"> Downstream premium, calculated monthly from portfolio-level return rate, declined service conversion, and CSI (Model 2).</w:t>
      </w:r>
    </w:p>
    <w:p w14:paraId="06D7B379" w14:textId="77777777" w:rsidR="004A19CA" w:rsidRDefault="00673B00">
      <w:pPr>
        <w:ind w:left="-5" w:right="9"/>
      </w:pPr>
      <w:r>
        <w:rPr>
          <w:b/>
        </w:rPr>
        <w:t>Layer 4.</w:t>
      </w:r>
      <w:r>
        <w:t xml:space="preserve"> Production threshold accelerator, a quarterly bonus when labor revenue exceeds baseline and comeback rate stays below 2 percent (Model 1).</w:t>
      </w:r>
    </w:p>
    <w:p w14:paraId="1C0CCAE7" w14:textId="77777777" w:rsidR="004A19CA" w:rsidRDefault="00673B00">
      <w:pPr>
        <w:ind w:left="-5" w:right="9"/>
      </w:pPr>
      <w:r>
        <w:rPr>
          <w:b/>
        </w:rPr>
        <w:t>Layer 5.</w:t>
      </w:r>
      <w:r>
        <w:t xml:space="preserve"> Advancement trigger. The base rate advances automatically when Professional Craft criteria are met.</w:t>
      </w:r>
    </w:p>
    <w:p w14:paraId="31D0BE42" w14:textId="77777777" w:rsidR="004A19CA" w:rsidRDefault="00673B00">
      <w:pPr>
        <w:ind w:left="-5" w:right="9"/>
      </w:pPr>
      <w:r>
        <w:t>Recommended implementation sequence. Quarter 1: establish the base rate and publish the Professional Craft ladder. Quarter 2: introduce customer portfolio assignment. Quarter 3: activate the downstream premium once 90 days of baseline data exists. Quarter 4: introduce the production threshold accelerator once the other layers are stable.</w:t>
      </w:r>
    </w:p>
    <w:p w14:paraId="301FC89D" w14:textId="77777777" w:rsidR="004A19CA" w:rsidRDefault="00673B00">
      <w:pPr>
        <w:pStyle w:val="Heading1"/>
        <w:ind w:left="-5"/>
      </w:pPr>
      <w:r>
        <w:t>10   Financial Impact Analysis: The Math Behind Each Model</w:t>
      </w:r>
    </w:p>
    <w:p w14:paraId="4E5FF252" w14:textId="77777777" w:rsidR="004A19CA" w:rsidRDefault="00673B00">
      <w:pPr>
        <w:ind w:left="-5" w:right="9"/>
      </w:pPr>
      <w:r>
        <w:t>The conversation about compensation reform often stalls when it remains conceptual. This section presents the financial mechanics of each model against a consistent baseline, so the choice facing a dealer principal or fixed operations director can be evaluated through explicit assumptions and arithmetic rather than intuition. The assumptions draw from industry labor-rate benchmarks, wage references, and the retention and volume trends discussed earlier (Cox Automotive, 2025a, 2026a; U.S. Bureau of Labor Sta</w:t>
      </w:r>
      <w:r>
        <w:t>tistics, 2025).</w:t>
      </w:r>
    </w:p>
    <w:p w14:paraId="51E011F9" w14:textId="77777777" w:rsidR="004A19CA" w:rsidRDefault="00673B00">
      <w:pPr>
        <w:spacing w:after="288"/>
        <w:ind w:left="-5" w:right="9"/>
      </w:pPr>
      <w:r>
        <w:t>Three principles govern this analysis. First, no model is designed to reduce average technician take-home pay relative to the baseline. Second, each model is evaluated against labor gross margin and incremental implementation cost. Third, the breakeven analysis is presented so the reader can assess what level of repair-order recovery makes each model self-sustaining. The resulting figures are scenario-based planning estimates, not forecasts or guarantees.</w:t>
      </w:r>
    </w:p>
    <w:p w14:paraId="1C1E63A9" w14:textId="77777777" w:rsidR="004A19CA" w:rsidRDefault="00673B00">
      <w:pPr>
        <w:pStyle w:val="Heading2"/>
        <w:spacing w:after="0"/>
        <w:ind w:left="-5"/>
      </w:pPr>
      <w:r>
        <w:t>10.1   Baseline Assumptions: 10-Technician Store</w:t>
      </w:r>
    </w:p>
    <w:tbl>
      <w:tblPr>
        <w:tblStyle w:val="TableGrid"/>
        <w:tblW w:w="9360" w:type="dxa"/>
        <w:tblInd w:w="0" w:type="dxa"/>
        <w:tblCellMar>
          <w:top w:w="80" w:type="dxa"/>
          <w:left w:w="121" w:type="dxa"/>
          <w:bottom w:w="0" w:type="dxa"/>
          <w:right w:w="115" w:type="dxa"/>
        </w:tblCellMar>
        <w:tblLook w:val="04A0" w:firstRow="1" w:lastRow="0" w:firstColumn="1" w:lastColumn="0" w:noHBand="0" w:noVBand="1"/>
      </w:tblPr>
      <w:tblGrid>
        <w:gridCol w:w="3520"/>
        <w:gridCol w:w="2400"/>
        <w:gridCol w:w="3440"/>
      </w:tblGrid>
      <w:tr w:rsidR="004A19CA" w14:paraId="3F63F7A1" w14:textId="77777777">
        <w:trPr>
          <w:trHeight w:val="386"/>
        </w:trPr>
        <w:tc>
          <w:tcPr>
            <w:tcW w:w="3520" w:type="dxa"/>
            <w:tcBorders>
              <w:top w:val="single" w:sz="2" w:space="0" w:color="C9D4E8"/>
              <w:left w:val="single" w:sz="2" w:space="0" w:color="C9D4E8"/>
              <w:bottom w:val="single" w:sz="2" w:space="0" w:color="C9D4E8"/>
              <w:right w:val="single" w:sz="2" w:space="0" w:color="C9D4E8"/>
            </w:tcBorders>
            <w:shd w:val="clear" w:color="auto" w:fill="1F3864"/>
          </w:tcPr>
          <w:p w14:paraId="54E21AF1" w14:textId="77777777" w:rsidR="004A19CA" w:rsidRDefault="00673B00">
            <w:pPr>
              <w:spacing w:after="0" w:line="259" w:lineRule="auto"/>
              <w:ind w:left="0" w:right="0" w:firstLine="0"/>
              <w:jc w:val="left"/>
            </w:pPr>
            <w:r>
              <w:rPr>
                <w:b/>
                <w:color w:val="FFFFFF"/>
                <w:sz w:val="19"/>
              </w:rPr>
              <w:t>Assumption</w:t>
            </w:r>
          </w:p>
        </w:tc>
        <w:tc>
          <w:tcPr>
            <w:tcW w:w="2400" w:type="dxa"/>
            <w:tcBorders>
              <w:top w:val="single" w:sz="2" w:space="0" w:color="C9D4E8"/>
              <w:left w:val="single" w:sz="2" w:space="0" w:color="C9D4E8"/>
              <w:bottom w:val="single" w:sz="2" w:space="0" w:color="C9D4E8"/>
              <w:right w:val="single" w:sz="2" w:space="0" w:color="C9D4E8"/>
            </w:tcBorders>
            <w:shd w:val="clear" w:color="auto" w:fill="1F3864"/>
          </w:tcPr>
          <w:p w14:paraId="01307382" w14:textId="77777777" w:rsidR="004A19CA" w:rsidRDefault="00673B00">
            <w:pPr>
              <w:spacing w:after="0" w:line="259" w:lineRule="auto"/>
              <w:ind w:left="0" w:right="0" w:firstLine="0"/>
              <w:jc w:val="left"/>
            </w:pPr>
            <w:r>
              <w:rPr>
                <w:b/>
                <w:color w:val="FFFFFF"/>
                <w:sz w:val="19"/>
              </w:rPr>
              <w:t>Value</w:t>
            </w:r>
          </w:p>
        </w:tc>
        <w:tc>
          <w:tcPr>
            <w:tcW w:w="3440" w:type="dxa"/>
            <w:tcBorders>
              <w:top w:val="single" w:sz="2" w:space="0" w:color="C9D4E8"/>
              <w:left w:val="single" w:sz="2" w:space="0" w:color="C9D4E8"/>
              <w:bottom w:val="single" w:sz="2" w:space="0" w:color="C9D4E8"/>
              <w:right w:val="single" w:sz="2" w:space="0" w:color="C9D4E8"/>
            </w:tcBorders>
            <w:shd w:val="clear" w:color="auto" w:fill="1F3864"/>
          </w:tcPr>
          <w:p w14:paraId="3ACC018B" w14:textId="77777777" w:rsidR="004A19CA" w:rsidRDefault="00673B00">
            <w:pPr>
              <w:spacing w:after="0" w:line="259" w:lineRule="auto"/>
              <w:ind w:left="0" w:right="0" w:firstLine="0"/>
              <w:jc w:val="left"/>
            </w:pPr>
            <w:r>
              <w:rPr>
                <w:b/>
                <w:color w:val="FFFFFF"/>
                <w:sz w:val="19"/>
              </w:rPr>
              <w:t>Source</w:t>
            </w:r>
          </w:p>
        </w:tc>
      </w:tr>
      <w:tr w:rsidR="004A19CA" w14:paraId="70B2B6C1" w14:textId="77777777">
        <w:trPr>
          <w:trHeight w:val="385"/>
        </w:trPr>
        <w:tc>
          <w:tcPr>
            <w:tcW w:w="3520" w:type="dxa"/>
            <w:tcBorders>
              <w:top w:val="single" w:sz="2" w:space="0" w:color="C9D4E8"/>
              <w:left w:val="single" w:sz="2" w:space="0" w:color="C9D4E8"/>
              <w:bottom w:val="single" w:sz="2" w:space="0" w:color="C9D4E8"/>
              <w:right w:val="single" w:sz="2" w:space="0" w:color="C9D4E8"/>
            </w:tcBorders>
          </w:tcPr>
          <w:p w14:paraId="791FC163" w14:textId="77777777" w:rsidR="004A19CA" w:rsidRDefault="00673B00">
            <w:pPr>
              <w:spacing w:after="0" w:line="259" w:lineRule="auto"/>
              <w:ind w:left="0" w:right="0" w:firstLine="0"/>
              <w:jc w:val="left"/>
            </w:pPr>
            <w:r>
              <w:rPr>
                <w:sz w:val="19"/>
              </w:rPr>
              <w:t>Customer mechanical door rate</w:t>
            </w:r>
          </w:p>
        </w:tc>
        <w:tc>
          <w:tcPr>
            <w:tcW w:w="2400" w:type="dxa"/>
            <w:tcBorders>
              <w:top w:val="single" w:sz="2" w:space="0" w:color="C9D4E8"/>
              <w:left w:val="single" w:sz="2" w:space="0" w:color="C9D4E8"/>
              <w:bottom w:val="single" w:sz="2" w:space="0" w:color="C9D4E8"/>
              <w:right w:val="single" w:sz="2" w:space="0" w:color="C9D4E8"/>
            </w:tcBorders>
          </w:tcPr>
          <w:p w14:paraId="524AF45D" w14:textId="77777777" w:rsidR="004A19CA" w:rsidRDefault="00673B00">
            <w:pPr>
              <w:spacing w:after="0" w:line="259" w:lineRule="auto"/>
              <w:ind w:left="0" w:right="0" w:firstLine="0"/>
              <w:jc w:val="left"/>
            </w:pPr>
            <w:r>
              <w:rPr>
                <w:b/>
                <w:sz w:val="19"/>
              </w:rPr>
              <w:t>$186/hour</w:t>
            </w:r>
          </w:p>
        </w:tc>
        <w:tc>
          <w:tcPr>
            <w:tcW w:w="3440" w:type="dxa"/>
            <w:tcBorders>
              <w:top w:val="single" w:sz="2" w:space="0" w:color="C9D4E8"/>
              <w:left w:val="single" w:sz="2" w:space="0" w:color="C9D4E8"/>
              <w:bottom w:val="single" w:sz="2" w:space="0" w:color="C9D4E8"/>
              <w:right w:val="single" w:sz="2" w:space="0" w:color="C9D4E8"/>
            </w:tcBorders>
          </w:tcPr>
          <w:p w14:paraId="208D884D" w14:textId="77777777" w:rsidR="004A19CA" w:rsidRDefault="00673B00">
            <w:pPr>
              <w:spacing w:after="0" w:line="259" w:lineRule="auto"/>
              <w:ind w:left="0" w:right="0" w:firstLine="0"/>
              <w:jc w:val="left"/>
            </w:pPr>
            <w:r>
              <w:rPr>
                <w:sz w:val="19"/>
              </w:rPr>
              <w:t>NADA (2025b)</w:t>
            </w:r>
          </w:p>
        </w:tc>
      </w:tr>
      <w:tr w:rsidR="004A19CA" w14:paraId="1C0766B7" w14:textId="77777777">
        <w:trPr>
          <w:trHeight w:val="386"/>
        </w:trPr>
        <w:tc>
          <w:tcPr>
            <w:tcW w:w="3520" w:type="dxa"/>
            <w:tcBorders>
              <w:top w:val="single" w:sz="2" w:space="0" w:color="C9D4E8"/>
              <w:left w:val="single" w:sz="2" w:space="0" w:color="C9D4E8"/>
              <w:bottom w:val="single" w:sz="2" w:space="0" w:color="C9D4E8"/>
              <w:right w:val="single" w:sz="2" w:space="0" w:color="C9D4E8"/>
            </w:tcBorders>
          </w:tcPr>
          <w:p w14:paraId="131A0094" w14:textId="77777777" w:rsidR="004A19CA" w:rsidRDefault="00673B00">
            <w:pPr>
              <w:spacing w:after="0" w:line="259" w:lineRule="auto"/>
              <w:ind w:left="0" w:right="0" w:firstLine="0"/>
              <w:jc w:val="left"/>
            </w:pPr>
            <w:r>
              <w:rPr>
                <w:sz w:val="19"/>
              </w:rPr>
              <w:t>Effective realized labor rate</w:t>
            </w:r>
          </w:p>
        </w:tc>
        <w:tc>
          <w:tcPr>
            <w:tcW w:w="2400" w:type="dxa"/>
            <w:tcBorders>
              <w:top w:val="single" w:sz="2" w:space="0" w:color="C9D4E8"/>
              <w:left w:val="single" w:sz="2" w:space="0" w:color="C9D4E8"/>
              <w:bottom w:val="single" w:sz="2" w:space="0" w:color="C9D4E8"/>
              <w:right w:val="single" w:sz="2" w:space="0" w:color="C9D4E8"/>
            </w:tcBorders>
          </w:tcPr>
          <w:p w14:paraId="6794E7FC" w14:textId="77777777" w:rsidR="004A19CA" w:rsidRDefault="00673B00">
            <w:pPr>
              <w:spacing w:after="0" w:line="259" w:lineRule="auto"/>
              <w:ind w:left="0" w:right="0" w:firstLine="0"/>
              <w:jc w:val="left"/>
            </w:pPr>
            <w:r>
              <w:rPr>
                <w:b/>
                <w:sz w:val="19"/>
              </w:rPr>
              <w:t>$143/hour</w:t>
            </w:r>
          </w:p>
        </w:tc>
        <w:tc>
          <w:tcPr>
            <w:tcW w:w="3440" w:type="dxa"/>
            <w:tcBorders>
              <w:top w:val="single" w:sz="2" w:space="0" w:color="C9D4E8"/>
              <w:left w:val="single" w:sz="2" w:space="0" w:color="C9D4E8"/>
              <w:bottom w:val="single" w:sz="2" w:space="0" w:color="C9D4E8"/>
              <w:right w:val="single" w:sz="2" w:space="0" w:color="C9D4E8"/>
            </w:tcBorders>
          </w:tcPr>
          <w:p w14:paraId="56948D8E" w14:textId="77777777" w:rsidR="004A19CA" w:rsidRDefault="00673B00">
            <w:pPr>
              <w:spacing w:after="0" w:line="259" w:lineRule="auto"/>
              <w:ind w:left="0" w:right="0" w:firstLine="0"/>
              <w:jc w:val="left"/>
            </w:pPr>
            <w:r>
              <w:rPr>
                <w:sz w:val="19"/>
              </w:rPr>
              <w:t>~77% of door rate, work mix</w:t>
            </w:r>
          </w:p>
        </w:tc>
      </w:tr>
      <w:tr w:rsidR="004A19CA" w14:paraId="72E0F533" w14:textId="77777777">
        <w:trPr>
          <w:trHeight w:val="384"/>
        </w:trPr>
        <w:tc>
          <w:tcPr>
            <w:tcW w:w="3520" w:type="dxa"/>
            <w:tcBorders>
              <w:top w:val="single" w:sz="2" w:space="0" w:color="C9D4E8"/>
              <w:left w:val="single" w:sz="2" w:space="0" w:color="C9D4E8"/>
              <w:bottom w:val="single" w:sz="2" w:space="0" w:color="C9D4E8"/>
              <w:right w:val="single" w:sz="2" w:space="0" w:color="C9D4E8"/>
            </w:tcBorders>
          </w:tcPr>
          <w:p w14:paraId="62FC440F" w14:textId="77777777" w:rsidR="004A19CA" w:rsidRDefault="00673B00">
            <w:pPr>
              <w:spacing w:after="0" w:line="259" w:lineRule="auto"/>
              <w:ind w:left="0" w:right="0" w:firstLine="0"/>
              <w:jc w:val="left"/>
            </w:pPr>
            <w:r>
              <w:rPr>
                <w:sz w:val="19"/>
              </w:rPr>
              <w:t>Average flag efficiency</w:t>
            </w:r>
          </w:p>
        </w:tc>
        <w:tc>
          <w:tcPr>
            <w:tcW w:w="2400" w:type="dxa"/>
            <w:tcBorders>
              <w:top w:val="single" w:sz="2" w:space="0" w:color="C9D4E8"/>
              <w:left w:val="single" w:sz="2" w:space="0" w:color="C9D4E8"/>
              <w:bottom w:val="single" w:sz="2" w:space="0" w:color="C9D4E8"/>
              <w:right w:val="single" w:sz="2" w:space="0" w:color="C9D4E8"/>
            </w:tcBorders>
          </w:tcPr>
          <w:p w14:paraId="02CBDB87" w14:textId="77777777" w:rsidR="004A19CA" w:rsidRDefault="00673B00">
            <w:pPr>
              <w:spacing w:after="0" w:line="259" w:lineRule="auto"/>
              <w:ind w:left="0" w:right="0" w:firstLine="0"/>
              <w:jc w:val="left"/>
            </w:pPr>
            <w:r>
              <w:rPr>
                <w:b/>
                <w:sz w:val="19"/>
              </w:rPr>
              <w:t>38 hrs./week</w:t>
            </w:r>
          </w:p>
        </w:tc>
        <w:tc>
          <w:tcPr>
            <w:tcW w:w="3440" w:type="dxa"/>
            <w:tcBorders>
              <w:top w:val="single" w:sz="2" w:space="0" w:color="C9D4E8"/>
              <w:left w:val="single" w:sz="2" w:space="0" w:color="C9D4E8"/>
              <w:bottom w:val="single" w:sz="2" w:space="0" w:color="C9D4E8"/>
              <w:right w:val="single" w:sz="2" w:space="0" w:color="C9D4E8"/>
            </w:tcBorders>
          </w:tcPr>
          <w:p w14:paraId="61B188FB" w14:textId="77777777" w:rsidR="004A19CA" w:rsidRDefault="00673B00">
            <w:pPr>
              <w:spacing w:after="0" w:line="259" w:lineRule="auto"/>
              <w:ind w:left="0" w:right="0" w:firstLine="0"/>
              <w:jc w:val="left"/>
            </w:pPr>
            <w:r>
              <w:rPr>
                <w:sz w:val="19"/>
              </w:rPr>
              <w:t>Industry benchmark</w:t>
            </w:r>
          </w:p>
        </w:tc>
      </w:tr>
      <w:tr w:rsidR="004A19CA" w14:paraId="642969F5" w14:textId="77777777">
        <w:trPr>
          <w:trHeight w:val="386"/>
        </w:trPr>
        <w:tc>
          <w:tcPr>
            <w:tcW w:w="3520" w:type="dxa"/>
            <w:tcBorders>
              <w:top w:val="single" w:sz="2" w:space="0" w:color="C9D4E8"/>
              <w:left w:val="single" w:sz="2" w:space="0" w:color="C9D4E8"/>
              <w:bottom w:val="single" w:sz="2" w:space="0" w:color="C9D4E8"/>
              <w:right w:val="single" w:sz="2" w:space="0" w:color="C9D4E8"/>
            </w:tcBorders>
          </w:tcPr>
          <w:p w14:paraId="3B2BAB93" w14:textId="77777777" w:rsidR="004A19CA" w:rsidRDefault="00673B00">
            <w:pPr>
              <w:spacing w:after="0" w:line="259" w:lineRule="auto"/>
              <w:ind w:left="0" w:right="0" w:firstLine="0"/>
              <w:jc w:val="left"/>
            </w:pPr>
            <w:r>
              <w:rPr>
                <w:sz w:val="19"/>
              </w:rPr>
              <w:t>Annual flag hours per tech</w:t>
            </w:r>
          </w:p>
        </w:tc>
        <w:tc>
          <w:tcPr>
            <w:tcW w:w="2400" w:type="dxa"/>
            <w:tcBorders>
              <w:top w:val="single" w:sz="2" w:space="0" w:color="C9D4E8"/>
              <w:left w:val="single" w:sz="2" w:space="0" w:color="C9D4E8"/>
              <w:bottom w:val="single" w:sz="2" w:space="0" w:color="C9D4E8"/>
              <w:right w:val="single" w:sz="2" w:space="0" w:color="C9D4E8"/>
            </w:tcBorders>
          </w:tcPr>
          <w:p w14:paraId="1561FE99" w14:textId="77777777" w:rsidR="004A19CA" w:rsidRDefault="00673B00">
            <w:pPr>
              <w:spacing w:after="0" w:line="259" w:lineRule="auto"/>
              <w:ind w:left="0" w:right="0" w:firstLine="0"/>
              <w:jc w:val="left"/>
            </w:pPr>
            <w:r>
              <w:rPr>
                <w:b/>
                <w:sz w:val="19"/>
              </w:rPr>
              <w:t>1,900 hours</w:t>
            </w:r>
          </w:p>
        </w:tc>
        <w:tc>
          <w:tcPr>
            <w:tcW w:w="3440" w:type="dxa"/>
            <w:tcBorders>
              <w:top w:val="single" w:sz="2" w:space="0" w:color="C9D4E8"/>
              <w:left w:val="single" w:sz="2" w:space="0" w:color="C9D4E8"/>
              <w:bottom w:val="single" w:sz="2" w:space="0" w:color="C9D4E8"/>
              <w:right w:val="single" w:sz="2" w:space="0" w:color="C9D4E8"/>
            </w:tcBorders>
          </w:tcPr>
          <w:p w14:paraId="6B70DF0A" w14:textId="77777777" w:rsidR="004A19CA" w:rsidRDefault="00673B00">
            <w:pPr>
              <w:spacing w:after="0" w:line="259" w:lineRule="auto"/>
              <w:ind w:left="0" w:right="0" w:firstLine="0"/>
              <w:jc w:val="left"/>
            </w:pPr>
            <w:r>
              <w:rPr>
                <w:sz w:val="19"/>
              </w:rPr>
              <w:t>Derived</w:t>
            </w:r>
          </w:p>
        </w:tc>
      </w:tr>
      <w:tr w:rsidR="004A19CA" w14:paraId="5A513B1B" w14:textId="77777777">
        <w:trPr>
          <w:trHeight w:val="384"/>
        </w:trPr>
        <w:tc>
          <w:tcPr>
            <w:tcW w:w="3520" w:type="dxa"/>
            <w:tcBorders>
              <w:top w:val="single" w:sz="2" w:space="0" w:color="C9D4E8"/>
              <w:left w:val="single" w:sz="2" w:space="0" w:color="C9D4E8"/>
              <w:bottom w:val="single" w:sz="2" w:space="0" w:color="C9D4E8"/>
              <w:right w:val="single" w:sz="2" w:space="0" w:color="C9D4E8"/>
            </w:tcBorders>
          </w:tcPr>
          <w:p w14:paraId="23D2C86D" w14:textId="77777777" w:rsidR="004A19CA" w:rsidRDefault="00673B00">
            <w:pPr>
              <w:spacing w:after="0" w:line="259" w:lineRule="auto"/>
              <w:ind w:left="0" w:right="0" w:firstLine="0"/>
              <w:jc w:val="left"/>
            </w:pPr>
            <w:r>
              <w:rPr>
                <w:sz w:val="19"/>
              </w:rPr>
              <w:t>Annual labor revenue per tech</w:t>
            </w:r>
          </w:p>
        </w:tc>
        <w:tc>
          <w:tcPr>
            <w:tcW w:w="2400" w:type="dxa"/>
            <w:tcBorders>
              <w:top w:val="single" w:sz="2" w:space="0" w:color="C9D4E8"/>
              <w:left w:val="single" w:sz="2" w:space="0" w:color="C9D4E8"/>
              <w:bottom w:val="single" w:sz="2" w:space="0" w:color="C9D4E8"/>
              <w:right w:val="single" w:sz="2" w:space="0" w:color="C9D4E8"/>
            </w:tcBorders>
          </w:tcPr>
          <w:p w14:paraId="685FD111" w14:textId="77777777" w:rsidR="004A19CA" w:rsidRDefault="00673B00">
            <w:pPr>
              <w:spacing w:after="0" w:line="259" w:lineRule="auto"/>
              <w:ind w:left="0" w:right="0" w:firstLine="0"/>
              <w:jc w:val="left"/>
            </w:pPr>
            <w:r>
              <w:rPr>
                <w:b/>
                <w:sz w:val="19"/>
              </w:rPr>
              <w:t>$271,700</w:t>
            </w:r>
          </w:p>
        </w:tc>
        <w:tc>
          <w:tcPr>
            <w:tcW w:w="3440" w:type="dxa"/>
            <w:tcBorders>
              <w:top w:val="single" w:sz="2" w:space="0" w:color="C9D4E8"/>
              <w:left w:val="single" w:sz="2" w:space="0" w:color="C9D4E8"/>
              <w:bottom w:val="single" w:sz="2" w:space="0" w:color="C9D4E8"/>
              <w:right w:val="single" w:sz="2" w:space="0" w:color="C9D4E8"/>
            </w:tcBorders>
          </w:tcPr>
          <w:p w14:paraId="3EE4605A" w14:textId="77777777" w:rsidR="004A19CA" w:rsidRDefault="00673B00">
            <w:pPr>
              <w:spacing w:after="0" w:line="259" w:lineRule="auto"/>
              <w:ind w:left="0" w:right="0" w:firstLine="0"/>
              <w:jc w:val="left"/>
            </w:pPr>
            <w:r>
              <w:rPr>
                <w:sz w:val="19"/>
              </w:rPr>
              <w:t>1,900 x $143</w:t>
            </w:r>
          </w:p>
        </w:tc>
      </w:tr>
      <w:tr w:rsidR="004A19CA" w14:paraId="0B8C04CD" w14:textId="77777777">
        <w:trPr>
          <w:trHeight w:val="386"/>
        </w:trPr>
        <w:tc>
          <w:tcPr>
            <w:tcW w:w="3520" w:type="dxa"/>
            <w:tcBorders>
              <w:top w:val="single" w:sz="2" w:space="0" w:color="C9D4E8"/>
              <w:left w:val="single" w:sz="2" w:space="0" w:color="C9D4E8"/>
              <w:bottom w:val="single" w:sz="2" w:space="0" w:color="C9D4E8"/>
              <w:right w:val="single" w:sz="2" w:space="0" w:color="C9D4E8"/>
            </w:tcBorders>
          </w:tcPr>
          <w:p w14:paraId="79554F8D" w14:textId="77777777" w:rsidR="004A19CA" w:rsidRDefault="00673B00">
            <w:pPr>
              <w:spacing w:after="0" w:line="259" w:lineRule="auto"/>
              <w:ind w:left="0" w:right="0" w:firstLine="0"/>
              <w:jc w:val="left"/>
            </w:pPr>
            <w:r>
              <w:rPr>
                <w:sz w:val="19"/>
              </w:rPr>
              <w:t>Flat-rate pay rate</w:t>
            </w:r>
          </w:p>
        </w:tc>
        <w:tc>
          <w:tcPr>
            <w:tcW w:w="2400" w:type="dxa"/>
            <w:tcBorders>
              <w:top w:val="single" w:sz="2" w:space="0" w:color="C9D4E8"/>
              <w:left w:val="single" w:sz="2" w:space="0" w:color="C9D4E8"/>
              <w:bottom w:val="single" w:sz="2" w:space="0" w:color="C9D4E8"/>
              <w:right w:val="single" w:sz="2" w:space="0" w:color="C9D4E8"/>
            </w:tcBorders>
          </w:tcPr>
          <w:p w14:paraId="58D9BEC5" w14:textId="77777777" w:rsidR="004A19CA" w:rsidRDefault="00673B00">
            <w:pPr>
              <w:spacing w:after="0" w:line="259" w:lineRule="auto"/>
              <w:ind w:left="0" w:right="0" w:firstLine="0"/>
              <w:jc w:val="left"/>
            </w:pPr>
            <w:r>
              <w:rPr>
                <w:b/>
                <w:sz w:val="19"/>
              </w:rPr>
              <w:t>$27/flagged hour</w:t>
            </w:r>
          </w:p>
        </w:tc>
        <w:tc>
          <w:tcPr>
            <w:tcW w:w="3440" w:type="dxa"/>
            <w:tcBorders>
              <w:top w:val="single" w:sz="2" w:space="0" w:color="C9D4E8"/>
              <w:left w:val="single" w:sz="2" w:space="0" w:color="C9D4E8"/>
              <w:bottom w:val="single" w:sz="2" w:space="0" w:color="C9D4E8"/>
              <w:right w:val="single" w:sz="2" w:space="0" w:color="C9D4E8"/>
            </w:tcBorders>
          </w:tcPr>
          <w:p w14:paraId="347870CC" w14:textId="77777777" w:rsidR="004A19CA" w:rsidRDefault="00673B00">
            <w:pPr>
              <w:spacing w:after="0" w:line="259" w:lineRule="auto"/>
              <w:ind w:left="0" w:right="0" w:firstLine="0"/>
              <w:jc w:val="left"/>
            </w:pPr>
            <w:r>
              <w:rPr>
                <w:sz w:val="19"/>
              </w:rPr>
              <w:t>Modeling assumption</w:t>
            </w:r>
          </w:p>
        </w:tc>
      </w:tr>
      <w:tr w:rsidR="004A19CA" w14:paraId="2CB1F011" w14:textId="77777777">
        <w:trPr>
          <w:trHeight w:val="384"/>
        </w:trPr>
        <w:tc>
          <w:tcPr>
            <w:tcW w:w="3520" w:type="dxa"/>
            <w:tcBorders>
              <w:top w:val="single" w:sz="2" w:space="0" w:color="C9D4E8"/>
              <w:left w:val="single" w:sz="2" w:space="0" w:color="C9D4E8"/>
              <w:bottom w:val="single" w:sz="2" w:space="0" w:color="C9D4E8"/>
              <w:right w:val="single" w:sz="2" w:space="0" w:color="C9D4E8"/>
            </w:tcBorders>
          </w:tcPr>
          <w:p w14:paraId="15A0D2EA" w14:textId="77777777" w:rsidR="004A19CA" w:rsidRDefault="00673B00">
            <w:pPr>
              <w:spacing w:after="0" w:line="259" w:lineRule="auto"/>
              <w:ind w:left="0" w:right="0" w:firstLine="0"/>
              <w:jc w:val="left"/>
            </w:pPr>
            <w:r>
              <w:rPr>
                <w:sz w:val="19"/>
              </w:rPr>
              <w:t>Annual tech wages (flat rate)</w:t>
            </w:r>
          </w:p>
        </w:tc>
        <w:tc>
          <w:tcPr>
            <w:tcW w:w="2400" w:type="dxa"/>
            <w:tcBorders>
              <w:top w:val="single" w:sz="2" w:space="0" w:color="C9D4E8"/>
              <w:left w:val="single" w:sz="2" w:space="0" w:color="C9D4E8"/>
              <w:bottom w:val="single" w:sz="2" w:space="0" w:color="C9D4E8"/>
              <w:right w:val="single" w:sz="2" w:space="0" w:color="C9D4E8"/>
            </w:tcBorders>
          </w:tcPr>
          <w:p w14:paraId="55C81573" w14:textId="77777777" w:rsidR="004A19CA" w:rsidRDefault="00673B00">
            <w:pPr>
              <w:spacing w:after="0" w:line="259" w:lineRule="auto"/>
              <w:ind w:left="0" w:right="0" w:firstLine="0"/>
              <w:jc w:val="left"/>
            </w:pPr>
            <w:r>
              <w:rPr>
                <w:b/>
                <w:sz w:val="19"/>
              </w:rPr>
              <w:t>$51,300</w:t>
            </w:r>
          </w:p>
        </w:tc>
        <w:tc>
          <w:tcPr>
            <w:tcW w:w="3440" w:type="dxa"/>
            <w:tcBorders>
              <w:top w:val="single" w:sz="2" w:space="0" w:color="C9D4E8"/>
              <w:left w:val="single" w:sz="2" w:space="0" w:color="C9D4E8"/>
              <w:bottom w:val="single" w:sz="2" w:space="0" w:color="C9D4E8"/>
              <w:right w:val="single" w:sz="2" w:space="0" w:color="C9D4E8"/>
            </w:tcBorders>
          </w:tcPr>
          <w:p w14:paraId="77EBD0B0" w14:textId="77777777" w:rsidR="004A19CA" w:rsidRDefault="00673B00">
            <w:pPr>
              <w:spacing w:after="0" w:line="259" w:lineRule="auto"/>
              <w:ind w:left="0" w:right="0" w:firstLine="0"/>
              <w:jc w:val="left"/>
            </w:pPr>
            <w:r>
              <w:rPr>
                <w:sz w:val="19"/>
              </w:rPr>
              <w:t>1,900 x $27</w:t>
            </w:r>
          </w:p>
        </w:tc>
      </w:tr>
      <w:tr w:rsidR="004A19CA" w14:paraId="2BAFA120" w14:textId="77777777">
        <w:trPr>
          <w:trHeight w:val="386"/>
        </w:trPr>
        <w:tc>
          <w:tcPr>
            <w:tcW w:w="3520" w:type="dxa"/>
            <w:tcBorders>
              <w:top w:val="single" w:sz="2" w:space="0" w:color="C9D4E8"/>
              <w:left w:val="single" w:sz="2" w:space="0" w:color="C9D4E8"/>
              <w:bottom w:val="single" w:sz="2" w:space="0" w:color="C9D4E8"/>
              <w:right w:val="single" w:sz="2" w:space="0" w:color="C9D4E8"/>
            </w:tcBorders>
          </w:tcPr>
          <w:p w14:paraId="41538708" w14:textId="77777777" w:rsidR="004A19CA" w:rsidRDefault="00673B00">
            <w:pPr>
              <w:spacing w:after="0" w:line="259" w:lineRule="auto"/>
              <w:ind w:left="0" w:right="0" w:firstLine="0"/>
              <w:jc w:val="left"/>
            </w:pPr>
            <w:r>
              <w:rPr>
                <w:sz w:val="19"/>
              </w:rPr>
              <w:t>Benefits as % of base wages</w:t>
            </w:r>
          </w:p>
        </w:tc>
        <w:tc>
          <w:tcPr>
            <w:tcW w:w="2400" w:type="dxa"/>
            <w:tcBorders>
              <w:top w:val="single" w:sz="2" w:space="0" w:color="C9D4E8"/>
              <w:left w:val="single" w:sz="2" w:space="0" w:color="C9D4E8"/>
              <w:bottom w:val="single" w:sz="2" w:space="0" w:color="C9D4E8"/>
              <w:right w:val="single" w:sz="2" w:space="0" w:color="C9D4E8"/>
            </w:tcBorders>
          </w:tcPr>
          <w:p w14:paraId="3C7002FE" w14:textId="77777777" w:rsidR="004A19CA" w:rsidRDefault="00673B00">
            <w:pPr>
              <w:spacing w:after="0" w:line="259" w:lineRule="auto"/>
              <w:ind w:left="0" w:right="0" w:firstLine="0"/>
              <w:jc w:val="left"/>
            </w:pPr>
            <w:r>
              <w:rPr>
                <w:b/>
                <w:sz w:val="19"/>
              </w:rPr>
              <w:t>20%</w:t>
            </w:r>
          </w:p>
        </w:tc>
        <w:tc>
          <w:tcPr>
            <w:tcW w:w="3440" w:type="dxa"/>
            <w:tcBorders>
              <w:top w:val="single" w:sz="2" w:space="0" w:color="C9D4E8"/>
              <w:left w:val="single" w:sz="2" w:space="0" w:color="C9D4E8"/>
              <w:bottom w:val="single" w:sz="2" w:space="0" w:color="C9D4E8"/>
              <w:right w:val="single" w:sz="2" w:space="0" w:color="C9D4E8"/>
            </w:tcBorders>
          </w:tcPr>
          <w:p w14:paraId="302F8FE2" w14:textId="77777777" w:rsidR="004A19CA" w:rsidRDefault="00673B00">
            <w:pPr>
              <w:spacing w:after="0" w:line="259" w:lineRule="auto"/>
              <w:ind w:left="0" w:right="0" w:firstLine="0"/>
              <w:jc w:val="left"/>
            </w:pPr>
            <w:r>
              <w:rPr>
                <w:sz w:val="19"/>
              </w:rPr>
              <w:t>Industry standard</w:t>
            </w:r>
          </w:p>
        </w:tc>
      </w:tr>
      <w:tr w:rsidR="004A19CA" w14:paraId="02D79F1E" w14:textId="77777777">
        <w:trPr>
          <w:trHeight w:val="384"/>
        </w:trPr>
        <w:tc>
          <w:tcPr>
            <w:tcW w:w="3520" w:type="dxa"/>
            <w:tcBorders>
              <w:top w:val="single" w:sz="2" w:space="0" w:color="C9D4E8"/>
              <w:left w:val="single" w:sz="2" w:space="0" w:color="C9D4E8"/>
              <w:bottom w:val="single" w:sz="2" w:space="0" w:color="C9D4E8"/>
              <w:right w:val="single" w:sz="2" w:space="0" w:color="C9D4E8"/>
            </w:tcBorders>
          </w:tcPr>
          <w:p w14:paraId="0BC5222B" w14:textId="77777777" w:rsidR="004A19CA" w:rsidRDefault="00673B00">
            <w:pPr>
              <w:spacing w:after="0" w:line="259" w:lineRule="auto"/>
              <w:ind w:left="0" w:right="0" w:firstLine="0"/>
              <w:jc w:val="left"/>
            </w:pPr>
            <w:r>
              <w:rPr>
                <w:sz w:val="19"/>
              </w:rPr>
              <w:t>Annual total comp per tech</w:t>
            </w:r>
          </w:p>
        </w:tc>
        <w:tc>
          <w:tcPr>
            <w:tcW w:w="2400" w:type="dxa"/>
            <w:tcBorders>
              <w:top w:val="single" w:sz="2" w:space="0" w:color="C9D4E8"/>
              <w:left w:val="single" w:sz="2" w:space="0" w:color="C9D4E8"/>
              <w:bottom w:val="single" w:sz="2" w:space="0" w:color="C9D4E8"/>
              <w:right w:val="single" w:sz="2" w:space="0" w:color="C9D4E8"/>
            </w:tcBorders>
          </w:tcPr>
          <w:p w14:paraId="24BC816C" w14:textId="77777777" w:rsidR="004A19CA" w:rsidRDefault="00673B00">
            <w:pPr>
              <w:spacing w:after="0" w:line="259" w:lineRule="auto"/>
              <w:ind w:left="0" w:right="0" w:firstLine="0"/>
              <w:jc w:val="left"/>
            </w:pPr>
            <w:r>
              <w:rPr>
                <w:b/>
                <w:sz w:val="19"/>
              </w:rPr>
              <w:t>$61,560</w:t>
            </w:r>
          </w:p>
        </w:tc>
        <w:tc>
          <w:tcPr>
            <w:tcW w:w="3440" w:type="dxa"/>
            <w:tcBorders>
              <w:top w:val="single" w:sz="2" w:space="0" w:color="C9D4E8"/>
              <w:left w:val="single" w:sz="2" w:space="0" w:color="C9D4E8"/>
              <w:bottom w:val="single" w:sz="2" w:space="0" w:color="C9D4E8"/>
              <w:right w:val="single" w:sz="2" w:space="0" w:color="C9D4E8"/>
            </w:tcBorders>
          </w:tcPr>
          <w:p w14:paraId="6EBDCFBE" w14:textId="77777777" w:rsidR="004A19CA" w:rsidRDefault="00673B00">
            <w:pPr>
              <w:spacing w:after="0" w:line="259" w:lineRule="auto"/>
              <w:ind w:left="0" w:right="0" w:firstLine="0"/>
              <w:jc w:val="left"/>
            </w:pPr>
            <w:r>
              <w:rPr>
                <w:sz w:val="19"/>
              </w:rPr>
              <w:t>Wages + benefits</w:t>
            </w:r>
          </w:p>
        </w:tc>
      </w:tr>
      <w:tr w:rsidR="004A19CA" w14:paraId="48727EC6" w14:textId="77777777">
        <w:trPr>
          <w:trHeight w:val="386"/>
        </w:trPr>
        <w:tc>
          <w:tcPr>
            <w:tcW w:w="3520" w:type="dxa"/>
            <w:tcBorders>
              <w:top w:val="single" w:sz="2" w:space="0" w:color="C9D4E8"/>
              <w:left w:val="single" w:sz="2" w:space="0" w:color="C9D4E8"/>
              <w:bottom w:val="single" w:sz="2" w:space="0" w:color="C9D4E8"/>
              <w:right w:val="single" w:sz="2" w:space="0" w:color="C9D4E8"/>
            </w:tcBorders>
          </w:tcPr>
          <w:p w14:paraId="24FFF560" w14:textId="77777777" w:rsidR="004A19CA" w:rsidRDefault="00673B00">
            <w:pPr>
              <w:spacing w:after="0" w:line="259" w:lineRule="auto"/>
              <w:ind w:left="0" w:right="0" w:firstLine="0"/>
              <w:jc w:val="left"/>
            </w:pPr>
            <w:r>
              <w:rPr>
                <w:sz w:val="19"/>
              </w:rPr>
              <w:t>Annual labor revenue (10-tech)</w:t>
            </w:r>
          </w:p>
        </w:tc>
        <w:tc>
          <w:tcPr>
            <w:tcW w:w="2400" w:type="dxa"/>
            <w:tcBorders>
              <w:top w:val="single" w:sz="2" w:space="0" w:color="C9D4E8"/>
              <w:left w:val="single" w:sz="2" w:space="0" w:color="C9D4E8"/>
              <w:bottom w:val="single" w:sz="2" w:space="0" w:color="C9D4E8"/>
              <w:right w:val="single" w:sz="2" w:space="0" w:color="C9D4E8"/>
            </w:tcBorders>
          </w:tcPr>
          <w:p w14:paraId="0A75358E" w14:textId="77777777" w:rsidR="004A19CA" w:rsidRDefault="00673B00">
            <w:pPr>
              <w:spacing w:after="0" w:line="259" w:lineRule="auto"/>
              <w:ind w:left="0" w:right="0" w:firstLine="0"/>
              <w:jc w:val="left"/>
            </w:pPr>
            <w:r>
              <w:rPr>
                <w:b/>
                <w:sz w:val="19"/>
              </w:rPr>
              <w:t>$2,717,000</w:t>
            </w:r>
          </w:p>
        </w:tc>
        <w:tc>
          <w:tcPr>
            <w:tcW w:w="3440" w:type="dxa"/>
            <w:tcBorders>
              <w:top w:val="single" w:sz="2" w:space="0" w:color="C9D4E8"/>
              <w:left w:val="single" w:sz="2" w:space="0" w:color="C9D4E8"/>
              <w:bottom w:val="single" w:sz="2" w:space="0" w:color="C9D4E8"/>
              <w:right w:val="single" w:sz="2" w:space="0" w:color="C9D4E8"/>
            </w:tcBorders>
          </w:tcPr>
          <w:p w14:paraId="4D942C40" w14:textId="77777777" w:rsidR="004A19CA" w:rsidRDefault="00673B00">
            <w:pPr>
              <w:spacing w:after="0" w:line="259" w:lineRule="auto"/>
              <w:ind w:left="0" w:right="0" w:firstLine="0"/>
              <w:jc w:val="left"/>
            </w:pPr>
            <w:r>
              <w:rPr>
                <w:sz w:val="19"/>
              </w:rPr>
              <w:t>Derived</w:t>
            </w:r>
          </w:p>
        </w:tc>
      </w:tr>
      <w:tr w:rsidR="004A19CA" w14:paraId="424D0A6E" w14:textId="77777777">
        <w:trPr>
          <w:trHeight w:val="384"/>
        </w:trPr>
        <w:tc>
          <w:tcPr>
            <w:tcW w:w="3520" w:type="dxa"/>
            <w:tcBorders>
              <w:top w:val="single" w:sz="2" w:space="0" w:color="C9D4E8"/>
              <w:left w:val="single" w:sz="2" w:space="0" w:color="C9D4E8"/>
              <w:bottom w:val="single" w:sz="2" w:space="0" w:color="C9D4E8"/>
              <w:right w:val="single" w:sz="2" w:space="0" w:color="C9D4E8"/>
            </w:tcBorders>
          </w:tcPr>
          <w:p w14:paraId="6B763E81" w14:textId="77777777" w:rsidR="004A19CA" w:rsidRDefault="00673B00">
            <w:pPr>
              <w:spacing w:after="0" w:line="259" w:lineRule="auto"/>
              <w:ind w:left="0" w:right="0" w:firstLine="0"/>
              <w:jc w:val="left"/>
            </w:pPr>
            <w:r>
              <w:rPr>
                <w:sz w:val="19"/>
              </w:rPr>
              <w:t>Annual total comp cost (10-tech)</w:t>
            </w:r>
          </w:p>
        </w:tc>
        <w:tc>
          <w:tcPr>
            <w:tcW w:w="2400" w:type="dxa"/>
            <w:tcBorders>
              <w:top w:val="single" w:sz="2" w:space="0" w:color="C9D4E8"/>
              <w:left w:val="single" w:sz="2" w:space="0" w:color="C9D4E8"/>
              <w:bottom w:val="single" w:sz="2" w:space="0" w:color="C9D4E8"/>
              <w:right w:val="single" w:sz="2" w:space="0" w:color="C9D4E8"/>
            </w:tcBorders>
          </w:tcPr>
          <w:p w14:paraId="3248CD21" w14:textId="77777777" w:rsidR="004A19CA" w:rsidRDefault="00673B00">
            <w:pPr>
              <w:spacing w:after="0" w:line="259" w:lineRule="auto"/>
              <w:ind w:left="0" w:right="0" w:firstLine="0"/>
              <w:jc w:val="left"/>
            </w:pPr>
            <w:r>
              <w:rPr>
                <w:b/>
                <w:sz w:val="19"/>
              </w:rPr>
              <w:t>$615,600</w:t>
            </w:r>
          </w:p>
        </w:tc>
        <w:tc>
          <w:tcPr>
            <w:tcW w:w="3440" w:type="dxa"/>
            <w:tcBorders>
              <w:top w:val="single" w:sz="2" w:space="0" w:color="C9D4E8"/>
              <w:left w:val="single" w:sz="2" w:space="0" w:color="C9D4E8"/>
              <w:bottom w:val="single" w:sz="2" w:space="0" w:color="C9D4E8"/>
              <w:right w:val="single" w:sz="2" w:space="0" w:color="C9D4E8"/>
            </w:tcBorders>
          </w:tcPr>
          <w:p w14:paraId="2DF244FB" w14:textId="77777777" w:rsidR="004A19CA" w:rsidRDefault="00673B00">
            <w:pPr>
              <w:spacing w:after="0" w:line="259" w:lineRule="auto"/>
              <w:ind w:left="0" w:right="0" w:firstLine="0"/>
              <w:jc w:val="left"/>
            </w:pPr>
            <w:r>
              <w:rPr>
                <w:sz w:val="19"/>
              </w:rPr>
              <w:t>Derived</w:t>
            </w:r>
          </w:p>
        </w:tc>
      </w:tr>
      <w:tr w:rsidR="004A19CA" w14:paraId="7E15E314" w14:textId="77777777">
        <w:trPr>
          <w:trHeight w:val="386"/>
        </w:trPr>
        <w:tc>
          <w:tcPr>
            <w:tcW w:w="3520" w:type="dxa"/>
            <w:tcBorders>
              <w:top w:val="single" w:sz="2" w:space="0" w:color="C9D4E8"/>
              <w:left w:val="single" w:sz="2" w:space="0" w:color="C9D4E8"/>
              <w:bottom w:val="single" w:sz="2" w:space="0" w:color="C9D4E8"/>
              <w:right w:val="single" w:sz="2" w:space="0" w:color="C9D4E8"/>
            </w:tcBorders>
          </w:tcPr>
          <w:p w14:paraId="2095EF1C" w14:textId="77777777" w:rsidR="004A19CA" w:rsidRDefault="00673B00">
            <w:pPr>
              <w:spacing w:after="0" w:line="259" w:lineRule="auto"/>
              <w:ind w:left="0" w:right="0" w:firstLine="0"/>
              <w:jc w:val="left"/>
            </w:pPr>
            <w:r>
              <w:rPr>
                <w:sz w:val="19"/>
              </w:rPr>
              <w:t>Current labor gross margin</w:t>
            </w:r>
          </w:p>
        </w:tc>
        <w:tc>
          <w:tcPr>
            <w:tcW w:w="2400" w:type="dxa"/>
            <w:tcBorders>
              <w:top w:val="single" w:sz="2" w:space="0" w:color="C9D4E8"/>
              <w:left w:val="single" w:sz="2" w:space="0" w:color="C9D4E8"/>
              <w:bottom w:val="single" w:sz="2" w:space="0" w:color="C9D4E8"/>
              <w:right w:val="single" w:sz="2" w:space="0" w:color="C9D4E8"/>
            </w:tcBorders>
          </w:tcPr>
          <w:p w14:paraId="3302D426" w14:textId="77777777" w:rsidR="004A19CA" w:rsidRDefault="00673B00">
            <w:pPr>
              <w:spacing w:after="0" w:line="259" w:lineRule="auto"/>
              <w:ind w:left="0" w:right="0" w:firstLine="0"/>
              <w:jc w:val="left"/>
            </w:pPr>
            <w:r>
              <w:rPr>
                <w:b/>
                <w:sz w:val="19"/>
              </w:rPr>
              <w:t>77.3%</w:t>
            </w:r>
          </w:p>
        </w:tc>
        <w:tc>
          <w:tcPr>
            <w:tcW w:w="3440" w:type="dxa"/>
            <w:tcBorders>
              <w:top w:val="single" w:sz="2" w:space="0" w:color="C9D4E8"/>
              <w:left w:val="single" w:sz="2" w:space="0" w:color="C9D4E8"/>
              <w:bottom w:val="single" w:sz="2" w:space="0" w:color="C9D4E8"/>
              <w:right w:val="single" w:sz="2" w:space="0" w:color="C9D4E8"/>
            </w:tcBorders>
          </w:tcPr>
          <w:p w14:paraId="0E917A84" w14:textId="77777777" w:rsidR="004A19CA" w:rsidRDefault="00673B00">
            <w:pPr>
              <w:spacing w:after="0" w:line="259" w:lineRule="auto"/>
              <w:ind w:left="0" w:right="0" w:firstLine="0"/>
              <w:jc w:val="left"/>
            </w:pPr>
            <w:r>
              <w:rPr>
                <w:sz w:val="19"/>
              </w:rPr>
              <w:t>Derived</w:t>
            </w:r>
          </w:p>
        </w:tc>
      </w:tr>
      <w:tr w:rsidR="004A19CA" w14:paraId="7461D308" w14:textId="77777777">
        <w:trPr>
          <w:trHeight w:val="604"/>
        </w:trPr>
        <w:tc>
          <w:tcPr>
            <w:tcW w:w="3520" w:type="dxa"/>
            <w:tcBorders>
              <w:top w:val="single" w:sz="2" w:space="0" w:color="C9D4E8"/>
              <w:left w:val="single" w:sz="2" w:space="0" w:color="C9D4E8"/>
              <w:bottom w:val="single" w:sz="2" w:space="0" w:color="C9D4E8"/>
              <w:right w:val="single" w:sz="2" w:space="0" w:color="C9D4E8"/>
            </w:tcBorders>
          </w:tcPr>
          <w:p w14:paraId="28B58142" w14:textId="77777777" w:rsidR="004A19CA" w:rsidRDefault="00673B00">
            <w:pPr>
              <w:spacing w:after="0" w:line="259" w:lineRule="auto"/>
              <w:ind w:left="0" w:right="0" w:firstLine="0"/>
              <w:jc w:val="left"/>
            </w:pPr>
            <w:r>
              <w:rPr>
                <w:sz w:val="19"/>
              </w:rPr>
              <w:t>Annual customer-pay ROs per tech</w:t>
            </w:r>
          </w:p>
        </w:tc>
        <w:tc>
          <w:tcPr>
            <w:tcW w:w="2400" w:type="dxa"/>
            <w:tcBorders>
              <w:top w:val="single" w:sz="2" w:space="0" w:color="C9D4E8"/>
              <w:left w:val="single" w:sz="2" w:space="0" w:color="C9D4E8"/>
              <w:bottom w:val="single" w:sz="2" w:space="0" w:color="C9D4E8"/>
              <w:right w:val="single" w:sz="2" w:space="0" w:color="C9D4E8"/>
            </w:tcBorders>
          </w:tcPr>
          <w:p w14:paraId="562C98B7" w14:textId="77777777" w:rsidR="004A19CA" w:rsidRDefault="00673B00">
            <w:pPr>
              <w:spacing w:after="0" w:line="259" w:lineRule="auto"/>
              <w:ind w:left="0" w:right="0" w:firstLine="0"/>
              <w:jc w:val="left"/>
            </w:pPr>
            <w:r>
              <w:rPr>
                <w:b/>
                <w:sz w:val="19"/>
              </w:rPr>
              <w:t>~950 (79/month)</w:t>
            </w:r>
          </w:p>
        </w:tc>
        <w:tc>
          <w:tcPr>
            <w:tcW w:w="3440" w:type="dxa"/>
            <w:tcBorders>
              <w:top w:val="single" w:sz="2" w:space="0" w:color="C9D4E8"/>
              <w:left w:val="single" w:sz="2" w:space="0" w:color="C9D4E8"/>
              <w:bottom w:val="single" w:sz="2" w:space="0" w:color="C9D4E8"/>
              <w:right w:val="single" w:sz="2" w:space="0" w:color="C9D4E8"/>
            </w:tcBorders>
          </w:tcPr>
          <w:p w14:paraId="07EB9939" w14:textId="77777777" w:rsidR="004A19CA" w:rsidRDefault="00673B00">
            <w:pPr>
              <w:spacing w:after="0" w:line="259" w:lineRule="auto"/>
              <w:ind w:left="0" w:right="0" w:firstLine="0"/>
              <w:jc w:val="left"/>
            </w:pPr>
            <w:r>
              <w:rPr>
                <w:sz w:val="19"/>
              </w:rPr>
              <w:t>At $279 labor/RO, NADA (2025b)</w:t>
            </w:r>
          </w:p>
        </w:tc>
      </w:tr>
    </w:tbl>
    <w:p w14:paraId="67E9C401" w14:textId="77777777" w:rsidR="004A19CA" w:rsidRDefault="00673B00">
      <w:pPr>
        <w:spacing w:after="300" w:line="290" w:lineRule="auto"/>
        <w:ind w:left="-5" w:right="29"/>
        <w:jc w:val="left"/>
      </w:pPr>
      <w:r>
        <w:rPr>
          <w:i/>
          <w:color w:val="595959"/>
          <w:sz w:val="19"/>
        </w:rPr>
        <w:t>The model uses an effective realized rate of $143, roughly 77 percent of NADA’s $186 customer mechanical door rate, because warranty and internal work bill below the posted rate. NADA’s 2025 average dealership writes 16,252 repair orders across 16 technicians including body shop; the illustrative ten-service-technician store here carries a customer-pay subset of roughly 9,500 repair orders, consistent with NADA customer mechanical and express volumes (National Automobile Dealers Association, 2025b). The 38-</w:t>
      </w:r>
      <w:r>
        <w:rPr>
          <w:i/>
          <w:color w:val="595959"/>
          <w:sz w:val="19"/>
        </w:rPr>
        <w:t>hour figure reflects a 95 percent aspirational efficiency benchmark; operators should adjust to actual store performance. The $27 flat-rate hour is a representative modeling assumption, not a market quote. The benefits load applies to base wages; incentive premiums are modeled without benefits load, consistent with typical bonus treatment, and operators whose benefit plans load premiums should adjust accordingly. Salaried models assume 2,000 paid production-scheduled hours, a 50-week working year with two w</w:t>
      </w:r>
      <w:r>
        <w:rPr>
          <w:i/>
          <w:color w:val="595959"/>
          <w:sz w:val="19"/>
        </w:rPr>
        <w:t>eeks of paid time off carried in the benefits load.</w:t>
      </w:r>
    </w:p>
    <w:p w14:paraId="0E113C00" w14:textId="77777777" w:rsidR="004A19CA" w:rsidRDefault="00673B00">
      <w:pPr>
        <w:pStyle w:val="Heading2"/>
        <w:spacing w:after="175"/>
        <w:ind w:left="-5"/>
      </w:pPr>
      <w:r>
        <w:t>10.2   Model-by-Model Financial Analysis</w:t>
      </w:r>
    </w:p>
    <w:p w14:paraId="4637731D" w14:textId="77777777" w:rsidR="004A19CA" w:rsidRDefault="00673B00">
      <w:pPr>
        <w:pStyle w:val="Heading3"/>
        <w:ind w:left="-5"/>
      </w:pPr>
      <w:r>
        <w:t>Model 1: The Revenue Alignment Model</w:t>
      </w:r>
    </w:p>
    <w:p w14:paraId="5847F254" w14:textId="77777777" w:rsidR="004A19CA" w:rsidRDefault="00673B00">
      <w:pPr>
        <w:spacing w:after="0"/>
        <w:ind w:left="-5" w:right="9"/>
      </w:pPr>
      <w:r>
        <w:t>Participation rate of 19 percent of labor revenue billed. Above $21,000 per month in labor revenue, the rate steps to 22 percent. Quality multiplier of 1.10 when comeback rate is below 2 percent and CSI exceeds the store’s 90th-percentile benchmark. Guaranteed floor of $800 per week, or $40,000 per year.</w:t>
      </w:r>
    </w:p>
    <w:tbl>
      <w:tblPr>
        <w:tblStyle w:val="TableGrid"/>
        <w:tblW w:w="9360" w:type="dxa"/>
        <w:tblInd w:w="0" w:type="dxa"/>
        <w:tblCellMar>
          <w:top w:w="80" w:type="dxa"/>
          <w:left w:w="121" w:type="dxa"/>
          <w:bottom w:w="0" w:type="dxa"/>
          <w:right w:w="115" w:type="dxa"/>
        </w:tblCellMar>
        <w:tblLook w:val="04A0" w:firstRow="1" w:lastRow="0" w:firstColumn="1" w:lastColumn="0" w:noHBand="0" w:noVBand="1"/>
      </w:tblPr>
      <w:tblGrid>
        <w:gridCol w:w="3520"/>
        <w:gridCol w:w="2918"/>
        <w:gridCol w:w="2922"/>
      </w:tblGrid>
      <w:tr w:rsidR="004A19CA" w14:paraId="155D7164" w14:textId="77777777">
        <w:trPr>
          <w:trHeight w:val="385"/>
        </w:trPr>
        <w:tc>
          <w:tcPr>
            <w:tcW w:w="3520" w:type="dxa"/>
            <w:tcBorders>
              <w:top w:val="single" w:sz="2" w:space="0" w:color="C9D4E8"/>
              <w:left w:val="single" w:sz="2" w:space="0" w:color="C9D4E8"/>
              <w:bottom w:val="single" w:sz="2" w:space="0" w:color="C9D4E8"/>
              <w:right w:val="single" w:sz="2" w:space="0" w:color="C9D4E8"/>
            </w:tcBorders>
            <w:shd w:val="clear" w:color="auto" w:fill="1F3864"/>
          </w:tcPr>
          <w:p w14:paraId="5B2875B4" w14:textId="77777777" w:rsidR="004A19CA" w:rsidRDefault="00673B00">
            <w:pPr>
              <w:spacing w:after="0" w:line="259" w:lineRule="auto"/>
              <w:ind w:left="0" w:right="0" w:firstLine="0"/>
              <w:jc w:val="left"/>
            </w:pPr>
            <w:r>
              <w:rPr>
                <w:b/>
                <w:color w:val="FFFFFF"/>
                <w:sz w:val="19"/>
              </w:rPr>
              <w:t>Metric</w:t>
            </w:r>
          </w:p>
        </w:tc>
        <w:tc>
          <w:tcPr>
            <w:tcW w:w="2918" w:type="dxa"/>
            <w:tcBorders>
              <w:top w:val="single" w:sz="2" w:space="0" w:color="C9D4E8"/>
              <w:left w:val="single" w:sz="2" w:space="0" w:color="C9D4E8"/>
              <w:bottom w:val="single" w:sz="2" w:space="0" w:color="C9D4E8"/>
              <w:right w:val="single" w:sz="2" w:space="0" w:color="C9D4E8"/>
            </w:tcBorders>
            <w:shd w:val="clear" w:color="auto" w:fill="1F3864"/>
          </w:tcPr>
          <w:p w14:paraId="3A385787" w14:textId="77777777" w:rsidR="004A19CA" w:rsidRDefault="00673B00">
            <w:pPr>
              <w:spacing w:after="0" w:line="259" w:lineRule="auto"/>
              <w:ind w:left="0" w:right="0" w:firstLine="0"/>
              <w:jc w:val="left"/>
            </w:pPr>
            <w:r>
              <w:rPr>
                <w:b/>
                <w:color w:val="FFFFFF"/>
                <w:sz w:val="19"/>
              </w:rPr>
              <w:t>Current Flat-Rate</w:t>
            </w:r>
          </w:p>
        </w:tc>
        <w:tc>
          <w:tcPr>
            <w:tcW w:w="2922" w:type="dxa"/>
            <w:tcBorders>
              <w:top w:val="single" w:sz="2" w:space="0" w:color="C9D4E8"/>
              <w:left w:val="single" w:sz="2" w:space="0" w:color="C9D4E8"/>
              <w:bottom w:val="single" w:sz="2" w:space="0" w:color="C9D4E8"/>
              <w:right w:val="single" w:sz="2" w:space="0" w:color="C9D4E8"/>
            </w:tcBorders>
            <w:shd w:val="clear" w:color="auto" w:fill="1F3864"/>
          </w:tcPr>
          <w:p w14:paraId="1E82A76B" w14:textId="77777777" w:rsidR="004A19CA" w:rsidRDefault="00673B00">
            <w:pPr>
              <w:spacing w:after="0" w:line="259" w:lineRule="auto"/>
              <w:ind w:left="1" w:right="0" w:firstLine="0"/>
              <w:jc w:val="left"/>
            </w:pPr>
            <w:r>
              <w:rPr>
                <w:b/>
                <w:color w:val="FFFFFF"/>
                <w:sz w:val="19"/>
              </w:rPr>
              <w:t>Model 1</w:t>
            </w:r>
          </w:p>
        </w:tc>
      </w:tr>
      <w:tr w:rsidR="004A19CA" w14:paraId="0DFB38CF" w14:textId="77777777">
        <w:trPr>
          <w:trHeight w:val="385"/>
        </w:trPr>
        <w:tc>
          <w:tcPr>
            <w:tcW w:w="3520" w:type="dxa"/>
            <w:tcBorders>
              <w:top w:val="single" w:sz="2" w:space="0" w:color="C9D4E8"/>
              <w:left w:val="single" w:sz="2" w:space="0" w:color="C9D4E8"/>
              <w:bottom w:val="single" w:sz="2" w:space="0" w:color="C9D4E8"/>
              <w:right w:val="single" w:sz="2" w:space="0" w:color="C9D4E8"/>
            </w:tcBorders>
          </w:tcPr>
          <w:p w14:paraId="3CD3C1AD" w14:textId="77777777" w:rsidR="004A19CA" w:rsidRDefault="00673B00">
            <w:pPr>
              <w:spacing w:after="0" w:line="259" w:lineRule="auto"/>
              <w:ind w:left="0" w:right="0" w:firstLine="0"/>
              <w:jc w:val="left"/>
            </w:pPr>
            <w:r>
              <w:rPr>
                <w:sz w:val="19"/>
              </w:rPr>
              <w:t>Avg annual tech wage</w:t>
            </w:r>
          </w:p>
        </w:tc>
        <w:tc>
          <w:tcPr>
            <w:tcW w:w="2918" w:type="dxa"/>
            <w:tcBorders>
              <w:top w:val="single" w:sz="2" w:space="0" w:color="C9D4E8"/>
              <w:left w:val="single" w:sz="2" w:space="0" w:color="C9D4E8"/>
              <w:bottom w:val="single" w:sz="2" w:space="0" w:color="C9D4E8"/>
              <w:right w:val="single" w:sz="2" w:space="0" w:color="C9D4E8"/>
            </w:tcBorders>
          </w:tcPr>
          <w:p w14:paraId="22B9D41B" w14:textId="77777777" w:rsidR="004A19CA" w:rsidRDefault="00673B00">
            <w:pPr>
              <w:spacing w:after="0" w:line="259" w:lineRule="auto"/>
              <w:ind w:left="0" w:right="0" w:firstLine="0"/>
              <w:jc w:val="left"/>
            </w:pPr>
            <w:r>
              <w:rPr>
                <w:sz w:val="19"/>
              </w:rPr>
              <w:t>$51,300</w:t>
            </w:r>
          </w:p>
        </w:tc>
        <w:tc>
          <w:tcPr>
            <w:tcW w:w="2922" w:type="dxa"/>
            <w:tcBorders>
              <w:top w:val="single" w:sz="2" w:space="0" w:color="C9D4E8"/>
              <w:left w:val="single" w:sz="2" w:space="0" w:color="C9D4E8"/>
              <w:bottom w:val="single" w:sz="2" w:space="0" w:color="C9D4E8"/>
              <w:right w:val="single" w:sz="2" w:space="0" w:color="C9D4E8"/>
            </w:tcBorders>
          </w:tcPr>
          <w:p w14:paraId="4E0AC382" w14:textId="77777777" w:rsidR="004A19CA" w:rsidRDefault="00673B00">
            <w:pPr>
              <w:spacing w:after="0" w:line="259" w:lineRule="auto"/>
              <w:ind w:left="1" w:right="0" w:firstLine="0"/>
              <w:jc w:val="left"/>
            </w:pPr>
            <w:r>
              <w:rPr>
                <w:b/>
                <w:sz w:val="19"/>
              </w:rPr>
              <w:t>$51,558 (+0.5%)</w:t>
            </w:r>
          </w:p>
        </w:tc>
      </w:tr>
      <w:tr w:rsidR="004A19CA" w14:paraId="2290042E" w14:textId="77777777">
        <w:trPr>
          <w:trHeight w:val="386"/>
        </w:trPr>
        <w:tc>
          <w:tcPr>
            <w:tcW w:w="3520" w:type="dxa"/>
            <w:tcBorders>
              <w:top w:val="single" w:sz="2" w:space="0" w:color="C9D4E8"/>
              <w:left w:val="single" w:sz="2" w:space="0" w:color="C9D4E8"/>
              <w:bottom w:val="single" w:sz="2" w:space="0" w:color="C9D4E8"/>
              <w:right w:val="single" w:sz="2" w:space="0" w:color="C9D4E8"/>
            </w:tcBorders>
          </w:tcPr>
          <w:p w14:paraId="79BF03DC" w14:textId="77777777" w:rsidR="004A19CA" w:rsidRDefault="00673B00">
            <w:pPr>
              <w:spacing w:after="0" w:line="259" w:lineRule="auto"/>
              <w:ind w:left="0" w:right="0" w:firstLine="0"/>
              <w:jc w:val="left"/>
            </w:pPr>
            <w:r>
              <w:rPr>
                <w:sz w:val="19"/>
              </w:rPr>
              <w:t>Annual shop additional cost</w:t>
            </w:r>
          </w:p>
        </w:tc>
        <w:tc>
          <w:tcPr>
            <w:tcW w:w="2918" w:type="dxa"/>
            <w:tcBorders>
              <w:top w:val="single" w:sz="2" w:space="0" w:color="C9D4E8"/>
              <w:left w:val="single" w:sz="2" w:space="0" w:color="C9D4E8"/>
              <w:bottom w:val="single" w:sz="2" w:space="0" w:color="C9D4E8"/>
              <w:right w:val="single" w:sz="2" w:space="0" w:color="C9D4E8"/>
            </w:tcBorders>
          </w:tcPr>
          <w:p w14:paraId="300404A3" w14:textId="77777777" w:rsidR="004A19CA" w:rsidRDefault="00673B00">
            <w:pPr>
              <w:spacing w:after="0" w:line="259" w:lineRule="auto"/>
              <w:ind w:left="0" w:right="0" w:firstLine="0"/>
              <w:jc w:val="left"/>
            </w:pPr>
            <w:r>
              <w:rPr>
                <w:sz w:val="19"/>
              </w:rPr>
              <w:t>N/A</w:t>
            </w:r>
          </w:p>
        </w:tc>
        <w:tc>
          <w:tcPr>
            <w:tcW w:w="2922" w:type="dxa"/>
            <w:tcBorders>
              <w:top w:val="single" w:sz="2" w:space="0" w:color="C9D4E8"/>
              <w:left w:val="single" w:sz="2" w:space="0" w:color="C9D4E8"/>
              <w:bottom w:val="single" w:sz="2" w:space="0" w:color="C9D4E8"/>
              <w:right w:val="single" w:sz="2" w:space="0" w:color="C9D4E8"/>
            </w:tcBorders>
          </w:tcPr>
          <w:p w14:paraId="2532A27B" w14:textId="77777777" w:rsidR="004A19CA" w:rsidRDefault="00673B00">
            <w:pPr>
              <w:spacing w:after="0" w:line="259" w:lineRule="auto"/>
              <w:ind w:left="1" w:right="0" w:firstLine="0"/>
              <w:jc w:val="left"/>
            </w:pPr>
            <w:r>
              <w:rPr>
                <w:b/>
                <w:sz w:val="19"/>
              </w:rPr>
              <w:t>$5,700</w:t>
            </w:r>
          </w:p>
        </w:tc>
      </w:tr>
      <w:tr w:rsidR="004A19CA" w14:paraId="7D2FAFA6" w14:textId="77777777">
        <w:trPr>
          <w:trHeight w:val="384"/>
        </w:trPr>
        <w:tc>
          <w:tcPr>
            <w:tcW w:w="3520" w:type="dxa"/>
            <w:tcBorders>
              <w:top w:val="single" w:sz="2" w:space="0" w:color="C9D4E8"/>
              <w:left w:val="single" w:sz="2" w:space="0" w:color="C9D4E8"/>
              <w:bottom w:val="single" w:sz="2" w:space="0" w:color="C9D4E8"/>
              <w:right w:val="single" w:sz="2" w:space="0" w:color="C9D4E8"/>
            </w:tcBorders>
          </w:tcPr>
          <w:p w14:paraId="09FD14BB" w14:textId="77777777" w:rsidR="004A19CA" w:rsidRDefault="00673B00">
            <w:pPr>
              <w:spacing w:after="0" w:line="259" w:lineRule="auto"/>
              <w:ind w:left="0" w:right="0" w:firstLine="0"/>
              <w:jc w:val="left"/>
            </w:pPr>
            <w:r>
              <w:rPr>
                <w:sz w:val="19"/>
              </w:rPr>
              <w:t>Labor gross margin</w:t>
            </w:r>
          </w:p>
        </w:tc>
        <w:tc>
          <w:tcPr>
            <w:tcW w:w="2918" w:type="dxa"/>
            <w:tcBorders>
              <w:top w:val="single" w:sz="2" w:space="0" w:color="C9D4E8"/>
              <w:left w:val="single" w:sz="2" w:space="0" w:color="C9D4E8"/>
              <w:bottom w:val="single" w:sz="2" w:space="0" w:color="C9D4E8"/>
              <w:right w:val="single" w:sz="2" w:space="0" w:color="C9D4E8"/>
            </w:tcBorders>
          </w:tcPr>
          <w:p w14:paraId="4D11105E" w14:textId="77777777" w:rsidR="004A19CA" w:rsidRDefault="00673B00">
            <w:pPr>
              <w:spacing w:after="0" w:line="259" w:lineRule="auto"/>
              <w:ind w:left="0" w:right="0" w:firstLine="0"/>
              <w:jc w:val="left"/>
            </w:pPr>
            <w:r>
              <w:rPr>
                <w:sz w:val="19"/>
              </w:rPr>
              <w:t>77.3%</w:t>
            </w:r>
          </w:p>
        </w:tc>
        <w:tc>
          <w:tcPr>
            <w:tcW w:w="2922" w:type="dxa"/>
            <w:tcBorders>
              <w:top w:val="single" w:sz="2" w:space="0" w:color="C9D4E8"/>
              <w:left w:val="single" w:sz="2" w:space="0" w:color="C9D4E8"/>
              <w:bottom w:val="single" w:sz="2" w:space="0" w:color="C9D4E8"/>
              <w:right w:val="single" w:sz="2" w:space="0" w:color="C9D4E8"/>
            </w:tcBorders>
          </w:tcPr>
          <w:p w14:paraId="22ADB619" w14:textId="77777777" w:rsidR="004A19CA" w:rsidRDefault="00673B00">
            <w:pPr>
              <w:spacing w:after="0" w:line="259" w:lineRule="auto"/>
              <w:ind w:left="1" w:right="0" w:firstLine="0"/>
              <w:jc w:val="left"/>
            </w:pPr>
            <w:r>
              <w:rPr>
                <w:b/>
                <w:sz w:val="19"/>
              </w:rPr>
              <w:t>77.1% (−0.2 pts)</w:t>
            </w:r>
          </w:p>
        </w:tc>
      </w:tr>
      <w:tr w:rsidR="004A19CA" w14:paraId="65B66877" w14:textId="77777777">
        <w:trPr>
          <w:trHeight w:val="386"/>
        </w:trPr>
        <w:tc>
          <w:tcPr>
            <w:tcW w:w="3520" w:type="dxa"/>
            <w:tcBorders>
              <w:top w:val="single" w:sz="2" w:space="0" w:color="C9D4E8"/>
              <w:left w:val="single" w:sz="2" w:space="0" w:color="C9D4E8"/>
              <w:bottom w:val="single" w:sz="2" w:space="0" w:color="C9D4E8"/>
              <w:right w:val="single" w:sz="2" w:space="0" w:color="C9D4E8"/>
            </w:tcBorders>
          </w:tcPr>
          <w:p w14:paraId="297279F4" w14:textId="77777777" w:rsidR="004A19CA" w:rsidRDefault="00673B00">
            <w:pPr>
              <w:spacing w:after="0" w:line="259" w:lineRule="auto"/>
              <w:ind w:left="0" w:right="0" w:firstLine="0"/>
              <w:jc w:val="left"/>
            </w:pPr>
            <w:r>
              <w:rPr>
                <w:sz w:val="19"/>
              </w:rPr>
              <w:t>Break-even RO recovery</w:t>
            </w:r>
          </w:p>
        </w:tc>
        <w:tc>
          <w:tcPr>
            <w:tcW w:w="2918" w:type="dxa"/>
            <w:tcBorders>
              <w:top w:val="single" w:sz="2" w:space="0" w:color="C9D4E8"/>
              <w:left w:val="single" w:sz="2" w:space="0" w:color="C9D4E8"/>
              <w:bottom w:val="single" w:sz="2" w:space="0" w:color="C9D4E8"/>
              <w:right w:val="single" w:sz="2" w:space="0" w:color="C9D4E8"/>
            </w:tcBorders>
          </w:tcPr>
          <w:p w14:paraId="27BD48DA" w14:textId="77777777" w:rsidR="004A19CA" w:rsidRDefault="00673B00">
            <w:pPr>
              <w:spacing w:after="0" w:line="259" w:lineRule="auto"/>
              <w:ind w:left="0" w:right="0" w:firstLine="0"/>
              <w:jc w:val="left"/>
            </w:pPr>
            <w:r>
              <w:rPr>
                <w:sz w:val="19"/>
              </w:rPr>
              <w:t>N/A</w:t>
            </w:r>
          </w:p>
        </w:tc>
        <w:tc>
          <w:tcPr>
            <w:tcW w:w="2922" w:type="dxa"/>
            <w:tcBorders>
              <w:top w:val="single" w:sz="2" w:space="0" w:color="C9D4E8"/>
              <w:left w:val="single" w:sz="2" w:space="0" w:color="C9D4E8"/>
              <w:bottom w:val="single" w:sz="2" w:space="0" w:color="C9D4E8"/>
              <w:right w:val="single" w:sz="2" w:space="0" w:color="C9D4E8"/>
            </w:tcBorders>
          </w:tcPr>
          <w:p w14:paraId="23A0AA6A" w14:textId="77777777" w:rsidR="004A19CA" w:rsidRDefault="00673B00">
            <w:pPr>
              <w:spacing w:after="0" w:line="259" w:lineRule="auto"/>
              <w:ind w:left="1" w:right="0" w:firstLine="0"/>
              <w:jc w:val="left"/>
            </w:pPr>
            <w:r>
              <w:rPr>
                <w:b/>
                <w:sz w:val="19"/>
              </w:rPr>
              <w:t>None required</w:t>
            </w:r>
          </w:p>
        </w:tc>
      </w:tr>
      <w:tr w:rsidR="004A19CA" w14:paraId="57519C9C" w14:textId="77777777">
        <w:trPr>
          <w:trHeight w:val="384"/>
        </w:trPr>
        <w:tc>
          <w:tcPr>
            <w:tcW w:w="3520" w:type="dxa"/>
            <w:tcBorders>
              <w:top w:val="single" w:sz="2" w:space="0" w:color="C9D4E8"/>
              <w:left w:val="single" w:sz="2" w:space="0" w:color="C9D4E8"/>
              <w:bottom w:val="single" w:sz="2" w:space="0" w:color="C9D4E8"/>
              <w:right w:val="single" w:sz="2" w:space="0" w:color="C9D4E8"/>
            </w:tcBorders>
          </w:tcPr>
          <w:p w14:paraId="21D293C5" w14:textId="77777777" w:rsidR="004A19CA" w:rsidRDefault="00673B00">
            <w:pPr>
              <w:spacing w:after="0" w:line="259" w:lineRule="auto"/>
              <w:ind w:left="0" w:right="0" w:firstLine="0"/>
              <w:jc w:val="left"/>
            </w:pPr>
            <w:r>
              <w:rPr>
                <w:sz w:val="19"/>
              </w:rPr>
              <w:t>Net impact year 1</w:t>
            </w:r>
          </w:p>
        </w:tc>
        <w:tc>
          <w:tcPr>
            <w:tcW w:w="2918" w:type="dxa"/>
            <w:tcBorders>
              <w:top w:val="single" w:sz="2" w:space="0" w:color="C9D4E8"/>
              <w:left w:val="single" w:sz="2" w:space="0" w:color="C9D4E8"/>
              <w:bottom w:val="single" w:sz="2" w:space="0" w:color="C9D4E8"/>
              <w:right w:val="single" w:sz="2" w:space="0" w:color="C9D4E8"/>
            </w:tcBorders>
          </w:tcPr>
          <w:p w14:paraId="267BADAE" w14:textId="77777777" w:rsidR="004A19CA" w:rsidRDefault="00673B00">
            <w:pPr>
              <w:spacing w:after="0" w:line="259" w:lineRule="auto"/>
              <w:ind w:left="0" w:right="0" w:firstLine="0"/>
              <w:jc w:val="left"/>
            </w:pPr>
            <w:r>
              <w:rPr>
                <w:sz w:val="19"/>
              </w:rPr>
              <w:t>N/A</w:t>
            </w:r>
          </w:p>
        </w:tc>
        <w:tc>
          <w:tcPr>
            <w:tcW w:w="2922" w:type="dxa"/>
            <w:tcBorders>
              <w:top w:val="single" w:sz="2" w:space="0" w:color="C9D4E8"/>
              <w:left w:val="single" w:sz="2" w:space="0" w:color="C9D4E8"/>
              <w:bottom w:val="single" w:sz="2" w:space="0" w:color="C9D4E8"/>
              <w:right w:val="single" w:sz="2" w:space="0" w:color="C9D4E8"/>
            </w:tcBorders>
          </w:tcPr>
          <w:p w14:paraId="71C2C021" w14:textId="77777777" w:rsidR="004A19CA" w:rsidRDefault="00673B00">
            <w:pPr>
              <w:spacing w:after="0" w:line="259" w:lineRule="auto"/>
              <w:ind w:left="1" w:right="0" w:firstLine="0"/>
              <w:jc w:val="left"/>
            </w:pPr>
            <w:r>
              <w:rPr>
                <w:b/>
                <w:sz w:val="19"/>
              </w:rPr>
              <w:t>Positive</w:t>
            </w:r>
          </w:p>
        </w:tc>
      </w:tr>
    </w:tbl>
    <w:p w14:paraId="70F1F8CA" w14:textId="77777777" w:rsidR="004A19CA" w:rsidRDefault="00673B00">
      <w:pPr>
        <w:spacing w:after="220"/>
        <w:ind w:left="-5" w:right="9"/>
      </w:pPr>
      <w:r>
        <w:t>This is the most cost-neutral transition of the five. The quality multiplier cost of $5,700 annually, the blended incremental cost above the base participation rate at anticipated attainment levels, is more than offset by comeback reduction savings under the stated assumptions. The model produces positive net impact within the first year without any volume recovery.</w:t>
      </w:r>
    </w:p>
    <w:p w14:paraId="0DE261B6" w14:textId="77777777" w:rsidR="004A19CA" w:rsidRDefault="00673B00">
      <w:pPr>
        <w:pStyle w:val="Heading3"/>
        <w:ind w:left="-5"/>
      </w:pPr>
      <w:r>
        <w:t>Model 2: The Downstream Model</w:t>
      </w:r>
    </w:p>
    <w:p w14:paraId="40CB2E34" w14:textId="77777777" w:rsidR="004A19CA" w:rsidRDefault="00673B00">
      <w:pPr>
        <w:spacing w:after="4"/>
        <w:ind w:left="-5" w:right="9"/>
      </w:pPr>
      <w:r>
        <w:t xml:space="preserve">Guaranteed base of $27 per hour across 2,000 paid annual hours, or $54,000 per year, with every hour paid. Downstream premium maximum of $8,000 per year. </w:t>
      </w:r>
    </w:p>
    <w:p w14:paraId="4DB84560" w14:textId="77777777" w:rsidR="004A19CA" w:rsidRDefault="00673B00">
      <w:pPr>
        <w:spacing w:after="0"/>
        <w:ind w:left="-5" w:right="9"/>
      </w:pPr>
      <w:r>
        <w:t>Average realistic premium at 70 percent metric attainment is $5,600.</w:t>
      </w:r>
    </w:p>
    <w:tbl>
      <w:tblPr>
        <w:tblStyle w:val="TableGrid"/>
        <w:tblW w:w="9360" w:type="dxa"/>
        <w:tblInd w:w="0" w:type="dxa"/>
        <w:tblCellMar>
          <w:top w:w="80" w:type="dxa"/>
          <w:left w:w="121" w:type="dxa"/>
          <w:bottom w:w="0" w:type="dxa"/>
          <w:right w:w="115" w:type="dxa"/>
        </w:tblCellMar>
        <w:tblLook w:val="04A0" w:firstRow="1" w:lastRow="0" w:firstColumn="1" w:lastColumn="0" w:noHBand="0" w:noVBand="1"/>
      </w:tblPr>
      <w:tblGrid>
        <w:gridCol w:w="3520"/>
        <w:gridCol w:w="2918"/>
        <w:gridCol w:w="2922"/>
      </w:tblGrid>
      <w:tr w:rsidR="004A19CA" w14:paraId="1C27DA34" w14:textId="77777777">
        <w:trPr>
          <w:trHeight w:val="385"/>
        </w:trPr>
        <w:tc>
          <w:tcPr>
            <w:tcW w:w="3520" w:type="dxa"/>
            <w:tcBorders>
              <w:top w:val="single" w:sz="2" w:space="0" w:color="C9D4E8"/>
              <w:left w:val="single" w:sz="2" w:space="0" w:color="C9D4E8"/>
              <w:bottom w:val="single" w:sz="2" w:space="0" w:color="C9D4E8"/>
              <w:right w:val="single" w:sz="2" w:space="0" w:color="C9D4E8"/>
            </w:tcBorders>
            <w:shd w:val="clear" w:color="auto" w:fill="1F3864"/>
          </w:tcPr>
          <w:p w14:paraId="314A4E77" w14:textId="77777777" w:rsidR="004A19CA" w:rsidRDefault="00673B00">
            <w:pPr>
              <w:spacing w:after="0" w:line="259" w:lineRule="auto"/>
              <w:ind w:left="0" w:right="0" w:firstLine="0"/>
              <w:jc w:val="left"/>
            </w:pPr>
            <w:r>
              <w:rPr>
                <w:b/>
                <w:color w:val="FFFFFF"/>
                <w:sz w:val="19"/>
              </w:rPr>
              <w:t>Metric</w:t>
            </w:r>
          </w:p>
        </w:tc>
        <w:tc>
          <w:tcPr>
            <w:tcW w:w="2918" w:type="dxa"/>
            <w:tcBorders>
              <w:top w:val="single" w:sz="2" w:space="0" w:color="C9D4E8"/>
              <w:left w:val="single" w:sz="2" w:space="0" w:color="C9D4E8"/>
              <w:bottom w:val="single" w:sz="2" w:space="0" w:color="C9D4E8"/>
              <w:right w:val="single" w:sz="2" w:space="0" w:color="C9D4E8"/>
            </w:tcBorders>
            <w:shd w:val="clear" w:color="auto" w:fill="1F3864"/>
          </w:tcPr>
          <w:p w14:paraId="0AB0F5DD" w14:textId="77777777" w:rsidR="004A19CA" w:rsidRDefault="00673B00">
            <w:pPr>
              <w:spacing w:after="0" w:line="259" w:lineRule="auto"/>
              <w:ind w:left="0" w:right="0" w:firstLine="0"/>
              <w:jc w:val="left"/>
            </w:pPr>
            <w:r>
              <w:rPr>
                <w:b/>
                <w:color w:val="FFFFFF"/>
                <w:sz w:val="19"/>
              </w:rPr>
              <w:t>Current Flat-Rate</w:t>
            </w:r>
          </w:p>
        </w:tc>
        <w:tc>
          <w:tcPr>
            <w:tcW w:w="2922" w:type="dxa"/>
            <w:tcBorders>
              <w:top w:val="single" w:sz="2" w:space="0" w:color="C9D4E8"/>
              <w:left w:val="single" w:sz="2" w:space="0" w:color="C9D4E8"/>
              <w:bottom w:val="single" w:sz="2" w:space="0" w:color="C9D4E8"/>
              <w:right w:val="single" w:sz="2" w:space="0" w:color="C9D4E8"/>
            </w:tcBorders>
            <w:shd w:val="clear" w:color="auto" w:fill="1F3864"/>
          </w:tcPr>
          <w:p w14:paraId="41D4CF77" w14:textId="77777777" w:rsidR="004A19CA" w:rsidRDefault="00673B00">
            <w:pPr>
              <w:spacing w:after="0" w:line="259" w:lineRule="auto"/>
              <w:ind w:left="1" w:right="0" w:firstLine="0"/>
              <w:jc w:val="left"/>
            </w:pPr>
            <w:r>
              <w:rPr>
                <w:b/>
                <w:color w:val="FFFFFF"/>
                <w:sz w:val="19"/>
              </w:rPr>
              <w:t>Model 2</w:t>
            </w:r>
          </w:p>
        </w:tc>
      </w:tr>
      <w:tr w:rsidR="004A19CA" w14:paraId="6C20C7A5" w14:textId="77777777">
        <w:trPr>
          <w:trHeight w:val="385"/>
        </w:trPr>
        <w:tc>
          <w:tcPr>
            <w:tcW w:w="3520" w:type="dxa"/>
            <w:tcBorders>
              <w:top w:val="single" w:sz="2" w:space="0" w:color="C9D4E8"/>
              <w:left w:val="single" w:sz="2" w:space="0" w:color="C9D4E8"/>
              <w:bottom w:val="single" w:sz="2" w:space="0" w:color="C9D4E8"/>
              <w:right w:val="single" w:sz="2" w:space="0" w:color="C9D4E8"/>
            </w:tcBorders>
          </w:tcPr>
          <w:p w14:paraId="3FEACBCA" w14:textId="77777777" w:rsidR="004A19CA" w:rsidRDefault="00673B00">
            <w:pPr>
              <w:spacing w:after="0" w:line="259" w:lineRule="auto"/>
              <w:ind w:left="0" w:right="0" w:firstLine="0"/>
              <w:jc w:val="left"/>
            </w:pPr>
            <w:r>
              <w:rPr>
                <w:sz w:val="19"/>
              </w:rPr>
              <w:t>Avg annual tech earnings</w:t>
            </w:r>
          </w:p>
        </w:tc>
        <w:tc>
          <w:tcPr>
            <w:tcW w:w="2918" w:type="dxa"/>
            <w:tcBorders>
              <w:top w:val="single" w:sz="2" w:space="0" w:color="C9D4E8"/>
              <w:left w:val="single" w:sz="2" w:space="0" w:color="C9D4E8"/>
              <w:bottom w:val="single" w:sz="2" w:space="0" w:color="C9D4E8"/>
              <w:right w:val="single" w:sz="2" w:space="0" w:color="C9D4E8"/>
            </w:tcBorders>
          </w:tcPr>
          <w:p w14:paraId="2D98E87D" w14:textId="77777777" w:rsidR="004A19CA" w:rsidRDefault="00673B00">
            <w:pPr>
              <w:spacing w:after="0" w:line="259" w:lineRule="auto"/>
              <w:ind w:left="0" w:right="0" w:firstLine="0"/>
              <w:jc w:val="left"/>
            </w:pPr>
            <w:r>
              <w:rPr>
                <w:sz w:val="19"/>
              </w:rPr>
              <w:t>$51,300</w:t>
            </w:r>
          </w:p>
        </w:tc>
        <w:tc>
          <w:tcPr>
            <w:tcW w:w="2922" w:type="dxa"/>
            <w:tcBorders>
              <w:top w:val="single" w:sz="2" w:space="0" w:color="C9D4E8"/>
              <w:left w:val="single" w:sz="2" w:space="0" w:color="C9D4E8"/>
              <w:bottom w:val="single" w:sz="2" w:space="0" w:color="C9D4E8"/>
              <w:right w:val="single" w:sz="2" w:space="0" w:color="C9D4E8"/>
            </w:tcBorders>
          </w:tcPr>
          <w:p w14:paraId="5E1BD0A9" w14:textId="77777777" w:rsidR="004A19CA" w:rsidRDefault="00673B00">
            <w:pPr>
              <w:spacing w:after="0" w:line="259" w:lineRule="auto"/>
              <w:ind w:left="1" w:right="0" w:firstLine="0"/>
              <w:jc w:val="left"/>
            </w:pPr>
            <w:r>
              <w:rPr>
                <w:b/>
                <w:sz w:val="19"/>
              </w:rPr>
              <w:t>$59,600 avg (+16.2%)</w:t>
            </w:r>
          </w:p>
        </w:tc>
      </w:tr>
      <w:tr w:rsidR="004A19CA" w14:paraId="004D4ADE" w14:textId="77777777">
        <w:trPr>
          <w:trHeight w:val="386"/>
        </w:trPr>
        <w:tc>
          <w:tcPr>
            <w:tcW w:w="3520" w:type="dxa"/>
            <w:tcBorders>
              <w:top w:val="single" w:sz="2" w:space="0" w:color="C9D4E8"/>
              <w:left w:val="single" w:sz="2" w:space="0" w:color="C9D4E8"/>
              <w:bottom w:val="single" w:sz="2" w:space="0" w:color="C9D4E8"/>
              <w:right w:val="single" w:sz="2" w:space="0" w:color="C9D4E8"/>
            </w:tcBorders>
          </w:tcPr>
          <w:p w14:paraId="4098067E" w14:textId="77777777" w:rsidR="004A19CA" w:rsidRDefault="00673B00">
            <w:pPr>
              <w:spacing w:after="0" w:line="259" w:lineRule="auto"/>
              <w:ind w:left="0" w:right="0" w:firstLine="0"/>
              <w:jc w:val="left"/>
            </w:pPr>
            <w:r>
              <w:rPr>
                <w:sz w:val="19"/>
              </w:rPr>
              <w:t>Total comp per tech (w/ benefits)</w:t>
            </w:r>
          </w:p>
        </w:tc>
        <w:tc>
          <w:tcPr>
            <w:tcW w:w="2918" w:type="dxa"/>
            <w:tcBorders>
              <w:top w:val="single" w:sz="2" w:space="0" w:color="C9D4E8"/>
              <w:left w:val="single" w:sz="2" w:space="0" w:color="C9D4E8"/>
              <w:bottom w:val="single" w:sz="2" w:space="0" w:color="C9D4E8"/>
              <w:right w:val="single" w:sz="2" w:space="0" w:color="C9D4E8"/>
            </w:tcBorders>
          </w:tcPr>
          <w:p w14:paraId="233DEBDD" w14:textId="77777777" w:rsidR="004A19CA" w:rsidRDefault="00673B00">
            <w:pPr>
              <w:spacing w:after="0" w:line="259" w:lineRule="auto"/>
              <w:ind w:left="0" w:right="0" w:firstLine="0"/>
              <w:jc w:val="left"/>
            </w:pPr>
            <w:r>
              <w:rPr>
                <w:sz w:val="19"/>
              </w:rPr>
              <w:t>$61,560</w:t>
            </w:r>
          </w:p>
        </w:tc>
        <w:tc>
          <w:tcPr>
            <w:tcW w:w="2922" w:type="dxa"/>
            <w:tcBorders>
              <w:top w:val="single" w:sz="2" w:space="0" w:color="C9D4E8"/>
              <w:left w:val="single" w:sz="2" w:space="0" w:color="C9D4E8"/>
              <w:bottom w:val="single" w:sz="2" w:space="0" w:color="C9D4E8"/>
              <w:right w:val="single" w:sz="2" w:space="0" w:color="C9D4E8"/>
            </w:tcBorders>
          </w:tcPr>
          <w:p w14:paraId="198E39D4" w14:textId="77777777" w:rsidR="004A19CA" w:rsidRDefault="00673B00">
            <w:pPr>
              <w:spacing w:after="0" w:line="259" w:lineRule="auto"/>
              <w:ind w:left="1" w:right="0" w:firstLine="0"/>
              <w:jc w:val="left"/>
            </w:pPr>
            <w:r>
              <w:rPr>
                <w:b/>
                <w:sz w:val="19"/>
              </w:rPr>
              <w:t>$70,400 (+$8,840)</w:t>
            </w:r>
          </w:p>
        </w:tc>
      </w:tr>
      <w:tr w:rsidR="004A19CA" w14:paraId="53D5D461" w14:textId="77777777">
        <w:trPr>
          <w:trHeight w:val="384"/>
        </w:trPr>
        <w:tc>
          <w:tcPr>
            <w:tcW w:w="3520" w:type="dxa"/>
            <w:tcBorders>
              <w:top w:val="single" w:sz="2" w:space="0" w:color="C9D4E8"/>
              <w:left w:val="single" w:sz="2" w:space="0" w:color="C9D4E8"/>
              <w:bottom w:val="single" w:sz="2" w:space="0" w:color="C9D4E8"/>
              <w:right w:val="single" w:sz="2" w:space="0" w:color="C9D4E8"/>
            </w:tcBorders>
          </w:tcPr>
          <w:p w14:paraId="303DD9C0" w14:textId="77777777" w:rsidR="004A19CA" w:rsidRDefault="00673B00">
            <w:pPr>
              <w:spacing w:after="0" w:line="259" w:lineRule="auto"/>
              <w:ind w:left="0" w:right="0" w:firstLine="0"/>
              <w:jc w:val="left"/>
            </w:pPr>
            <w:r>
              <w:rPr>
                <w:sz w:val="19"/>
              </w:rPr>
              <w:t>Annual shop additional cost</w:t>
            </w:r>
          </w:p>
        </w:tc>
        <w:tc>
          <w:tcPr>
            <w:tcW w:w="2918" w:type="dxa"/>
            <w:tcBorders>
              <w:top w:val="single" w:sz="2" w:space="0" w:color="C9D4E8"/>
              <w:left w:val="single" w:sz="2" w:space="0" w:color="C9D4E8"/>
              <w:bottom w:val="single" w:sz="2" w:space="0" w:color="C9D4E8"/>
              <w:right w:val="single" w:sz="2" w:space="0" w:color="C9D4E8"/>
            </w:tcBorders>
          </w:tcPr>
          <w:p w14:paraId="4FD76FF2" w14:textId="77777777" w:rsidR="004A19CA" w:rsidRDefault="00673B00">
            <w:pPr>
              <w:spacing w:after="0" w:line="259" w:lineRule="auto"/>
              <w:ind w:left="0" w:right="0" w:firstLine="0"/>
              <w:jc w:val="left"/>
            </w:pPr>
            <w:r>
              <w:rPr>
                <w:sz w:val="19"/>
              </w:rPr>
              <w:t>N/A</w:t>
            </w:r>
          </w:p>
        </w:tc>
        <w:tc>
          <w:tcPr>
            <w:tcW w:w="2922" w:type="dxa"/>
            <w:tcBorders>
              <w:top w:val="single" w:sz="2" w:space="0" w:color="C9D4E8"/>
              <w:left w:val="single" w:sz="2" w:space="0" w:color="C9D4E8"/>
              <w:bottom w:val="single" w:sz="2" w:space="0" w:color="C9D4E8"/>
              <w:right w:val="single" w:sz="2" w:space="0" w:color="C9D4E8"/>
            </w:tcBorders>
          </w:tcPr>
          <w:p w14:paraId="16EE6CEF" w14:textId="77777777" w:rsidR="004A19CA" w:rsidRDefault="00673B00">
            <w:pPr>
              <w:spacing w:after="0" w:line="259" w:lineRule="auto"/>
              <w:ind w:left="1" w:right="0" w:firstLine="0"/>
              <w:jc w:val="left"/>
            </w:pPr>
            <w:r>
              <w:rPr>
                <w:b/>
                <w:sz w:val="19"/>
              </w:rPr>
              <w:t>$88,400</w:t>
            </w:r>
          </w:p>
        </w:tc>
      </w:tr>
      <w:tr w:rsidR="004A19CA" w14:paraId="6AB6BF73" w14:textId="77777777">
        <w:trPr>
          <w:trHeight w:val="385"/>
        </w:trPr>
        <w:tc>
          <w:tcPr>
            <w:tcW w:w="3520" w:type="dxa"/>
            <w:tcBorders>
              <w:top w:val="single" w:sz="2" w:space="0" w:color="C9D4E8"/>
              <w:left w:val="single" w:sz="2" w:space="0" w:color="C9D4E8"/>
              <w:bottom w:val="single" w:sz="2" w:space="0" w:color="C9D4E8"/>
              <w:right w:val="single" w:sz="2" w:space="0" w:color="C9D4E8"/>
            </w:tcBorders>
            <w:shd w:val="clear" w:color="auto" w:fill="1F3864"/>
          </w:tcPr>
          <w:p w14:paraId="4D4178FC" w14:textId="77777777" w:rsidR="004A19CA" w:rsidRDefault="00673B00">
            <w:pPr>
              <w:spacing w:after="0" w:line="259" w:lineRule="auto"/>
              <w:ind w:left="0" w:right="0" w:firstLine="0"/>
              <w:jc w:val="left"/>
            </w:pPr>
            <w:r>
              <w:rPr>
                <w:b/>
                <w:color w:val="FFFFFF"/>
                <w:sz w:val="19"/>
              </w:rPr>
              <w:t>Metric</w:t>
            </w:r>
          </w:p>
        </w:tc>
        <w:tc>
          <w:tcPr>
            <w:tcW w:w="2918" w:type="dxa"/>
            <w:tcBorders>
              <w:top w:val="single" w:sz="2" w:space="0" w:color="C9D4E8"/>
              <w:left w:val="single" w:sz="2" w:space="0" w:color="C9D4E8"/>
              <w:bottom w:val="single" w:sz="2" w:space="0" w:color="C9D4E8"/>
              <w:right w:val="single" w:sz="2" w:space="0" w:color="C9D4E8"/>
            </w:tcBorders>
            <w:shd w:val="clear" w:color="auto" w:fill="1F3864"/>
          </w:tcPr>
          <w:p w14:paraId="63CB3D07" w14:textId="77777777" w:rsidR="004A19CA" w:rsidRDefault="00673B00">
            <w:pPr>
              <w:spacing w:after="0" w:line="259" w:lineRule="auto"/>
              <w:ind w:left="0" w:right="0" w:firstLine="0"/>
              <w:jc w:val="left"/>
            </w:pPr>
            <w:r>
              <w:rPr>
                <w:b/>
                <w:color w:val="FFFFFF"/>
                <w:sz w:val="19"/>
              </w:rPr>
              <w:t>Current Flat-Rate</w:t>
            </w:r>
          </w:p>
        </w:tc>
        <w:tc>
          <w:tcPr>
            <w:tcW w:w="2922" w:type="dxa"/>
            <w:tcBorders>
              <w:top w:val="single" w:sz="2" w:space="0" w:color="C9D4E8"/>
              <w:left w:val="single" w:sz="2" w:space="0" w:color="C9D4E8"/>
              <w:bottom w:val="single" w:sz="2" w:space="0" w:color="C9D4E8"/>
              <w:right w:val="single" w:sz="2" w:space="0" w:color="C9D4E8"/>
            </w:tcBorders>
            <w:shd w:val="clear" w:color="auto" w:fill="1F3864"/>
          </w:tcPr>
          <w:p w14:paraId="06F11B73" w14:textId="77777777" w:rsidR="004A19CA" w:rsidRDefault="00673B00">
            <w:pPr>
              <w:spacing w:after="0" w:line="259" w:lineRule="auto"/>
              <w:ind w:left="1" w:right="0" w:firstLine="0"/>
              <w:jc w:val="left"/>
            </w:pPr>
            <w:r>
              <w:rPr>
                <w:b/>
                <w:color w:val="FFFFFF"/>
                <w:sz w:val="19"/>
              </w:rPr>
              <w:t>Model 2</w:t>
            </w:r>
          </w:p>
        </w:tc>
      </w:tr>
      <w:tr w:rsidR="004A19CA" w14:paraId="30C21E8A" w14:textId="77777777">
        <w:trPr>
          <w:trHeight w:val="385"/>
        </w:trPr>
        <w:tc>
          <w:tcPr>
            <w:tcW w:w="3520" w:type="dxa"/>
            <w:tcBorders>
              <w:top w:val="single" w:sz="2" w:space="0" w:color="C9D4E8"/>
              <w:left w:val="single" w:sz="2" w:space="0" w:color="C9D4E8"/>
              <w:bottom w:val="single" w:sz="2" w:space="0" w:color="C9D4E8"/>
              <w:right w:val="single" w:sz="2" w:space="0" w:color="C9D4E8"/>
            </w:tcBorders>
          </w:tcPr>
          <w:p w14:paraId="7FDB9336" w14:textId="77777777" w:rsidR="004A19CA" w:rsidRDefault="00673B00">
            <w:pPr>
              <w:spacing w:after="0" w:line="259" w:lineRule="auto"/>
              <w:ind w:left="0" w:right="0" w:firstLine="0"/>
              <w:jc w:val="left"/>
            </w:pPr>
            <w:r>
              <w:rPr>
                <w:sz w:val="19"/>
              </w:rPr>
              <w:t>Labor gross margin</w:t>
            </w:r>
          </w:p>
        </w:tc>
        <w:tc>
          <w:tcPr>
            <w:tcW w:w="2918" w:type="dxa"/>
            <w:tcBorders>
              <w:top w:val="single" w:sz="2" w:space="0" w:color="C9D4E8"/>
              <w:left w:val="single" w:sz="2" w:space="0" w:color="C9D4E8"/>
              <w:bottom w:val="single" w:sz="2" w:space="0" w:color="C9D4E8"/>
              <w:right w:val="single" w:sz="2" w:space="0" w:color="C9D4E8"/>
            </w:tcBorders>
          </w:tcPr>
          <w:p w14:paraId="25AB8929" w14:textId="77777777" w:rsidR="004A19CA" w:rsidRDefault="00673B00">
            <w:pPr>
              <w:spacing w:after="0" w:line="259" w:lineRule="auto"/>
              <w:ind w:left="0" w:right="0" w:firstLine="0"/>
              <w:jc w:val="left"/>
            </w:pPr>
            <w:r>
              <w:rPr>
                <w:sz w:val="19"/>
              </w:rPr>
              <w:t>77.3%</w:t>
            </w:r>
          </w:p>
        </w:tc>
        <w:tc>
          <w:tcPr>
            <w:tcW w:w="2922" w:type="dxa"/>
            <w:tcBorders>
              <w:top w:val="single" w:sz="2" w:space="0" w:color="C9D4E8"/>
              <w:left w:val="single" w:sz="2" w:space="0" w:color="C9D4E8"/>
              <w:bottom w:val="single" w:sz="2" w:space="0" w:color="C9D4E8"/>
              <w:right w:val="single" w:sz="2" w:space="0" w:color="C9D4E8"/>
            </w:tcBorders>
          </w:tcPr>
          <w:p w14:paraId="40B9BE30" w14:textId="77777777" w:rsidR="004A19CA" w:rsidRDefault="00673B00">
            <w:pPr>
              <w:spacing w:after="0" w:line="259" w:lineRule="auto"/>
              <w:ind w:left="1" w:right="0" w:firstLine="0"/>
              <w:jc w:val="left"/>
            </w:pPr>
            <w:r>
              <w:rPr>
                <w:b/>
                <w:sz w:val="19"/>
              </w:rPr>
              <w:t>74.0% (−3.3 pts)</w:t>
            </w:r>
          </w:p>
        </w:tc>
      </w:tr>
      <w:tr w:rsidR="004A19CA" w14:paraId="0D4CE2FA" w14:textId="77777777">
        <w:trPr>
          <w:trHeight w:val="386"/>
        </w:trPr>
        <w:tc>
          <w:tcPr>
            <w:tcW w:w="3520" w:type="dxa"/>
            <w:tcBorders>
              <w:top w:val="single" w:sz="2" w:space="0" w:color="C9D4E8"/>
              <w:left w:val="single" w:sz="2" w:space="0" w:color="C9D4E8"/>
              <w:bottom w:val="single" w:sz="2" w:space="0" w:color="C9D4E8"/>
              <w:right w:val="single" w:sz="2" w:space="0" w:color="C9D4E8"/>
            </w:tcBorders>
          </w:tcPr>
          <w:p w14:paraId="221A6B94" w14:textId="77777777" w:rsidR="004A19CA" w:rsidRDefault="00673B00">
            <w:pPr>
              <w:spacing w:after="0" w:line="259" w:lineRule="auto"/>
              <w:ind w:left="0" w:right="0" w:firstLine="0"/>
              <w:jc w:val="left"/>
            </w:pPr>
            <w:r>
              <w:rPr>
                <w:sz w:val="19"/>
              </w:rPr>
              <w:t>Break-even RO recovery</w:t>
            </w:r>
          </w:p>
        </w:tc>
        <w:tc>
          <w:tcPr>
            <w:tcW w:w="2918" w:type="dxa"/>
            <w:tcBorders>
              <w:top w:val="single" w:sz="2" w:space="0" w:color="C9D4E8"/>
              <w:left w:val="single" w:sz="2" w:space="0" w:color="C9D4E8"/>
              <w:bottom w:val="single" w:sz="2" w:space="0" w:color="C9D4E8"/>
              <w:right w:val="single" w:sz="2" w:space="0" w:color="C9D4E8"/>
            </w:tcBorders>
          </w:tcPr>
          <w:p w14:paraId="6A9DBF44" w14:textId="77777777" w:rsidR="004A19CA" w:rsidRDefault="00673B00">
            <w:pPr>
              <w:spacing w:after="0" w:line="259" w:lineRule="auto"/>
              <w:ind w:left="0" w:right="0" w:firstLine="0"/>
              <w:jc w:val="left"/>
            </w:pPr>
            <w:r>
              <w:rPr>
                <w:sz w:val="19"/>
              </w:rPr>
              <w:t>N/A</w:t>
            </w:r>
          </w:p>
        </w:tc>
        <w:tc>
          <w:tcPr>
            <w:tcW w:w="2922" w:type="dxa"/>
            <w:tcBorders>
              <w:top w:val="single" w:sz="2" w:space="0" w:color="C9D4E8"/>
              <w:left w:val="single" w:sz="2" w:space="0" w:color="C9D4E8"/>
              <w:bottom w:val="single" w:sz="2" w:space="0" w:color="C9D4E8"/>
              <w:right w:val="single" w:sz="2" w:space="0" w:color="C9D4E8"/>
            </w:tcBorders>
          </w:tcPr>
          <w:p w14:paraId="40BF7DE0" w14:textId="77777777" w:rsidR="004A19CA" w:rsidRDefault="00673B00">
            <w:pPr>
              <w:spacing w:after="0" w:line="259" w:lineRule="auto"/>
              <w:ind w:left="1" w:right="0" w:firstLine="0"/>
              <w:jc w:val="left"/>
            </w:pPr>
            <w:r>
              <w:rPr>
                <w:b/>
                <w:sz w:val="19"/>
              </w:rPr>
              <w:t>419 ROs/yr (4.4%)</w:t>
            </w:r>
          </w:p>
        </w:tc>
      </w:tr>
    </w:tbl>
    <w:p w14:paraId="59AC5A2D" w14:textId="77777777" w:rsidR="004A19CA" w:rsidRDefault="00673B00">
      <w:pPr>
        <w:spacing w:after="220"/>
        <w:ind w:left="-5" w:right="9"/>
      </w:pPr>
      <w:r>
        <w:t>This model produces the largest modeled earnings increase for technicians among the five. The additional annual cost of $88,400 is material and must be managed deliberately. Even so, the break-even threshold is modest: recovering 419 additional repair orders per year, roughly 35 per month, restores pre-reform margins under the stated assumptions. Given the retention relationships documented by Cox Automotive (2025a, 2026b), the Downstream Model is the one most directly aligned with the service behaviors thi</w:t>
      </w:r>
      <w:r>
        <w:t>s paper treats as economically consequential.</w:t>
      </w:r>
    </w:p>
    <w:p w14:paraId="440C4385" w14:textId="77777777" w:rsidR="004A19CA" w:rsidRDefault="00673B00">
      <w:pPr>
        <w:pStyle w:val="Heading3"/>
        <w:ind w:left="-5"/>
      </w:pPr>
      <w:r>
        <w:t>Model 3: The Service Cell, Portfolio Ownership</w:t>
      </w:r>
    </w:p>
    <w:p w14:paraId="2587109F" w14:textId="77777777" w:rsidR="004A19CA" w:rsidRDefault="00673B00">
      <w:pPr>
        <w:spacing w:after="0"/>
        <w:ind w:left="-5" w:right="9"/>
      </w:pPr>
      <w:r>
        <w:t>Individual base salaries by certification level within the cell. Cell production bonus of up to $6,000 per year per technician at 95 percent or higher efficiency. Portfolio retention bonus of up to $4,000 per year per technician, paid quarterly. Mentorship credit for the Lead Technician of $3,000 per year.</w:t>
      </w:r>
    </w:p>
    <w:tbl>
      <w:tblPr>
        <w:tblStyle w:val="TableGrid"/>
        <w:tblW w:w="9360" w:type="dxa"/>
        <w:tblInd w:w="0" w:type="dxa"/>
        <w:tblCellMar>
          <w:top w:w="0" w:type="dxa"/>
          <w:left w:w="161" w:type="dxa"/>
          <w:bottom w:w="0" w:type="dxa"/>
          <w:right w:w="115" w:type="dxa"/>
        </w:tblCellMar>
        <w:tblLook w:val="04A0" w:firstRow="1" w:lastRow="0" w:firstColumn="1" w:lastColumn="0" w:noHBand="0" w:noVBand="1"/>
      </w:tblPr>
      <w:tblGrid>
        <w:gridCol w:w="3120"/>
        <w:gridCol w:w="3120"/>
        <w:gridCol w:w="3120"/>
      </w:tblGrid>
      <w:tr w:rsidR="004A19CA" w14:paraId="3AC2089B" w14:textId="77777777">
        <w:trPr>
          <w:trHeight w:val="990"/>
        </w:trPr>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49956C4B" w14:textId="77777777" w:rsidR="004A19CA" w:rsidRDefault="00673B00">
            <w:pPr>
              <w:spacing w:after="0" w:line="259" w:lineRule="auto"/>
              <w:ind w:left="0" w:right="0" w:firstLine="0"/>
              <w:jc w:val="left"/>
            </w:pPr>
            <w:r>
              <w:rPr>
                <w:b/>
                <w:color w:val="1F3864"/>
                <w:sz w:val="34"/>
              </w:rPr>
              <w:t>$57,800</w:t>
            </w:r>
          </w:p>
          <w:p w14:paraId="04684C7F" w14:textId="77777777" w:rsidR="004A19CA" w:rsidRDefault="00673B00">
            <w:pPr>
              <w:spacing w:after="0" w:line="259" w:lineRule="auto"/>
              <w:ind w:left="0" w:right="0" w:firstLine="0"/>
              <w:jc w:val="left"/>
            </w:pPr>
            <w:r>
              <w:rPr>
                <w:color w:val="595959"/>
                <w:sz w:val="18"/>
              </w:rPr>
              <w:t>Average total comp, Model 3</w:t>
            </w:r>
          </w:p>
        </w:tc>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304B500C" w14:textId="77777777" w:rsidR="004A19CA" w:rsidRDefault="00673B00">
            <w:pPr>
              <w:spacing w:after="0" w:line="259" w:lineRule="auto"/>
              <w:ind w:left="0" w:right="0" w:firstLine="0"/>
              <w:jc w:val="left"/>
            </w:pPr>
            <w:r>
              <w:rPr>
                <w:b/>
                <w:color w:val="1F3864"/>
                <w:sz w:val="34"/>
              </w:rPr>
              <w:t>−</w:t>
            </w:r>
            <w:r>
              <w:rPr>
                <w:b/>
                <w:color w:val="1F3864"/>
                <w:sz w:val="34"/>
              </w:rPr>
              <w:t>2.9 pts</w:t>
            </w:r>
          </w:p>
          <w:p w14:paraId="544AA0C5" w14:textId="77777777" w:rsidR="004A19CA" w:rsidRDefault="00673B00">
            <w:pPr>
              <w:spacing w:after="0" w:line="259" w:lineRule="auto"/>
              <w:ind w:left="0" w:right="0" w:firstLine="0"/>
              <w:jc w:val="left"/>
            </w:pPr>
            <w:r>
              <w:rPr>
                <w:color w:val="595959"/>
                <w:sz w:val="18"/>
              </w:rPr>
              <w:t>Gross margin impact</w:t>
            </w:r>
          </w:p>
        </w:tc>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4E067930" w14:textId="77777777" w:rsidR="004A19CA" w:rsidRDefault="00673B00">
            <w:pPr>
              <w:spacing w:after="0" w:line="259" w:lineRule="auto"/>
              <w:ind w:left="0" w:right="0" w:firstLine="0"/>
              <w:jc w:val="left"/>
            </w:pPr>
            <w:r>
              <w:rPr>
                <w:b/>
                <w:color w:val="1F3864"/>
                <w:sz w:val="34"/>
              </w:rPr>
              <w:t>3.9%</w:t>
            </w:r>
          </w:p>
          <w:p w14:paraId="6963F52F" w14:textId="77777777" w:rsidR="004A19CA" w:rsidRDefault="00673B00">
            <w:pPr>
              <w:spacing w:after="0" w:line="259" w:lineRule="auto"/>
              <w:ind w:left="0" w:right="0" w:firstLine="0"/>
              <w:jc w:val="left"/>
            </w:pPr>
            <w:r>
              <w:rPr>
                <w:color w:val="595959"/>
                <w:sz w:val="18"/>
              </w:rPr>
              <w:t>RO recovery for break-even</w:t>
            </w:r>
          </w:p>
        </w:tc>
      </w:tr>
    </w:tbl>
    <w:p w14:paraId="40D0F7CD" w14:textId="77777777" w:rsidR="004A19CA" w:rsidRDefault="00673B00">
      <w:pPr>
        <w:spacing w:after="220"/>
        <w:ind w:left="-5" w:right="9"/>
      </w:pPr>
      <w:r>
        <w:t>The cell model introduces a workforce development dynamic that improves over time. As Developing Technicians advance through mentorship built into the structure, they generate increasing labor revenue while salary increases remain gradual and criteria-based. Over a three-to-five-year horizon, the cell model produces improving margins as lower-salary positions are filled with developing talent that matures into full productivity.</w:t>
      </w:r>
    </w:p>
    <w:p w14:paraId="2BBF56FB" w14:textId="77777777" w:rsidR="004A19CA" w:rsidRDefault="00673B00">
      <w:pPr>
        <w:pStyle w:val="Heading3"/>
        <w:ind w:left="-5"/>
      </w:pPr>
      <w:r>
        <w:t>Model 4: The Professional Craft Model</w:t>
      </w:r>
    </w:p>
    <w:p w14:paraId="6678970D" w14:textId="77777777" w:rsidR="004A19CA" w:rsidRDefault="00673B00">
      <w:pPr>
        <w:spacing w:after="0" w:line="259" w:lineRule="auto"/>
        <w:ind w:left="0" w:right="0" w:firstLine="0"/>
        <w:jc w:val="left"/>
      </w:pPr>
      <w:r>
        <w:t>Five-level salary ladder. Advancement is automatic when ASE and OEM criteria are met. Profit participation at Levels 4 and 5: 2 percent of monthly labor gross above a $225,000 monthly baseline.</w:t>
      </w:r>
    </w:p>
    <w:tbl>
      <w:tblPr>
        <w:tblStyle w:val="TableGrid"/>
        <w:tblW w:w="9360" w:type="dxa"/>
        <w:tblInd w:w="0" w:type="dxa"/>
        <w:tblCellMar>
          <w:top w:w="0" w:type="dxa"/>
          <w:left w:w="161" w:type="dxa"/>
          <w:bottom w:w="0" w:type="dxa"/>
          <w:right w:w="115" w:type="dxa"/>
        </w:tblCellMar>
        <w:tblLook w:val="04A0" w:firstRow="1" w:lastRow="0" w:firstColumn="1" w:lastColumn="0" w:noHBand="0" w:noVBand="1"/>
      </w:tblPr>
      <w:tblGrid>
        <w:gridCol w:w="3120"/>
        <w:gridCol w:w="3120"/>
        <w:gridCol w:w="3120"/>
      </w:tblGrid>
      <w:tr w:rsidR="004A19CA" w14:paraId="207C198D" w14:textId="77777777">
        <w:trPr>
          <w:trHeight w:val="992"/>
        </w:trPr>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3B47AC95" w14:textId="77777777" w:rsidR="004A19CA" w:rsidRDefault="00673B00">
            <w:pPr>
              <w:spacing w:after="0" w:line="259" w:lineRule="auto"/>
              <w:ind w:left="0" w:right="0" w:firstLine="0"/>
              <w:jc w:val="left"/>
            </w:pPr>
            <w:r>
              <w:rPr>
                <w:b/>
                <w:color w:val="1F3864"/>
                <w:sz w:val="34"/>
              </w:rPr>
              <w:t>$55,427</w:t>
            </w:r>
          </w:p>
          <w:p w14:paraId="47B4A852" w14:textId="77777777" w:rsidR="004A19CA" w:rsidRDefault="00673B00">
            <w:pPr>
              <w:spacing w:after="0" w:line="259" w:lineRule="auto"/>
              <w:ind w:left="0" w:right="0" w:firstLine="0"/>
              <w:jc w:val="left"/>
            </w:pPr>
            <w:r>
              <w:rPr>
                <w:color w:val="595959"/>
                <w:sz w:val="18"/>
              </w:rPr>
              <w:t>Average total comp, Model 4</w:t>
            </w:r>
          </w:p>
        </w:tc>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78AA239C" w14:textId="77777777" w:rsidR="004A19CA" w:rsidRDefault="00673B00">
            <w:pPr>
              <w:spacing w:after="0" w:line="259" w:lineRule="auto"/>
              <w:ind w:left="0" w:right="0" w:firstLine="0"/>
              <w:jc w:val="left"/>
            </w:pPr>
            <w:r>
              <w:rPr>
                <w:b/>
                <w:color w:val="1F3864"/>
                <w:sz w:val="34"/>
              </w:rPr>
              <w:t>−</w:t>
            </w:r>
            <w:r>
              <w:rPr>
                <w:b/>
                <w:color w:val="1F3864"/>
                <w:sz w:val="34"/>
              </w:rPr>
              <w:t>1.8 pts</w:t>
            </w:r>
          </w:p>
          <w:p w14:paraId="3224FF00" w14:textId="77777777" w:rsidR="004A19CA" w:rsidRDefault="00673B00">
            <w:pPr>
              <w:spacing w:after="0" w:line="259" w:lineRule="auto"/>
              <w:ind w:left="0" w:right="0" w:firstLine="0"/>
              <w:jc w:val="left"/>
            </w:pPr>
            <w:r>
              <w:rPr>
                <w:color w:val="595959"/>
                <w:sz w:val="18"/>
              </w:rPr>
              <w:t>Gross margin impact</w:t>
            </w:r>
          </w:p>
        </w:tc>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5057690F" w14:textId="77777777" w:rsidR="004A19CA" w:rsidRDefault="00673B00">
            <w:pPr>
              <w:spacing w:after="0" w:line="259" w:lineRule="auto"/>
              <w:ind w:left="0" w:right="0" w:firstLine="0"/>
              <w:jc w:val="left"/>
            </w:pPr>
            <w:r>
              <w:rPr>
                <w:b/>
                <w:color w:val="1F3864"/>
                <w:sz w:val="34"/>
              </w:rPr>
              <w:t>2.5%</w:t>
            </w:r>
          </w:p>
          <w:p w14:paraId="446637EB" w14:textId="77777777" w:rsidR="004A19CA" w:rsidRDefault="00673B00">
            <w:pPr>
              <w:spacing w:after="0" w:line="259" w:lineRule="auto"/>
              <w:ind w:left="0" w:right="0" w:firstLine="0"/>
              <w:jc w:val="left"/>
            </w:pPr>
            <w:r>
              <w:rPr>
                <w:color w:val="595959"/>
                <w:sz w:val="18"/>
              </w:rPr>
              <w:t>RO recovery for break-even</w:t>
            </w:r>
          </w:p>
        </w:tc>
      </w:tr>
    </w:tbl>
    <w:p w14:paraId="53ECEE45" w14:textId="77777777" w:rsidR="004A19CA" w:rsidRDefault="00673B00">
      <w:pPr>
        <w:spacing w:after="220"/>
        <w:ind w:left="-5" w:right="9"/>
      </w:pPr>
      <w:r>
        <w:t>This is the lowest incremental-cost option among the four salary-based models. The break-even threshold of 236 additional repair orders per year, fewer than 20 per month, is the most attainable of the five. Its principal financial value, however, is workforce retention. If the model prevents even two replacement events annually at an estimated $20,000 each, the avoided turnover cost offsets the incremental investment before any additional volume is recovered.</w:t>
      </w:r>
    </w:p>
    <w:p w14:paraId="437DA1CF" w14:textId="77777777" w:rsidR="004A19CA" w:rsidRDefault="00673B00">
      <w:pPr>
        <w:pStyle w:val="Heading3"/>
        <w:ind w:left="-5"/>
      </w:pPr>
      <w:r>
        <w:t>Model 5: The Full-Cycle Model, Recommended Architecture</w:t>
      </w:r>
    </w:p>
    <w:p w14:paraId="45B56CBF" w14:textId="77777777" w:rsidR="004A19CA" w:rsidRDefault="00673B00">
      <w:pPr>
        <w:spacing w:after="0"/>
        <w:ind w:left="-5" w:right="9"/>
      </w:pPr>
      <w:r>
        <w:t xml:space="preserve">Guaranteed hourly base by craft tier. Downstream premium up to $8,000 per year. </w:t>
      </w:r>
      <w:r>
        <w:t>Production threshold accelerator up to $16,000 per year, quality-gated. Total potential compensation is the highest of the five models by design.</w:t>
      </w:r>
    </w:p>
    <w:tbl>
      <w:tblPr>
        <w:tblStyle w:val="TableGrid"/>
        <w:tblW w:w="9360" w:type="dxa"/>
        <w:tblInd w:w="0" w:type="dxa"/>
        <w:tblCellMar>
          <w:top w:w="80" w:type="dxa"/>
          <w:left w:w="121" w:type="dxa"/>
          <w:bottom w:w="0" w:type="dxa"/>
          <w:right w:w="115" w:type="dxa"/>
        </w:tblCellMar>
        <w:tblLook w:val="04A0" w:firstRow="1" w:lastRow="0" w:firstColumn="1" w:lastColumn="0" w:noHBand="0" w:noVBand="1"/>
      </w:tblPr>
      <w:tblGrid>
        <w:gridCol w:w="3520"/>
        <w:gridCol w:w="1946"/>
        <w:gridCol w:w="1946"/>
        <w:gridCol w:w="1948"/>
      </w:tblGrid>
      <w:tr w:rsidR="004A19CA" w14:paraId="3FB9CA66" w14:textId="77777777">
        <w:trPr>
          <w:trHeight w:val="385"/>
        </w:trPr>
        <w:tc>
          <w:tcPr>
            <w:tcW w:w="3520" w:type="dxa"/>
            <w:tcBorders>
              <w:top w:val="single" w:sz="2" w:space="0" w:color="C9D4E8"/>
              <w:left w:val="single" w:sz="2" w:space="0" w:color="C9D4E8"/>
              <w:bottom w:val="single" w:sz="2" w:space="0" w:color="C9D4E8"/>
              <w:right w:val="single" w:sz="2" w:space="0" w:color="C9D4E8"/>
            </w:tcBorders>
            <w:shd w:val="clear" w:color="auto" w:fill="1F3864"/>
          </w:tcPr>
          <w:p w14:paraId="5C19C077" w14:textId="77777777" w:rsidR="004A19CA" w:rsidRDefault="00673B00">
            <w:pPr>
              <w:spacing w:after="0" w:line="259" w:lineRule="auto"/>
              <w:ind w:left="0" w:right="0" w:firstLine="0"/>
              <w:jc w:val="left"/>
            </w:pPr>
            <w:r>
              <w:rPr>
                <w:b/>
                <w:color w:val="FFFFFF"/>
                <w:sz w:val="19"/>
              </w:rPr>
              <w:t>Compensation Component</w:t>
            </w:r>
          </w:p>
        </w:tc>
        <w:tc>
          <w:tcPr>
            <w:tcW w:w="1946" w:type="dxa"/>
            <w:tcBorders>
              <w:top w:val="single" w:sz="2" w:space="0" w:color="C9D4E8"/>
              <w:left w:val="single" w:sz="2" w:space="0" w:color="C9D4E8"/>
              <w:bottom w:val="single" w:sz="2" w:space="0" w:color="C9D4E8"/>
              <w:right w:val="single" w:sz="2" w:space="0" w:color="C9D4E8"/>
            </w:tcBorders>
            <w:shd w:val="clear" w:color="auto" w:fill="1F3864"/>
          </w:tcPr>
          <w:p w14:paraId="62F97057" w14:textId="77777777" w:rsidR="004A19CA" w:rsidRDefault="00673B00">
            <w:pPr>
              <w:spacing w:after="0" w:line="259" w:lineRule="auto"/>
              <w:ind w:left="0" w:right="0" w:firstLine="0"/>
              <w:jc w:val="left"/>
            </w:pPr>
            <w:r>
              <w:rPr>
                <w:b/>
                <w:color w:val="FFFFFF"/>
                <w:sz w:val="19"/>
              </w:rPr>
              <w:t>Conservative</w:t>
            </w:r>
          </w:p>
        </w:tc>
        <w:tc>
          <w:tcPr>
            <w:tcW w:w="1946" w:type="dxa"/>
            <w:tcBorders>
              <w:top w:val="single" w:sz="2" w:space="0" w:color="C9D4E8"/>
              <w:left w:val="single" w:sz="2" w:space="0" w:color="C9D4E8"/>
              <w:bottom w:val="single" w:sz="2" w:space="0" w:color="C9D4E8"/>
              <w:right w:val="single" w:sz="2" w:space="0" w:color="C9D4E8"/>
            </w:tcBorders>
            <w:shd w:val="clear" w:color="auto" w:fill="1F3864"/>
          </w:tcPr>
          <w:p w14:paraId="1657B504" w14:textId="77777777" w:rsidR="004A19CA" w:rsidRDefault="00673B00">
            <w:pPr>
              <w:spacing w:after="0" w:line="259" w:lineRule="auto"/>
              <w:ind w:left="0" w:right="0" w:firstLine="0"/>
              <w:jc w:val="left"/>
            </w:pPr>
            <w:r>
              <w:rPr>
                <w:b/>
                <w:color w:val="FFFFFF"/>
                <w:sz w:val="19"/>
              </w:rPr>
              <w:t>Average</w:t>
            </w:r>
          </w:p>
        </w:tc>
        <w:tc>
          <w:tcPr>
            <w:tcW w:w="1948" w:type="dxa"/>
            <w:tcBorders>
              <w:top w:val="single" w:sz="2" w:space="0" w:color="C9D4E8"/>
              <w:left w:val="single" w:sz="2" w:space="0" w:color="C9D4E8"/>
              <w:bottom w:val="single" w:sz="2" w:space="0" w:color="C9D4E8"/>
              <w:right w:val="single" w:sz="2" w:space="0" w:color="C9D4E8"/>
            </w:tcBorders>
            <w:shd w:val="clear" w:color="auto" w:fill="1F3864"/>
          </w:tcPr>
          <w:p w14:paraId="3DC81426" w14:textId="77777777" w:rsidR="004A19CA" w:rsidRDefault="00673B00">
            <w:pPr>
              <w:spacing w:after="0" w:line="259" w:lineRule="auto"/>
              <w:ind w:left="1" w:right="0" w:firstLine="0"/>
              <w:jc w:val="left"/>
            </w:pPr>
            <w:r>
              <w:rPr>
                <w:b/>
                <w:color w:val="FFFFFF"/>
                <w:sz w:val="19"/>
              </w:rPr>
              <w:t>Maximum</w:t>
            </w:r>
          </w:p>
        </w:tc>
      </w:tr>
      <w:tr w:rsidR="004A19CA" w14:paraId="0C0E1150" w14:textId="77777777">
        <w:trPr>
          <w:trHeight w:val="385"/>
        </w:trPr>
        <w:tc>
          <w:tcPr>
            <w:tcW w:w="3520" w:type="dxa"/>
            <w:tcBorders>
              <w:top w:val="single" w:sz="2" w:space="0" w:color="C9D4E8"/>
              <w:left w:val="single" w:sz="2" w:space="0" w:color="C9D4E8"/>
              <w:bottom w:val="single" w:sz="2" w:space="0" w:color="C9D4E8"/>
              <w:right w:val="single" w:sz="2" w:space="0" w:color="C9D4E8"/>
            </w:tcBorders>
          </w:tcPr>
          <w:p w14:paraId="559687AA" w14:textId="77777777" w:rsidR="004A19CA" w:rsidRDefault="00673B00">
            <w:pPr>
              <w:spacing w:after="0" w:line="259" w:lineRule="auto"/>
              <w:ind w:left="0" w:right="0" w:firstLine="0"/>
              <w:jc w:val="left"/>
            </w:pPr>
            <w:r>
              <w:rPr>
                <w:sz w:val="19"/>
              </w:rPr>
              <w:t>Hourly base (by craft tier)</w:t>
            </w:r>
          </w:p>
        </w:tc>
        <w:tc>
          <w:tcPr>
            <w:tcW w:w="1946" w:type="dxa"/>
            <w:tcBorders>
              <w:top w:val="single" w:sz="2" w:space="0" w:color="C9D4E8"/>
              <w:left w:val="single" w:sz="2" w:space="0" w:color="C9D4E8"/>
              <w:bottom w:val="single" w:sz="2" w:space="0" w:color="C9D4E8"/>
              <w:right w:val="single" w:sz="2" w:space="0" w:color="C9D4E8"/>
            </w:tcBorders>
          </w:tcPr>
          <w:p w14:paraId="0ADF7215" w14:textId="77777777" w:rsidR="004A19CA" w:rsidRDefault="00673B00">
            <w:pPr>
              <w:spacing w:after="0" w:line="259" w:lineRule="auto"/>
              <w:ind w:left="0" w:right="0" w:firstLine="0"/>
              <w:jc w:val="left"/>
            </w:pPr>
            <w:r>
              <w:rPr>
                <w:sz w:val="19"/>
              </w:rPr>
              <w:t>$48,000</w:t>
            </w:r>
          </w:p>
        </w:tc>
        <w:tc>
          <w:tcPr>
            <w:tcW w:w="1946" w:type="dxa"/>
            <w:tcBorders>
              <w:top w:val="single" w:sz="2" w:space="0" w:color="C9D4E8"/>
              <w:left w:val="single" w:sz="2" w:space="0" w:color="C9D4E8"/>
              <w:bottom w:val="single" w:sz="2" w:space="0" w:color="C9D4E8"/>
              <w:right w:val="single" w:sz="2" w:space="0" w:color="C9D4E8"/>
            </w:tcBorders>
          </w:tcPr>
          <w:p w14:paraId="392843A1" w14:textId="77777777" w:rsidR="004A19CA" w:rsidRDefault="00673B00">
            <w:pPr>
              <w:spacing w:after="0" w:line="259" w:lineRule="auto"/>
              <w:ind w:left="0" w:right="0" w:firstLine="0"/>
              <w:jc w:val="left"/>
            </w:pPr>
            <w:r>
              <w:rPr>
                <w:b/>
                <w:sz w:val="19"/>
              </w:rPr>
              <w:t>$52,500</w:t>
            </w:r>
          </w:p>
        </w:tc>
        <w:tc>
          <w:tcPr>
            <w:tcW w:w="1948" w:type="dxa"/>
            <w:tcBorders>
              <w:top w:val="single" w:sz="2" w:space="0" w:color="C9D4E8"/>
              <w:left w:val="single" w:sz="2" w:space="0" w:color="C9D4E8"/>
              <w:bottom w:val="single" w:sz="2" w:space="0" w:color="C9D4E8"/>
              <w:right w:val="single" w:sz="2" w:space="0" w:color="C9D4E8"/>
            </w:tcBorders>
          </w:tcPr>
          <w:p w14:paraId="58B75393" w14:textId="77777777" w:rsidR="004A19CA" w:rsidRDefault="00673B00">
            <w:pPr>
              <w:spacing w:after="0" w:line="259" w:lineRule="auto"/>
              <w:ind w:left="1" w:right="0" w:firstLine="0"/>
              <w:jc w:val="left"/>
            </w:pPr>
            <w:r>
              <w:rPr>
                <w:b/>
                <w:sz w:val="19"/>
              </w:rPr>
              <w:t>$78,000</w:t>
            </w:r>
          </w:p>
        </w:tc>
      </w:tr>
      <w:tr w:rsidR="004A19CA" w14:paraId="64E0BE15" w14:textId="77777777">
        <w:trPr>
          <w:trHeight w:val="386"/>
        </w:trPr>
        <w:tc>
          <w:tcPr>
            <w:tcW w:w="3520" w:type="dxa"/>
            <w:tcBorders>
              <w:top w:val="single" w:sz="2" w:space="0" w:color="C9D4E8"/>
              <w:left w:val="single" w:sz="2" w:space="0" w:color="C9D4E8"/>
              <w:bottom w:val="single" w:sz="2" w:space="0" w:color="C9D4E8"/>
              <w:right w:val="single" w:sz="2" w:space="0" w:color="C9D4E8"/>
            </w:tcBorders>
          </w:tcPr>
          <w:p w14:paraId="12BAD48D" w14:textId="77777777" w:rsidR="004A19CA" w:rsidRDefault="00673B00">
            <w:pPr>
              <w:spacing w:after="0" w:line="259" w:lineRule="auto"/>
              <w:ind w:left="0" w:right="0" w:firstLine="0"/>
              <w:jc w:val="left"/>
            </w:pPr>
            <w:r>
              <w:rPr>
                <w:sz w:val="19"/>
              </w:rPr>
              <w:t>Downstream premium</w:t>
            </w:r>
          </w:p>
        </w:tc>
        <w:tc>
          <w:tcPr>
            <w:tcW w:w="1946" w:type="dxa"/>
            <w:tcBorders>
              <w:top w:val="single" w:sz="2" w:space="0" w:color="C9D4E8"/>
              <w:left w:val="single" w:sz="2" w:space="0" w:color="C9D4E8"/>
              <w:bottom w:val="single" w:sz="2" w:space="0" w:color="C9D4E8"/>
              <w:right w:val="single" w:sz="2" w:space="0" w:color="C9D4E8"/>
            </w:tcBorders>
          </w:tcPr>
          <w:p w14:paraId="2478D853" w14:textId="77777777" w:rsidR="004A19CA" w:rsidRDefault="00673B00">
            <w:pPr>
              <w:spacing w:after="0" w:line="259" w:lineRule="auto"/>
              <w:ind w:left="0" w:right="0" w:firstLine="0"/>
              <w:jc w:val="left"/>
            </w:pPr>
            <w:r>
              <w:rPr>
                <w:sz w:val="19"/>
              </w:rPr>
              <w:t>$2,800</w:t>
            </w:r>
          </w:p>
        </w:tc>
        <w:tc>
          <w:tcPr>
            <w:tcW w:w="1946" w:type="dxa"/>
            <w:tcBorders>
              <w:top w:val="single" w:sz="2" w:space="0" w:color="C9D4E8"/>
              <w:left w:val="single" w:sz="2" w:space="0" w:color="C9D4E8"/>
              <w:bottom w:val="single" w:sz="2" w:space="0" w:color="C9D4E8"/>
              <w:right w:val="single" w:sz="2" w:space="0" w:color="C9D4E8"/>
            </w:tcBorders>
          </w:tcPr>
          <w:p w14:paraId="4B0FBD58" w14:textId="77777777" w:rsidR="004A19CA" w:rsidRDefault="00673B00">
            <w:pPr>
              <w:spacing w:after="0" w:line="259" w:lineRule="auto"/>
              <w:ind w:left="0" w:right="0" w:firstLine="0"/>
              <w:jc w:val="left"/>
            </w:pPr>
            <w:r>
              <w:rPr>
                <w:b/>
                <w:sz w:val="19"/>
              </w:rPr>
              <w:t>$5,600</w:t>
            </w:r>
          </w:p>
        </w:tc>
        <w:tc>
          <w:tcPr>
            <w:tcW w:w="1948" w:type="dxa"/>
            <w:tcBorders>
              <w:top w:val="single" w:sz="2" w:space="0" w:color="C9D4E8"/>
              <w:left w:val="single" w:sz="2" w:space="0" w:color="C9D4E8"/>
              <w:bottom w:val="single" w:sz="2" w:space="0" w:color="C9D4E8"/>
              <w:right w:val="single" w:sz="2" w:space="0" w:color="C9D4E8"/>
            </w:tcBorders>
          </w:tcPr>
          <w:p w14:paraId="35DFC6F7" w14:textId="77777777" w:rsidR="004A19CA" w:rsidRDefault="00673B00">
            <w:pPr>
              <w:spacing w:after="0" w:line="259" w:lineRule="auto"/>
              <w:ind w:left="1" w:right="0" w:firstLine="0"/>
              <w:jc w:val="left"/>
            </w:pPr>
            <w:r>
              <w:rPr>
                <w:b/>
                <w:sz w:val="19"/>
              </w:rPr>
              <w:t>$8,000</w:t>
            </w:r>
          </w:p>
        </w:tc>
      </w:tr>
      <w:tr w:rsidR="004A19CA" w14:paraId="5E4C9802" w14:textId="77777777">
        <w:trPr>
          <w:trHeight w:val="384"/>
        </w:trPr>
        <w:tc>
          <w:tcPr>
            <w:tcW w:w="3520" w:type="dxa"/>
            <w:tcBorders>
              <w:top w:val="single" w:sz="2" w:space="0" w:color="C9D4E8"/>
              <w:left w:val="single" w:sz="2" w:space="0" w:color="C9D4E8"/>
              <w:bottom w:val="single" w:sz="2" w:space="0" w:color="C9D4E8"/>
              <w:right w:val="single" w:sz="2" w:space="0" w:color="C9D4E8"/>
            </w:tcBorders>
          </w:tcPr>
          <w:p w14:paraId="1CE908FE" w14:textId="77777777" w:rsidR="004A19CA" w:rsidRDefault="00673B00">
            <w:pPr>
              <w:spacing w:after="0" w:line="259" w:lineRule="auto"/>
              <w:ind w:left="0" w:right="0" w:firstLine="0"/>
              <w:jc w:val="left"/>
            </w:pPr>
            <w:r>
              <w:rPr>
                <w:sz w:val="19"/>
              </w:rPr>
              <w:t>Production threshold accelerator</w:t>
            </w:r>
          </w:p>
        </w:tc>
        <w:tc>
          <w:tcPr>
            <w:tcW w:w="1946" w:type="dxa"/>
            <w:tcBorders>
              <w:top w:val="single" w:sz="2" w:space="0" w:color="C9D4E8"/>
              <w:left w:val="single" w:sz="2" w:space="0" w:color="C9D4E8"/>
              <w:bottom w:val="single" w:sz="2" w:space="0" w:color="C9D4E8"/>
              <w:right w:val="single" w:sz="2" w:space="0" w:color="C9D4E8"/>
            </w:tcBorders>
          </w:tcPr>
          <w:p w14:paraId="330AB830" w14:textId="77777777" w:rsidR="004A19CA" w:rsidRDefault="00673B00">
            <w:pPr>
              <w:spacing w:after="0" w:line="259" w:lineRule="auto"/>
              <w:ind w:left="0" w:right="0" w:firstLine="0"/>
              <w:jc w:val="left"/>
            </w:pPr>
            <w:r>
              <w:rPr>
                <w:sz w:val="19"/>
              </w:rPr>
              <w:t>$0</w:t>
            </w:r>
          </w:p>
        </w:tc>
        <w:tc>
          <w:tcPr>
            <w:tcW w:w="1946" w:type="dxa"/>
            <w:tcBorders>
              <w:top w:val="single" w:sz="2" w:space="0" w:color="C9D4E8"/>
              <w:left w:val="single" w:sz="2" w:space="0" w:color="C9D4E8"/>
              <w:bottom w:val="single" w:sz="2" w:space="0" w:color="C9D4E8"/>
              <w:right w:val="single" w:sz="2" w:space="0" w:color="C9D4E8"/>
            </w:tcBorders>
          </w:tcPr>
          <w:p w14:paraId="3D48E0F4" w14:textId="77777777" w:rsidR="004A19CA" w:rsidRDefault="00673B00">
            <w:pPr>
              <w:spacing w:after="0" w:line="259" w:lineRule="auto"/>
              <w:ind w:left="0" w:right="0" w:firstLine="0"/>
              <w:jc w:val="left"/>
            </w:pPr>
            <w:r>
              <w:rPr>
                <w:b/>
                <w:sz w:val="19"/>
              </w:rPr>
              <w:t>$8,000</w:t>
            </w:r>
          </w:p>
        </w:tc>
        <w:tc>
          <w:tcPr>
            <w:tcW w:w="1948" w:type="dxa"/>
            <w:tcBorders>
              <w:top w:val="single" w:sz="2" w:space="0" w:color="C9D4E8"/>
              <w:left w:val="single" w:sz="2" w:space="0" w:color="C9D4E8"/>
              <w:bottom w:val="single" w:sz="2" w:space="0" w:color="C9D4E8"/>
              <w:right w:val="single" w:sz="2" w:space="0" w:color="C9D4E8"/>
            </w:tcBorders>
          </w:tcPr>
          <w:p w14:paraId="2FEAD07A" w14:textId="77777777" w:rsidR="004A19CA" w:rsidRDefault="00673B00">
            <w:pPr>
              <w:spacing w:after="0" w:line="259" w:lineRule="auto"/>
              <w:ind w:left="1" w:right="0" w:firstLine="0"/>
              <w:jc w:val="left"/>
            </w:pPr>
            <w:r>
              <w:rPr>
                <w:b/>
                <w:sz w:val="19"/>
              </w:rPr>
              <w:t>$16,000</w:t>
            </w:r>
          </w:p>
        </w:tc>
      </w:tr>
      <w:tr w:rsidR="004A19CA" w14:paraId="4AA7CA9D" w14:textId="77777777">
        <w:trPr>
          <w:trHeight w:val="386"/>
        </w:trPr>
        <w:tc>
          <w:tcPr>
            <w:tcW w:w="3520" w:type="dxa"/>
            <w:tcBorders>
              <w:top w:val="single" w:sz="2" w:space="0" w:color="C9D4E8"/>
              <w:left w:val="single" w:sz="2" w:space="0" w:color="C9D4E8"/>
              <w:bottom w:val="single" w:sz="2" w:space="0" w:color="C9D4E8"/>
              <w:right w:val="single" w:sz="2" w:space="0" w:color="C9D4E8"/>
            </w:tcBorders>
          </w:tcPr>
          <w:p w14:paraId="3B706DB4" w14:textId="77777777" w:rsidR="004A19CA" w:rsidRDefault="00673B00">
            <w:pPr>
              <w:spacing w:after="0" w:line="259" w:lineRule="auto"/>
              <w:ind w:left="0" w:right="0" w:firstLine="0"/>
              <w:jc w:val="left"/>
            </w:pPr>
            <w:r>
              <w:rPr>
                <w:sz w:val="19"/>
              </w:rPr>
              <w:t>Total annual compensation</w:t>
            </w:r>
          </w:p>
        </w:tc>
        <w:tc>
          <w:tcPr>
            <w:tcW w:w="1946" w:type="dxa"/>
            <w:tcBorders>
              <w:top w:val="single" w:sz="2" w:space="0" w:color="C9D4E8"/>
              <w:left w:val="single" w:sz="2" w:space="0" w:color="C9D4E8"/>
              <w:bottom w:val="single" w:sz="2" w:space="0" w:color="C9D4E8"/>
              <w:right w:val="single" w:sz="2" w:space="0" w:color="C9D4E8"/>
            </w:tcBorders>
          </w:tcPr>
          <w:p w14:paraId="632D5839" w14:textId="77777777" w:rsidR="004A19CA" w:rsidRDefault="00673B00">
            <w:pPr>
              <w:spacing w:after="0" w:line="259" w:lineRule="auto"/>
              <w:ind w:left="0" w:right="0" w:firstLine="0"/>
              <w:jc w:val="left"/>
            </w:pPr>
            <w:r>
              <w:rPr>
                <w:sz w:val="19"/>
              </w:rPr>
              <w:t>$50,800</w:t>
            </w:r>
          </w:p>
        </w:tc>
        <w:tc>
          <w:tcPr>
            <w:tcW w:w="1946" w:type="dxa"/>
            <w:tcBorders>
              <w:top w:val="single" w:sz="2" w:space="0" w:color="C9D4E8"/>
              <w:left w:val="single" w:sz="2" w:space="0" w:color="C9D4E8"/>
              <w:bottom w:val="single" w:sz="2" w:space="0" w:color="C9D4E8"/>
              <w:right w:val="single" w:sz="2" w:space="0" w:color="C9D4E8"/>
            </w:tcBorders>
          </w:tcPr>
          <w:p w14:paraId="5D9E67A2" w14:textId="77777777" w:rsidR="004A19CA" w:rsidRDefault="00673B00">
            <w:pPr>
              <w:spacing w:after="0" w:line="259" w:lineRule="auto"/>
              <w:ind w:left="0" w:right="0" w:firstLine="0"/>
              <w:jc w:val="left"/>
            </w:pPr>
            <w:r>
              <w:rPr>
                <w:b/>
                <w:sz w:val="19"/>
              </w:rPr>
              <w:t>$66,100</w:t>
            </w:r>
          </w:p>
        </w:tc>
        <w:tc>
          <w:tcPr>
            <w:tcW w:w="1948" w:type="dxa"/>
            <w:tcBorders>
              <w:top w:val="single" w:sz="2" w:space="0" w:color="C9D4E8"/>
              <w:left w:val="single" w:sz="2" w:space="0" w:color="C9D4E8"/>
              <w:bottom w:val="single" w:sz="2" w:space="0" w:color="C9D4E8"/>
              <w:right w:val="single" w:sz="2" w:space="0" w:color="C9D4E8"/>
            </w:tcBorders>
          </w:tcPr>
          <w:p w14:paraId="20FAA565" w14:textId="77777777" w:rsidR="004A19CA" w:rsidRDefault="00673B00">
            <w:pPr>
              <w:spacing w:after="0" w:line="259" w:lineRule="auto"/>
              <w:ind w:left="1" w:right="0" w:firstLine="0"/>
              <w:jc w:val="left"/>
            </w:pPr>
            <w:r>
              <w:rPr>
                <w:b/>
                <w:sz w:val="19"/>
              </w:rPr>
              <w:t>$102,000</w:t>
            </w:r>
          </w:p>
        </w:tc>
      </w:tr>
    </w:tbl>
    <w:p w14:paraId="2214C859" w14:textId="77777777" w:rsidR="004A19CA" w:rsidRDefault="00673B00">
      <w:pPr>
        <w:spacing w:after="288"/>
        <w:ind w:left="-5" w:right="9"/>
      </w:pPr>
      <w:r>
        <w:t>Model 5 carries the highest incremental cost, $177,600 per year, and requires the largest volume recovery to break even at 8.9 percent. Two factors mitigate this. First, the phased sequence staggers cost introduction across four quarters. The downstream premium and production accelerator activate only after the base and portfolio layers are stable, allowing incremental revenue to develop before full cost exposure. Second, the break-even threshold of 8.9 percent sits below the 12 percent decline already docu</w:t>
      </w:r>
      <w:r>
        <w:t>mented. Recovering the volume already lost returns the store to positive territory entirely.</w:t>
      </w:r>
    </w:p>
    <w:p w14:paraId="1256B39C" w14:textId="77777777" w:rsidR="004A19CA" w:rsidRDefault="00673B00">
      <w:pPr>
        <w:pStyle w:val="Heading2"/>
        <w:spacing w:after="0"/>
        <w:ind w:left="-5"/>
      </w:pPr>
      <w:r>
        <w:t>10.3   Comparative Model Summary</w:t>
      </w:r>
    </w:p>
    <w:tbl>
      <w:tblPr>
        <w:tblStyle w:val="TableGrid"/>
        <w:tblW w:w="9360" w:type="dxa"/>
        <w:tblInd w:w="0" w:type="dxa"/>
        <w:tblCellMar>
          <w:top w:w="80" w:type="dxa"/>
          <w:left w:w="121" w:type="dxa"/>
          <w:bottom w:w="0" w:type="dxa"/>
          <w:right w:w="115" w:type="dxa"/>
        </w:tblCellMar>
        <w:tblLook w:val="04A0" w:firstRow="1" w:lastRow="0" w:firstColumn="1" w:lastColumn="0" w:noHBand="0" w:noVBand="1"/>
      </w:tblPr>
      <w:tblGrid>
        <w:gridCol w:w="2398"/>
        <w:gridCol w:w="1562"/>
        <w:gridCol w:w="1300"/>
        <w:gridCol w:w="1700"/>
        <w:gridCol w:w="1300"/>
        <w:gridCol w:w="1100"/>
      </w:tblGrid>
      <w:tr w:rsidR="004A19CA" w14:paraId="4A901AF5" w14:textId="77777777">
        <w:trPr>
          <w:trHeight w:val="608"/>
        </w:trPr>
        <w:tc>
          <w:tcPr>
            <w:tcW w:w="2398" w:type="dxa"/>
            <w:tcBorders>
              <w:top w:val="single" w:sz="2" w:space="0" w:color="C9D4E8"/>
              <w:left w:val="single" w:sz="2" w:space="0" w:color="C9D4E8"/>
              <w:bottom w:val="single" w:sz="2" w:space="0" w:color="C9D4E8"/>
              <w:right w:val="single" w:sz="2" w:space="0" w:color="C9D4E8"/>
            </w:tcBorders>
            <w:shd w:val="clear" w:color="auto" w:fill="1F3864"/>
          </w:tcPr>
          <w:p w14:paraId="233520C5" w14:textId="77777777" w:rsidR="004A19CA" w:rsidRDefault="00673B00">
            <w:pPr>
              <w:spacing w:after="0" w:line="259" w:lineRule="auto"/>
              <w:ind w:left="0" w:right="0" w:firstLine="0"/>
              <w:jc w:val="left"/>
            </w:pPr>
            <w:r>
              <w:rPr>
                <w:b/>
                <w:color w:val="FFFFFF"/>
                <w:sz w:val="19"/>
              </w:rPr>
              <w:t>Model</w:t>
            </w:r>
          </w:p>
        </w:tc>
        <w:tc>
          <w:tcPr>
            <w:tcW w:w="1562" w:type="dxa"/>
            <w:tcBorders>
              <w:top w:val="single" w:sz="2" w:space="0" w:color="C9D4E8"/>
              <w:left w:val="single" w:sz="2" w:space="0" w:color="C9D4E8"/>
              <w:bottom w:val="single" w:sz="2" w:space="0" w:color="C9D4E8"/>
              <w:right w:val="single" w:sz="2" w:space="0" w:color="C9D4E8"/>
            </w:tcBorders>
            <w:shd w:val="clear" w:color="auto" w:fill="1F3864"/>
          </w:tcPr>
          <w:p w14:paraId="4836E8C7" w14:textId="77777777" w:rsidR="004A19CA" w:rsidRDefault="00673B00">
            <w:pPr>
              <w:spacing w:after="0" w:line="259" w:lineRule="auto"/>
              <w:ind w:left="1" w:right="0" w:firstLine="0"/>
              <w:jc w:val="left"/>
            </w:pPr>
            <w:r>
              <w:rPr>
                <w:b/>
                <w:color w:val="FFFFFF"/>
                <w:sz w:val="19"/>
              </w:rPr>
              <w:t>Tech Avg Pay</w:t>
            </w:r>
          </w:p>
        </w:tc>
        <w:tc>
          <w:tcPr>
            <w:tcW w:w="1300" w:type="dxa"/>
            <w:tcBorders>
              <w:top w:val="single" w:sz="2" w:space="0" w:color="C9D4E8"/>
              <w:left w:val="single" w:sz="2" w:space="0" w:color="C9D4E8"/>
              <w:bottom w:val="single" w:sz="2" w:space="0" w:color="C9D4E8"/>
              <w:right w:val="single" w:sz="2" w:space="0" w:color="C9D4E8"/>
            </w:tcBorders>
            <w:shd w:val="clear" w:color="auto" w:fill="1F3864"/>
          </w:tcPr>
          <w:p w14:paraId="7D8CF182" w14:textId="77777777" w:rsidR="004A19CA" w:rsidRDefault="00673B00">
            <w:pPr>
              <w:spacing w:after="0" w:line="259" w:lineRule="auto"/>
              <w:ind w:left="0" w:right="0" w:firstLine="0"/>
              <w:jc w:val="left"/>
            </w:pPr>
            <w:r>
              <w:rPr>
                <w:b/>
                <w:color w:val="FFFFFF"/>
                <w:sz w:val="19"/>
              </w:rPr>
              <w:t xml:space="preserve">Pay </w:t>
            </w:r>
          </w:p>
          <w:p w14:paraId="2319F28D" w14:textId="77777777" w:rsidR="004A19CA" w:rsidRDefault="00673B00">
            <w:pPr>
              <w:spacing w:after="0" w:line="259" w:lineRule="auto"/>
              <w:ind w:left="0" w:right="0" w:firstLine="0"/>
              <w:jc w:val="left"/>
            </w:pPr>
            <w:r>
              <w:rPr>
                <w:b/>
                <w:color w:val="FFFFFF"/>
                <w:sz w:val="19"/>
              </w:rPr>
              <w:t>Change</w:t>
            </w:r>
          </w:p>
        </w:tc>
        <w:tc>
          <w:tcPr>
            <w:tcW w:w="1700" w:type="dxa"/>
            <w:tcBorders>
              <w:top w:val="single" w:sz="2" w:space="0" w:color="C9D4E8"/>
              <w:left w:val="single" w:sz="2" w:space="0" w:color="C9D4E8"/>
              <w:bottom w:val="single" w:sz="2" w:space="0" w:color="C9D4E8"/>
              <w:right w:val="single" w:sz="2" w:space="0" w:color="C9D4E8"/>
            </w:tcBorders>
            <w:shd w:val="clear" w:color="auto" w:fill="1F3864"/>
          </w:tcPr>
          <w:p w14:paraId="357ADB79" w14:textId="77777777" w:rsidR="004A19CA" w:rsidRDefault="00673B00">
            <w:pPr>
              <w:spacing w:after="0" w:line="259" w:lineRule="auto"/>
              <w:ind w:left="0" w:right="0" w:firstLine="0"/>
              <w:jc w:val="left"/>
            </w:pPr>
            <w:r>
              <w:rPr>
                <w:b/>
                <w:color w:val="FFFFFF"/>
                <w:sz w:val="19"/>
              </w:rPr>
              <w:t>Addl Annual Cost</w:t>
            </w:r>
          </w:p>
        </w:tc>
        <w:tc>
          <w:tcPr>
            <w:tcW w:w="1300" w:type="dxa"/>
            <w:tcBorders>
              <w:top w:val="single" w:sz="2" w:space="0" w:color="C9D4E8"/>
              <w:left w:val="single" w:sz="2" w:space="0" w:color="C9D4E8"/>
              <w:bottom w:val="single" w:sz="2" w:space="0" w:color="C9D4E8"/>
              <w:right w:val="single" w:sz="2" w:space="0" w:color="C9D4E8"/>
            </w:tcBorders>
            <w:shd w:val="clear" w:color="auto" w:fill="1F3864"/>
          </w:tcPr>
          <w:p w14:paraId="4542790A" w14:textId="77777777" w:rsidR="004A19CA" w:rsidRDefault="00673B00">
            <w:pPr>
              <w:spacing w:after="0" w:line="259" w:lineRule="auto"/>
              <w:ind w:left="0" w:right="0" w:firstLine="0"/>
              <w:jc w:val="left"/>
            </w:pPr>
            <w:r>
              <w:rPr>
                <w:b/>
                <w:color w:val="FFFFFF"/>
                <w:sz w:val="19"/>
              </w:rPr>
              <w:t>Gross Margin</w:t>
            </w:r>
          </w:p>
        </w:tc>
        <w:tc>
          <w:tcPr>
            <w:tcW w:w="1100" w:type="dxa"/>
            <w:tcBorders>
              <w:top w:val="single" w:sz="2" w:space="0" w:color="C9D4E8"/>
              <w:left w:val="single" w:sz="2" w:space="0" w:color="C9D4E8"/>
              <w:bottom w:val="single" w:sz="2" w:space="0" w:color="C9D4E8"/>
              <w:right w:val="single" w:sz="2" w:space="0" w:color="C9D4E8"/>
            </w:tcBorders>
            <w:shd w:val="clear" w:color="auto" w:fill="1F3864"/>
          </w:tcPr>
          <w:p w14:paraId="222A446F" w14:textId="77777777" w:rsidR="004A19CA" w:rsidRDefault="00673B00">
            <w:pPr>
              <w:spacing w:after="0" w:line="259" w:lineRule="auto"/>
              <w:ind w:left="0" w:right="0" w:firstLine="0"/>
              <w:jc w:val="left"/>
            </w:pPr>
            <w:r>
              <w:rPr>
                <w:b/>
                <w:color w:val="FFFFFF"/>
                <w:sz w:val="19"/>
              </w:rPr>
              <w:t>BreakEven</w:t>
            </w:r>
          </w:p>
        </w:tc>
      </w:tr>
      <w:tr w:rsidR="004A19CA" w14:paraId="4B4CED9D" w14:textId="77777777">
        <w:trPr>
          <w:trHeight w:val="385"/>
        </w:trPr>
        <w:tc>
          <w:tcPr>
            <w:tcW w:w="2398" w:type="dxa"/>
            <w:tcBorders>
              <w:top w:val="single" w:sz="2" w:space="0" w:color="C9D4E8"/>
              <w:left w:val="single" w:sz="2" w:space="0" w:color="C9D4E8"/>
              <w:bottom w:val="single" w:sz="2" w:space="0" w:color="C9D4E8"/>
              <w:right w:val="single" w:sz="2" w:space="0" w:color="C9D4E8"/>
            </w:tcBorders>
          </w:tcPr>
          <w:p w14:paraId="15671188" w14:textId="77777777" w:rsidR="004A19CA" w:rsidRDefault="00673B00">
            <w:pPr>
              <w:spacing w:after="0" w:line="259" w:lineRule="auto"/>
              <w:ind w:left="0" w:right="0" w:firstLine="0"/>
              <w:jc w:val="left"/>
            </w:pPr>
            <w:r>
              <w:rPr>
                <w:b/>
                <w:sz w:val="19"/>
              </w:rPr>
              <w:t>Current Flat-Rate</w:t>
            </w:r>
          </w:p>
        </w:tc>
        <w:tc>
          <w:tcPr>
            <w:tcW w:w="1562" w:type="dxa"/>
            <w:tcBorders>
              <w:top w:val="single" w:sz="2" w:space="0" w:color="C9D4E8"/>
              <w:left w:val="single" w:sz="2" w:space="0" w:color="C9D4E8"/>
              <w:bottom w:val="single" w:sz="2" w:space="0" w:color="C9D4E8"/>
              <w:right w:val="single" w:sz="2" w:space="0" w:color="C9D4E8"/>
            </w:tcBorders>
          </w:tcPr>
          <w:p w14:paraId="2E1850CB" w14:textId="77777777" w:rsidR="004A19CA" w:rsidRDefault="00673B00">
            <w:pPr>
              <w:spacing w:after="0" w:line="259" w:lineRule="auto"/>
              <w:ind w:left="1" w:right="0" w:firstLine="0"/>
              <w:jc w:val="left"/>
            </w:pPr>
            <w:r>
              <w:rPr>
                <w:sz w:val="19"/>
              </w:rPr>
              <w:t>$51,300</w:t>
            </w:r>
          </w:p>
        </w:tc>
        <w:tc>
          <w:tcPr>
            <w:tcW w:w="1300" w:type="dxa"/>
            <w:tcBorders>
              <w:top w:val="single" w:sz="2" w:space="0" w:color="C9D4E8"/>
              <w:left w:val="single" w:sz="2" w:space="0" w:color="C9D4E8"/>
              <w:bottom w:val="single" w:sz="2" w:space="0" w:color="C9D4E8"/>
              <w:right w:val="single" w:sz="2" w:space="0" w:color="C9D4E8"/>
            </w:tcBorders>
          </w:tcPr>
          <w:p w14:paraId="75E05309" w14:textId="77777777" w:rsidR="004A19CA" w:rsidRDefault="00673B00">
            <w:pPr>
              <w:spacing w:after="0" w:line="259" w:lineRule="auto"/>
              <w:ind w:left="0" w:right="0" w:firstLine="0"/>
              <w:jc w:val="left"/>
            </w:pPr>
            <w:r>
              <w:rPr>
                <w:sz w:val="19"/>
              </w:rPr>
              <w:t>N/A</w:t>
            </w:r>
          </w:p>
        </w:tc>
        <w:tc>
          <w:tcPr>
            <w:tcW w:w="1700" w:type="dxa"/>
            <w:tcBorders>
              <w:top w:val="single" w:sz="2" w:space="0" w:color="C9D4E8"/>
              <w:left w:val="single" w:sz="2" w:space="0" w:color="C9D4E8"/>
              <w:bottom w:val="single" w:sz="2" w:space="0" w:color="C9D4E8"/>
              <w:right w:val="single" w:sz="2" w:space="0" w:color="C9D4E8"/>
            </w:tcBorders>
          </w:tcPr>
          <w:p w14:paraId="39DE7190" w14:textId="77777777" w:rsidR="004A19CA" w:rsidRDefault="00673B00">
            <w:pPr>
              <w:spacing w:after="0" w:line="259" w:lineRule="auto"/>
              <w:ind w:left="0" w:right="0" w:firstLine="0"/>
              <w:jc w:val="left"/>
            </w:pPr>
            <w:r>
              <w:rPr>
                <w:sz w:val="19"/>
              </w:rPr>
              <w:t>N/A</w:t>
            </w:r>
          </w:p>
        </w:tc>
        <w:tc>
          <w:tcPr>
            <w:tcW w:w="1300" w:type="dxa"/>
            <w:tcBorders>
              <w:top w:val="single" w:sz="2" w:space="0" w:color="C9D4E8"/>
              <w:left w:val="single" w:sz="2" w:space="0" w:color="C9D4E8"/>
              <w:bottom w:val="single" w:sz="2" w:space="0" w:color="C9D4E8"/>
              <w:right w:val="single" w:sz="2" w:space="0" w:color="C9D4E8"/>
            </w:tcBorders>
          </w:tcPr>
          <w:p w14:paraId="25B76D5E" w14:textId="77777777" w:rsidR="004A19CA" w:rsidRDefault="00673B00">
            <w:pPr>
              <w:spacing w:after="0" w:line="259" w:lineRule="auto"/>
              <w:ind w:left="0" w:right="0" w:firstLine="0"/>
              <w:jc w:val="left"/>
            </w:pPr>
            <w:r>
              <w:rPr>
                <w:sz w:val="19"/>
              </w:rPr>
              <w:t>77.3%</w:t>
            </w:r>
          </w:p>
        </w:tc>
        <w:tc>
          <w:tcPr>
            <w:tcW w:w="1100" w:type="dxa"/>
            <w:tcBorders>
              <w:top w:val="single" w:sz="2" w:space="0" w:color="C9D4E8"/>
              <w:left w:val="single" w:sz="2" w:space="0" w:color="C9D4E8"/>
              <w:bottom w:val="single" w:sz="2" w:space="0" w:color="C9D4E8"/>
              <w:right w:val="single" w:sz="2" w:space="0" w:color="C9D4E8"/>
            </w:tcBorders>
          </w:tcPr>
          <w:p w14:paraId="08EB70A4" w14:textId="77777777" w:rsidR="004A19CA" w:rsidRDefault="00673B00">
            <w:pPr>
              <w:spacing w:after="0" w:line="259" w:lineRule="auto"/>
              <w:ind w:left="0" w:right="0" w:firstLine="0"/>
              <w:jc w:val="left"/>
            </w:pPr>
            <w:r>
              <w:rPr>
                <w:sz w:val="19"/>
              </w:rPr>
              <w:t>N/A</w:t>
            </w:r>
          </w:p>
        </w:tc>
      </w:tr>
      <w:tr w:rsidR="004A19CA" w14:paraId="520DB9A6" w14:textId="77777777">
        <w:trPr>
          <w:trHeight w:val="608"/>
        </w:trPr>
        <w:tc>
          <w:tcPr>
            <w:tcW w:w="2398" w:type="dxa"/>
            <w:tcBorders>
              <w:top w:val="single" w:sz="2" w:space="0" w:color="C9D4E8"/>
              <w:left w:val="single" w:sz="2" w:space="0" w:color="C9D4E8"/>
              <w:bottom w:val="single" w:sz="2" w:space="0" w:color="C9D4E8"/>
              <w:right w:val="single" w:sz="2" w:space="0" w:color="C9D4E8"/>
            </w:tcBorders>
          </w:tcPr>
          <w:p w14:paraId="6144760D" w14:textId="77777777" w:rsidR="004A19CA" w:rsidRDefault="00673B00">
            <w:pPr>
              <w:spacing w:after="0" w:line="259" w:lineRule="auto"/>
              <w:ind w:left="0" w:right="0" w:firstLine="0"/>
              <w:jc w:val="left"/>
            </w:pPr>
            <w:r>
              <w:rPr>
                <w:b/>
                <w:sz w:val="19"/>
              </w:rPr>
              <w:t xml:space="preserve">1: Revenue </w:t>
            </w:r>
          </w:p>
          <w:p w14:paraId="1A71BEA5" w14:textId="77777777" w:rsidR="004A19CA" w:rsidRDefault="00673B00">
            <w:pPr>
              <w:spacing w:after="0" w:line="259" w:lineRule="auto"/>
              <w:ind w:left="0" w:right="0" w:firstLine="0"/>
              <w:jc w:val="left"/>
            </w:pPr>
            <w:r>
              <w:rPr>
                <w:b/>
                <w:sz w:val="19"/>
              </w:rPr>
              <w:t>Alignment</w:t>
            </w:r>
          </w:p>
        </w:tc>
        <w:tc>
          <w:tcPr>
            <w:tcW w:w="1562" w:type="dxa"/>
            <w:tcBorders>
              <w:top w:val="single" w:sz="2" w:space="0" w:color="C9D4E8"/>
              <w:left w:val="single" w:sz="2" w:space="0" w:color="C9D4E8"/>
              <w:bottom w:val="single" w:sz="2" w:space="0" w:color="C9D4E8"/>
              <w:right w:val="single" w:sz="2" w:space="0" w:color="C9D4E8"/>
            </w:tcBorders>
          </w:tcPr>
          <w:p w14:paraId="18AB8554" w14:textId="77777777" w:rsidR="004A19CA" w:rsidRDefault="00673B00">
            <w:pPr>
              <w:spacing w:after="0" w:line="259" w:lineRule="auto"/>
              <w:ind w:left="1" w:right="0" w:firstLine="0"/>
              <w:jc w:val="left"/>
            </w:pPr>
            <w:r>
              <w:rPr>
                <w:sz w:val="19"/>
              </w:rPr>
              <w:t>$51,558</w:t>
            </w:r>
          </w:p>
        </w:tc>
        <w:tc>
          <w:tcPr>
            <w:tcW w:w="1300" w:type="dxa"/>
            <w:tcBorders>
              <w:top w:val="single" w:sz="2" w:space="0" w:color="C9D4E8"/>
              <w:left w:val="single" w:sz="2" w:space="0" w:color="C9D4E8"/>
              <w:bottom w:val="single" w:sz="2" w:space="0" w:color="C9D4E8"/>
              <w:right w:val="single" w:sz="2" w:space="0" w:color="C9D4E8"/>
            </w:tcBorders>
          </w:tcPr>
          <w:p w14:paraId="0726A2A3" w14:textId="77777777" w:rsidR="004A19CA" w:rsidRDefault="00673B00">
            <w:pPr>
              <w:spacing w:after="0" w:line="259" w:lineRule="auto"/>
              <w:ind w:left="0" w:right="0" w:firstLine="0"/>
              <w:jc w:val="left"/>
            </w:pPr>
            <w:r>
              <w:rPr>
                <w:sz w:val="19"/>
              </w:rPr>
              <w:t>+0.5%</w:t>
            </w:r>
          </w:p>
        </w:tc>
        <w:tc>
          <w:tcPr>
            <w:tcW w:w="1700" w:type="dxa"/>
            <w:tcBorders>
              <w:top w:val="single" w:sz="2" w:space="0" w:color="C9D4E8"/>
              <w:left w:val="single" w:sz="2" w:space="0" w:color="C9D4E8"/>
              <w:bottom w:val="single" w:sz="2" w:space="0" w:color="C9D4E8"/>
              <w:right w:val="single" w:sz="2" w:space="0" w:color="C9D4E8"/>
            </w:tcBorders>
          </w:tcPr>
          <w:p w14:paraId="703A06C0" w14:textId="77777777" w:rsidR="004A19CA" w:rsidRDefault="00673B00">
            <w:pPr>
              <w:spacing w:after="0" w:line="259" w:lineRule="auto"/>
              <w:ind w:left="0" w:right="0" w:firstLine="0"/>
              <w:jc w:val="left"/>
            </w:pPr>
            <w:r>
              <w:rPr>
                <w:sz w:val="19"/>
              </w:rPr>
              <w:t>$5,700</w:t>
            </w:r>
          </w:p>
        </w:tc>
        <w:tc>
          <w:tcPr>
            <w:tcW w:w="1300" w:type="dxa"/>
            <w:tcBorders>
              <w:top w:val="single" w:sz="2" w:space="0" w:color="C9D4E8"/>
              <w:left w:val="single" w:sz="2" w:space="0" w:color="C9D4E8"/>
              <w:bottom w:val="single" w:sz="2" w:space="0" w:color="C9D4E8"/>
              <w:right w:val="single" w:sz="2" w:space="0" w:color="C9D4E8"/>
            </w:tcBorders>
          </w:tcPr>
          <w:p w14:paraId="7D21F526" w14:textId="77777777" w:rsidR="004A19CA" w:rsidRDefault="00673B00">
            <w:pPr>
              <w:spacing w:after="0" w:line="259" w:lineRule="auto"/>
              <w:ind w:left="0" w:right="0" w:firstLine="0"/>
              <w:jc w:val="left"/>
            </w:pPr>
            <w:r>
              <w:rPr>
                <w:sz w:val="19"/>
              </w:rPr>
              <w:t>77.1%</w:t>
            </w:r>
          </w:p>
        </w:tc>
        <w:tc>
          <w:tcPr>
            <w:tcW w:w="1100" w:type="dxa"/>
            <w:tcBorders>
              <w:top w:val="single" w:sz="2" w:space="0" w:color="C9D4E8"/>
              <w:left w:val="single" w:sz="2" w:space="0" w:color="C9D4E8"/>
              <w:bottom w:val="single" w:sz="2" w:space="0" w:color="C9D4E8"/>
              <w:right w:val="single" w:sz="2" w:space="0" w:color="C9D4E8"/>
            </w:tcBorders>
          </w:tcPr>
          <w:p w14:paraId="1AC6A752" w14:textId="77777777" w:rsidR="004A19CA" w:rsidRDefault="00673B00">
            <w:pPr>
              <w:spacing w:after="0" w:line="259" w:lineRule="auto"/>
              <w:ind w:left="0" w:right="0" w:firstLine="0"/>
              <w:jc w:val="left"/>
            </w:pPr>
            <w:r>
              <w:rPr>
                <w:sz w:val="19"/>
              </w:rPr>
              <w:t>None</w:t>
            </w:r>
          </w:p>
        </w:tc>
      </w:tr>
      <w:tr w:rsidR="004A19CA" w14:paraId="5ED18483" w14:textId="77777777">
        <w:trPr>
          <w:trHeight w:val="386"/>
        </w:trPr>
        <w:tc>
          <w:tcPr>
            <w:tcW w:w="2398" w:type="dxa"/>
            <w:tcBorders>
              <w:top w:val="single" w:sz="2" w:space="0" w:color="C9D4E8"/>
              <w:left w:val="single" w:sz="2" w:space="0" w:color="C9D4E8"/>
              <w:bottom w:val="single" w:sz="2" w:space="0" w:color="C9D4E8"/>
              <w:right w:val="single" w:sz="2" w:space="0" w:color="C9D4E8"/>
            </w:tcBorders>
          </w:tcPr>
          <w:p w14:paraId="7397EC5E" w14:textId="77777777" w:rsidR="004A19CA" w:rsidRDefault="00673B00">
            <w:pPr>
              <w:spacing w:after="0" w:line="259" w:lineRule="auto"/>
              <w:ind w:left="0" w:right="0" w:firstLine="0"/>
              <w:jc w:val="left"/>
            </w:pPr>
            <w:r>
              <w:rPr>
                <w:b/>
                <w:sz w:val="19"/>
              </w:rPr>
              <w:t>2: Downstream</w:t>
            </w:r>
          </w:p>
        </w:tc>
        <w:tc>
          <w:tcPr>
            <w:tcW w:w="1562" w:type="dxa"/>
            <w:tcBorders>
              <w:top w:val="single" w:sz="2" w:space="0" w:color="C9D4E8"/>
              <w:left w:val="single" w:sz="2" w:space="0" w:color="C9D4E8"/>
              <w:bottom w:val="single" w:sz="2" w:space="0" w:color="C9D4E8"/>
              <w:right w:val="single" w:sz="2" w:space="0" w:color="C9D4E8"/>
            </w:tcBorders>
          </w:tcPr>
          <w:p w14:paraId="2653D4E6" w14:textId="77777777" w:rsidR="004A19CA" w:rsidRDefault="00673B00">
            <w:pPr>
              <w:spacing w:after="0" w:line="259" w:lineRule="auto"/>
              <w:ind w:left="1" w:right="0" w:firstLine="0"/>
              <w:jc w:val="left"/>
            </w:pPr>
            <w:r>
              <w:rPr>
                <w:sz w:val="19"/>
              </w:rPr>
              <w:t>$59,600</w:t>
            </w:r>
          </w:p>
        </w:tc>
        <w:tc>
          <w:tcPr>
            <w:tcW w:w="1300" w:type="dxa"/>
            <w:tcBorders>
              <w:top w:val="single" w:sz="2" w:space="0" w:color="C9D4E8"/>
              <w:left w:val="single" w:sz="2" w:space="0" w:color="C9D4E8"/>
              <w:bottom w:val="single" w:sz="2" w:space="0" w:color="C9D4E8"/>
              <w:right w:val="single" w:sz="2" w:space="0" w:color="C9D4E8"/>
            </w:tcBorders>
          </w:tcPr>
          <w:p w14:paraId="791B540B" w14:textId="77777777" w:rsidR="004A19CA" w:rsidRDefault="00673B00">
            <w:pPr>
              <w:spacing w:after="0" w:line="259" w:lineRule="auto"/>
              <w:ind w:left="0" w:right="0" w:firstLine="0"/>
              <w:jc w:val="left"/>
            </w:pPr>
            <w:r>
              <w:rPr>
                <w:sz w:val="19"/>
              </w:rPr>
              <w:t>+16.2%</w:t>
            </w:r>
          </w:p>
        </w:tc>
        <w:tc>
          <w:tcPr>
            <w:tcW w:w="1700" w:type="dxa"/>
            <w:tcBorders>
              <w:top w:val="single" w:sz="2" w:space="0" w:color="C9D4E8"/>
              <w:left w:val="single" w:sz="2" w:space="0" w:color="C9D4E8"/>
              <w:bottom w:val="single" w:sz="2" w:space="0" w:color="C9D4E8"/>
              <w:right w:val="single" w:sz="2" w:space="0" w:color="C9D4E8"/>
            </w:tcBorders>
          </w:tcPr>
          <w:p w14:paraId="287417B1" w14:textId="77777777" w:rsidR="004A19CA" w:rsidRDefault="00673B00">
            <w:pPr>
              <w:spacing w:after="0" w:line="259" w:lineRule="auto"/>
              <w:ind w:left="0" w:right="0" w:firstLine="0"/>
              <w:jc w:val="left"/>
            </w:pPr>
            <w:r>
              <w:rPr>
                <w:sz w:val="19"/>
              </w:rPr>
              <w:t>$88,400</w:t>
            </w:r>
          </w:p>
        </w:tc>
        <w:tc>
          <w:tcPr>
            <w:tcW w:w="1300" w:type="dxa"/>
            <w:tcBorders>
              <w:top w:val="single" w:sz="2" w:space="0" w:color="C9D4E8"/>
              <w:left w:val="single" w:sz="2" w:space="0" w:color="C9D4E8"/>
              <w:bottom w:val="single" w:sz="2" w:space="0" w:color="C9D4E8"/>
              <w:right w:val="single" w:sz="2" w:space="0" w:color="C9D4E8"/>
            </w:tcBorders>
          </w:tcPr>
          <w:p w14:paraId="08BDB825" w14:textId="77777777" w:rsidR="004A19CA" w:rsidRDefault="00673B00">
            <w:pPr>
              <w:spacing w:after="0" w:line="259" w:lineRule="auto"/>
              <w:ind w:left="0" w:right="0" w:firstLine="0"/>
              <w:jc w:val="left"/>
            </w:pPr>
            <w:r>
              <w:rPr>
                <w:sz w:val="19"/>
              </w:rPr>
              <w:t>74.0%</w:t>
            </w:r>
          </w:p>
        </w:tc>
        <w:tc>
          <w:tcPr>
            <w:tcW w:w="1100" w:type="dxa"/>
            <w:tcBorders>
              <w:top w:val="single" w:sz="2" w:space="0" w:color="C9D4E8"/>
              <w:left w:val="single" w:sz="2" w:space="0" w:color="C9D4E8"/>
              <w:bottom w:val="single" w:sz="2" w:space="0" w:color="C9D4E8"/>
              <w:right w:val="single" w:sz="2" w:space="0" w:color="C9D4E8"/>
            </w:tcBorders>
          </w:tcPr>
          <w:p w14:paraId="714E2AEC" w14:textId="77777777" w:rsidR="004A19CA" w:rsidRDefault="00673B00">
            <w:pPr>
              <w:spacing w:after="0" w:line="259" w:lineRule="auto"/>
              <w:ind w:left="0" w:right="0" w:firstLine="0"/>
              <w:jc w:val="left"/>
            </w:pPr>
            <w:r>
              <w:rPr>
                <w:sz w:val="19"/>
              </w:rPr>
              <w:t>4.4%</w:t>
            </w:r>
          </w:p>
        </w:tc>
      </w:tr>
      <w:tr w:rsidR="004A19CA" w14:paraId="6428E264" w14:textId="77777777">
        <w:trPr>
          <w:trHeight w:val="384"/>
        </w:trPr>
        <w:tc>
          <w:tcPr>
            <w:tcW w:w="2398" w:type="dxa"/>
            <w:tcBorders>
              <w:top w:val="single" w:sz="2" w:space="0" w:color="C9D4E8"/>
              <w:left w:val="single" w:sz="2" w:space="0" w:color="C9D4E8"/>
              <w:bottom w:val="single" w:sz="2" w:space="0" w:color="C9D4E8"/>
              <w:right w:val="single" w:sz="2" w:space="0" w:color="C9D4E8"/>
            </w:tcBorders>
          </w:tcPr>
          <w:p w14:paraId="26D57B45" w14:textId="77777777" w:rsidR="004A19CA" w:rsidRDefault="00673B00">
            <w:pPr>
              <w:spacing w:after="0" w:line="259" w:lineRule="auto"/>
              <w:ind w:left="0" w:right="0" w:firstLine="0"/>
              <w:jc w:val="left"/>
            </w:pPr>
            <w:r>
              <w:rPr>
                <w:b/>
                <w:sz w:val="19"/>
              </w:rPr>
              <w:t>3: Service Cell</w:t>
            </w:r>
          </w:p>
        </w:tc>
        <w:tc>
          <w:tcPr>
            <w:tcW w:w="1562" w:type="dxa"/>
            <w:tcBorders>
              <w:top w:val="single" w:sz="2" w:space="0" w:color="C9D4E8"/>
              <w:left w:val="single" w:sz="2" w:space="0" w:color="C9D4E8"/>
              <w:bottom w:val="single" w:sz="2" w:space="0" w:color="C9D4E8"/>
              <w:right w:val="single" w:sz="2" w:space="0" w:color="C9D4E8"/>
            </w:tcBorders>
          </w:tcPr>
          <w:p w14:paraId="66E6CC32" w14:textId="77777777" w:rsidR="004A19CA" w:rsidRDefault="00673B00">
            <w:pPr>
              <w:spacing w:after="0" w:line="259" w:lineRule="auto"/>
              <w:ind w:left="1" w:right="0" w:firstLine="0"/>
              <w:jc w:val="left"/>
            </w:pPr>
            <w:r>
              <w:rPr>
                <w:sz w:val="19"/>
              </w:rPr>
              <w:t>$57,800</w:t>
            </w:r>
          </w:p>
        </w:tc>
        <w:tc>
          <w:tcPr>
            <w:tcW w:w="1300" w:type="dxa"/>
            <w:tcBorders>
              <w:top w:val="single" w:sz="2" w:space="0" w:color="C9D4E8"/>
              <w:left w:val="single" w:sz="2" w:space="0" w:color="C9D4E8"/>
              <w:bottom w:val="single" w:sz="2" w:space="0" w:color="C9D4E8"/>
              <w:right w:val="single" w:sz="2" w:space="0" w:color="C9D4E8"/>
            </w:tcBorders>
          </w:tcPr>
          <w:p w14:paraId="3F349AF7" w14:textId="77777777" w:rsidR="004A19CA" w:rsidRDefault="00673B00">
            <w:pPr>
              <w:spacing w:after="0" w:line="259" w:lineRule="auto"/>
              <w:ind w:left="0" w:right="0" w:firstLine="0"/>
              <w:jc w:val="left"/>
            </w:pPr>
            <w:r>
              <w:rPr>
                <w:sz w:val="19"/>
              </w:rPr>
              <w:t>+12.7%</w:t>
            </w:r>
          </w:p>
        </w:tc>
        <w:tc>
          <w:tcPr>
            <w:tcW w:w="1700" w:type="dxa"/>
            <w:tcBorders>
              <w:top w:val="single" w:sz="2" w:space="0" w:color="C9D4E8"/>
              <w:left w:val="single" w:sz="2" w:space="0" w:color="C9D4E8"/>
              <w:bottom w:val="single" w:sz="2" w:space="0" w:color="C9D4E8"/>
              <w:right w:val="single" w:sz="2" w:space="0" w:color="C9D4E8"/>
            </w:tcBorders>
          </w:tcPr>
          <w:p w14:paraId="6029D8C9" w14:textId="77777777" w:rsidR="004A19CA" w:rsidRDefault="00673B00">
            <w:pPr>
              <w:spacing w:after="0" w:line="259" w:lineRule="auto"/>
              <w:ind w:left="0" w:right="0" w:firstLine="0"/>
              <w:jc w:val="left"/>
            </w:pPr>
            <w:r>
              <w:rPr>
                <w:sz w:val="19"/>
              </w:rPr>
              <w:t>$78,000</w:t>
            </w:r>
          </w:p>
        </w:tc>
        <w:tc>
          <w:tcPr>
            <w:tcW w:w="1300" w:type="dxa"/>
            <w:tcBorders>
              <w:top w:val="single" w:sz="2" w:space="0" w:color="C9D4E8"/>
              <w:left w:val="single" w:sz="2" w:space="0" w:color="C9D4E8"/>
              <w:bottom w:val="single" w:sz="2" w:space="0" w:color="C9D4E8"/>
              <w:right w:val="single" w:sz="2" w:space="0" w:color="C9D4E8"/>
            </w:tcBorders>
          </w:tcPr>
          <w:p w14:paraId="406E75CE" w14:textId="77777777" w:rsidR="004A19CA" w:rsidRDefault="00673B00">
            <w:pPr>
              <w:spacing w:after="0" w:line="259" w:lineRule="auto"/>
              <w:ind w:left="0" w:right="0" w:firstLine="0"/>
              <w:jc w:val="left"/>
            </w:pPr>
            <w:r>
              <w:rPr>
                <w:sz w:val="19"/>
              </w:rPr>
              <w:t>74.4%</w:t>
            </w:r>
          </w:p>
        </w:tc>
        <w:tc>
          <w:tcPr>
            <w:tcW w:w="1100" w:type="dxa"/>
            <w:tcBorders>
              <w:top w:val="single" w:sz="2" w:space="0" w:color="C9D4E8"/>
              <w:left w:val="single" w:sz="2" w:space="0" w:color="C9D4E8"/>
              <w:bottom w:val="single" w:sz="2" w:space="0" w:color="C9D4E8"/>
              <w:right w:val="single" w:sz="2" w:space="0" w:color="C9D4E8"/>
            </w:tcBorders>
          </w:tcPr>
          <w:p w14:paraId="68AA310E" w14:textId="77777777" w:rsidR="004A19CA" w:rsidRDefault="00673B00">
            <w:pPr>
              <w:spacing w:after="0" w:line="259" w:lineRule="auto"/>
              <w:ind w:left="0" w:right="0" w:firstLine="0"/>
              <w:jc w:val="left"/>
            </w:pPr>
            <w:r>
              <w:rPr>
                <w:sz w:val="19"/>
              </w:rPr>
              <w:t>3.9%</w:t>
            </w:r>
          </w:p>
        </w:tc>
      </w:tr>
      <w:tr w:rsidR="004A19CA" w14:paraId="702CC779" w14:textId="77777777">
        <w:trPr>
          <w:trHeight w:val="386"/>
        </w:trPr>
        <w:tc>
          <w:tcPr>
            <w:tcW w:w="2398" w:type="dxa"/>
            <w:tcBorders>
              <w:top w:val="single" w:sz="2" w:space="0" w:color="C9D4E8"/>
              <w:left w:val="single" w:sz="2" w:space="0" w:color="C9D4E8"/>
              <w:bottom w:val="single" w:sz="2" w:space="0" w:color="C9D4E8"/>
              <w:right w:val="single" w:sz="2" w:space="0" w:color="C9D4E8"/>
            </w:tcBorders>
          </w:tcPr>
          <w:p w14:paraId="0F81FD48" w14:textId="77777777" w:rsidR="004A19CA" w:rsidRDefault="00673B00">
            <w:pPr>
              <w:spacing w:after="0" w:line="259" w:lineRule="auto"/>
              <w:ind w:left="0" w:right="0" w:firstLine="0"/>
              <w:jc w:val="left"/>
            </w:pPr>
            <w:r>
              <w:rPr>
                <w:b/>
                <w:sz w:val="19"/>
              </w:rPr>
              <w:t>4: Prof. Craft</w:t>
            </w:r>
          </w:p>
        </w:tc>
        <w:tc>
          <w:tcPr>
            <w:tcW w:w="1562" w:type="dxa"/>
            <w:tcBorders>
              <w:top w:val="single" w:sz="2" w:space="0" w:color="C9D4E8"/>
              <w:left w:val="single" w:sz="2" w:space="0" w:color="C9D4E8"/>
              <w:bottom w:val="single" w:sz="2" w:space="0" w:color="C9D4E8"/>
              <w:right w:val="single" w:sz="2" w:space="0" w:color="C9D4E8"/>
            </w:tcBorders>
          </w:tcPr>
          <w:p w14:paraId="08DE7CAA" w14:textId="77777777" w:rsidR="004A19CA" w:rsidRDefault="00673B00">
            <w:pPr>
              <w:spacing w:after="0" w:line="259" w:lineRule="auto"/>
              <w:ind w:left="1" w:right="0" w:firstLine="0"/>
              <w:jc w:val="left"/>
            </w:pPr>
            <w:r>
              <w:rPr>
                <w:sz w:val="19"/>
              </w:rPr>
              <w:t>$55,427</w:t>
            </w:r>
          </w:p>
        </w:tc>
        <w:tc>
          <w:tcPr>
            <w:tcW w:w="1300" w:type="dxa"/>
            <w:tcBorders>
              <w:top w:val="single" w:sz="2" w:space="0" w:color="C9D4E8"/>
              <w:left w:val="single" w:sz="2" w:space="0" w:color="C9D4E8"/>
              <w:bottom w:val="single" w:sz="2" w:space="0" w:color="C9D4E8"/>
              <w:right w:val="single" w:sz="2" w:space="0" w:color="C9D4E8"/>
            </w:tcBorders>
          </w:tcPr>
          <w:p w14:paraId="5A614080" w14:textId="77777777" w:rsidR="004A19CA" w:rsidRDefault="00673B00">
            <w:pPr>
              <w:spacing w:after="0" w:line="259" w:lineRule="auto"/>
              <w:ind w:left="0" w:right="0" w:firstLine="0"/>
              <w:jc w:val="left"/>
            </w:pPr>
            <w:r>
              <w:rPr>
                <w:sz w:val="19"/>
              </w:rPr>
              <w:t>+8.0%</w:t>
            </w:r>
          </w:p>
        </w:tc>
        <w:tc>
          <w:tcPr>
            <w:tcW w:w="1700" w:type="dxa"/>
            <w:tcBorders>
              <w:top w:val="single" w:sz="2" w:space="0" w:color="C9D4E8"/>
              <w:left w:val="single" w:sz="2" w:space="0" w:color="C9D4E8"/>
              <w:bottom w:val="single" w:sz="2" w:space="0" w:color="C9D4E8"/>
              <w:right w:val="single" w:sz="2" w:space="0" w:color="C9D4E8"/>
            </w:tcBorders>
          </w:tcPr>
          <w:p w14:paraId="5FF457EC" w14:textId="77777777" w:rsidR="004A19CA" w:rsidRDefault="00673B00">
            <w:pPr>
              <w:spacing w:after="0" w:line="259" w:lineRule="auto"/>
              <w:ind w:left="0" w:right="0" w:firstLine="0"/>
              <w:jc w:val="left"/>
            </w:pPr>
            <w:r>
              <w:rPr>
                <w:sz w:val="19"/>
              </w:rPr>
              <w:t>$49,530</w:t>
            </w:r>
          </w:p>
        </w:tc>
        <w:tc>
          <w:tcPr>
            <w:tcW w:w="1300" w:type="dxa"/>
            <w:tcBorders>
              <w:top w:val="single" w:sz="2" w:space="0" w:color="C9D4E8"/>
              <w:left w:val="single" w:sz="2" w:space="0" w:color="C9D4E8"/>
              <w:bottom w:val="single" w:sz="2" w:space="0" w:color="C9D4E8"/>
              <w:right w:val="single" w:sz="2" w:space="0" w:color="C9D4E8"/>
            </w:tcBorders>
          </w:tcPr>
          <w:p w14:paraId="3BDDE861" w14:textId="77777777" w:rsidR="004A19CA" w:rsidRDefault="00673B00">
            <w:pPr>
              <w:spacing w:after="0" w:line="259" w:lineRule="auto"/>
              <w:ind w:left="0" w:right="0" w:firstLine="0"/>
              <w:jc w:val="left"/>
            </w:pPr>
            <w:r>
              <w:rPr>
                <w:sz w:val="19"/>
              </w:rPr>
              <w:t>75.5%</w:t>
            </w:r>
          </w:p>
        </w:tc>
        <w:tc>
          <w:tcPr>
            <w:tcW w:w="1100" w:type="dxa"/>
            <w:tcBorders>
              <w:top w:val="single" w:sz="2" w:space="0" w:color="C9D4E8"/>
              <w:left w:val="single" w:sz="2" w:space="0" w:color="C9D4E8"/>
              <w:bottom w:val="single" w:sz="2" w:space="0" w:color="C9D4E8"/>
              <w:right w:val="single" w:sz="2" w:space="0" w:color="C9D4E8"/>
            </w:tcBorders>
          </w:tcPr>
          <w:p w14:paraId="4B289D71" w14:textId="77777777" w:rsidR="004A19CA" w:rsidRDefault="00673B00">
            <w:pPr>
              <w:spacing w:after="0" w:line="259" w:lineRule="auto"/>
              <w:ind w:left="0" w:right="0" w:firstLine="0"/>
              <w:jc w:val="left"/>
            </w:pPr>
            <w:r>
              <w:rPr>
                <w:sz w:val="19"/>
              </w:rPr>
              <w:t>2.5%</w:t>
            </w:r>
          </w:p>
        </w:tc>
      </w:tr>
      <w:tr w:rsidR="004A19CA" w14:paraId="3EF1D5AA" w14:textId="77777777">
        <w:trPr>
          <w:trHeight w:val="384"/>
        </w:trPr>
        <w:tc>
          <w:tcPr>
            <w:tcW w:w="2398" w:type="dxa"/>
            <w:tcBorders>
              <w:top w:val="single" w:sz="2" w:space="0" w:color="C9D4E8"/>
              <w:left w:val="single" w:sz="2" w:space="0" w:color="C9D4E8"/>
              <w:bottom w:val="single" w:sz="2" w:space="0" w:color="C9D4E8"/>
              <w:right w:val="single" w:sz="2" w:space="0" w:color="C9D4E8"/>
            </w:tcBorders>
          </w:tcPr>
          <w:p w14:paraId="00ED5B7B" w14:textId="77777777" w:rsidR="004A19CA" w:rsidRDefault="00673B00">
            <w:pPr>
              <w:spacing w:after="0" w:line="259" w:lineRule="auto"/>
              <w:ind w:left="0" w:right="0" w:firstLine="0"/>
              <w:jc w:val="left"/>
            </w:pPr>
            <w:r>
              <w:rPr>
                <w:b/>
                <w:sz w:val="19"/>
              </w:rPr>
              <w:t>5: Full-Cycle</w:t>
            </w:r>
          </w:p>
        </w:tc>
        <w:tc>
          <w:tcPr>
            <w:tcW w:w="1562" w:type="dxa"/>
            <w:tcBorders>
              <w:top w:val="single" w:sz="2" w:space="0" w:color="C9D4E8"/>
              <w:left w:val="single" w:sz="2" w:space="0" w:color="C9D4E8"/>
              <w:bottom w:val="single" w:sz="2" w:space="0" w:color="C9D4E8"/>
              <w:right w:val="single" w:sz="2" w:space="0" w:color="C9D4E8"/>
            </w:tcBorders>
          </w:tcPr>
          <w:p w14:paraId="2CDB2E2A" w14:textId="77777777" w:rsidR="004A19CA" w:rsidRDefault="00673B00">
            <w:pPr>
              <w:spacing w:after="0" w:line="259" w:lineRule="auto"/>
              <w:ind w:left="1" w:right="0" w:firstLine="0"/>
              <w:jc w:val="left"/>
            </w:pPr>
            <w:r>
              <w:rPr>
                <w:b/>
                <w:sz w:val="19"/>
              </w:rPr>
              <w:t>$66,100</w:t>
            </w:r>
          </w:p>
        </w:tc>
        <w:tc>
          <w:tcPr>
            <w:tcW w:w="1300" w:type="dxa"/>
            <w:tcBorders>
              <w:top w:val="single" w:sz="2" w:space="0" w:color="C9D4E8"/>
              <w:left w:val="single" w:sz="2" w:space="0" w:color="C9D4E8"/>
              <w:bottom w:val="single" w:sz="2" w:space="0" w:color="C9D4E8"/>
              <w:right w:val="single" w:sz="2" w:space="0" w:color="C9D4E8"/>
            </w:tcBorders>
          </w:tcPr>
          <w:p w14:paraId="6F86C8BD" w14:textId="77777777" w:rsidR="004A19CA" w:rsidRDefault="00673B00">
            <w:pPr>
              <w:spacing w:after="0" w:line="259" w:lineRule="auto"/>
              <w:ind w:left="0" w:right="0" w:firstLine="0"/>
              <w:jc w:val="left"/>
            </w:pPr>
            <w:r>
              <w:rPr>
                <w:b/>
                <w:sz w:val="19"/>
              </w:rPr>
              <w:t>+28.8%</w:t>
            </w:r>
          </w:p>
        </w:tc>
        <w:tc>
          <w:tcPr>
            <w:tcW w:w="1700" w:type="dxa"/>
            <w:tcBorders>
              <w:top w:val="single" w:sz="2" w:space="0" w:color="C9D4E8"/>
              <w:left w:val="single" w:sz="2" w:space="0" w:color="C9D4E8"/>
              <w:bottom w:val="single" w:sz="2" w:space="0" w:color="C9D4E8"/>
              <w:right w:val="single" w:sz="2" w:space="0" w:color="C9D4E8"/>
            </w:tcBorders>
          </w:tcPr>
          <w:p w14:paraId="20CFEAF1" w14:textId="77777777" w:rsidR="004A19CA" w:rsidRDefault="00673B00">
            <w:pPr>
              <w:spacing w:after="0" w:line="259" w:lineRule="auto"/>
              <w:ind w:left="0" w:right="0" w:firstLine="0"/>
              <w:jc w:val="left"/>
            </w:pPr>
            <w:r>
              <w:rPr>
                <w:b/>
                <w:sz w:val="19"/>
              </w:rPr>
              <w:t>$177,600</w:t>
            </w:r>
          </w:p>
        </w:tc>
        <w:tc>
          <w:tcPr>
            <w:tcW w:w="1300" w:type="dxa"/>
            <w:tcBorders>
              <w:top w:val="single" w:sz="2" w:space="0" w:color="C9D4E8"/>
              <w:left w:val="single" w:sz="2" w:space="0" w:color="C9D4E8"/>
              <w:bottom w:val="single" w:sz="2" w:space="0" w:color="C9D4E8"/>
              <w:right w:val="single" w:sz="2" w:space="0" w:color="C9D4E8"/>
            </w:tcBorders>
          </w:tcPr>
          <w:p w14:paraId="6374ED8D" w14:textId="77777777" w:rsidR="004A19CA" w:rsidRDefault="00673B00">
            <w:pPr>
              <w:spacing w:after="0" w:line="259" w:lineRule="auto"/>
              <w:ind w:left="0" w:right="0" w:firstLine="0"/>
              <w:jc w:val="left"/>
            </w:pPr>
            <w:r>
              <w:rPr>
                <w:b/>
                <w:sz w:val="19"/>
              </w:rPr>
              <w:t>70.8%</w:t>
            </w:r>
          </w:p>
        </w:tc>
        <w:tc>
          <w:tcPr>
            <w:tcW w:w="1100" w:type="dxa"/>
            <w:tcBorders>
              <w:top w:val="single" w:sz="2" w:space="0" w:color="C9D4E8"/>
              <w:left w:val="single" w:sz="2" w:space="0" w:color="C9D4E8"/>
              <w:bottom w:val="single" w:sz="2" w:space="0" w:color="C9D4E8"/>
              <w:right w:val="single" w:sz="2" w:space="0" w:color="C9D4E8"/>
            </w:tcBorders>
          </w:tcPr>
          <w:p w14:paraId="17CA1770" w14:textId="77777777" w:rsidR="004A19CA" w:rsidRDefault="00673B00">
            <w:pPr>
              <w:spacing w:after="0" w:line="259" w:lineRule="auto"/>
              <w:ind w:left="0" w:right="0" w:firstLine="0"/>
              <w:jc w:val="left"/>
            </w:pPr>
            <w:r>
              <w:rPr>
                <w:b/>
                <w:sz w:val="19"/>
              </w:rPr>
              <w:t>8.9%</w:t>
            </w:r>
          </w:p>
        </w:tc>
      </w:tr>
    </w:tbl>
    <w:p w14:paraId="5E9EBA84" w14:textId="77777777" w:rsidR="004A19CA" w:rsidRDefault="00673B00">
      <w:pPr>
        <w:pStyle w:val="Heading2"/>
        <w:ind w:left="-5"/>
      </w:pPr>
      <w:r>
        <w:t>10.4   The 10 Percent Volume Recovery Sensitivity</w:t>
      </w:r>
    </w:p>
    <w:p w14:paraId="0A66390A" w14:textId="77777777" w:rsidR="004A19CA" w:rsidRDefault="00673B00">
      <w:pPr>
        <w:spacing w:after="4"/>
        <w:ind w:left="-5" w:right="9"/>
      </w:pPr>
      <w:r>
        <w:t>If compensation reform recovers 10 percent of repair-order volume, returning the baseline shop from 9,500 to 10,450 annual repair orders, the additional annual labor revenue is approximately $265,050 under the baseline assumptions, which at modeled margins produces roughly $205,000 in additional gross. Because Cox Automotive (2025b) reports that dealerships have already lost 12 percent of service visits since 2018, a 10 percent recovery scenario remains within the bounds of previously observed market loss r</w:t>
      </w:r>
      <w:r>
        <w:t>ather than requiring expansion beyond prior demand.</w:t>
      </w:r>
    </w:p>
    <w:tbl>
      <w:tblPr>
        <w:tblStyle w:val="TableGrid"/>
        <w:tblW w:w="9360" w:type="dxa"/>
        <w:tblInd w:w="0" w:type="dxa"/>
        <w:tblCellMar>
          <w:top w:w="0" w:type="dxa"/>
          <w:left w:w="161" w:type="dxa"/>
          <w:bottom w:w="0" w:type="dxa"/>
          <w:right w:w="115" w:type="dxa"/>
        </w:tblCellMar>
        <w:tblLook w:val="04A0" w:firstRow="1" w:lastRow="0" w:firstColumn="1" w:lastColumn="0" w:noHBand="0" w:noVBand="1"/>
      </w:tblPr>
      <w:tblGrid>
        <w:gridCol w:w="3120"/>
        <w:gridCol w:w="3120"/>
        <w:gridCol w:w="3120"/>
      </w:tblGrid>
      <w:tr w:rsidR="004A19CA" w14:paraId="1B60A470" w14:textId="77777777">
        <w:trPr>
          <w:trHeight w:val="1202"/>
        </w:trPr>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0EA6FB5E" w14:textId="77777777" w:rsidR="004A19CA" w:rsidRDefault="00673B00">
            <w:pPr>
              <w:spacing w:after="0" w:line="259" w:lineRule="auto"/>
              <w:ind w:left="0" w:right="0" w:firstLine="0"/>
              <w:jc w:val="left"/>
            </w:pPr>
            <w:r>
              <w:rPr>
                <w:b/>
                <w:color w:val="1F3864"/>
                <w:sz w:val="34"/>
              </w:rPr>
              <w:t>419</w:t>
            </w:r>
          </w:p>
          <w:p w14:paraId="37060A9C" w14:textId="77777777" w:rsidR="004A19CA" w:rsidRDefault="00673B00">
            <w:pPr>
              <w:spacing w:after="0" w:line="259" w:lineRule="auto"/>
              <w:ind w:left="0" w:right="0" w:firstLine="0"/>
              <w:jc w:val="left"/>
            </w:pPr>
            <w:r>
              <w:rPr>
                <w:color w:val="595959"/>
                <w:sz w:val="18"/>
              </w:rPr>
              <w:t>Additional ROs/year to break even, Model 2 (35/month)</w:t>
            </w:r>
          </w:p>
        </w:tc>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7DD1C4C1" w14:textId="77777777" w:rsidR="004A19CA" w:rsidRDefault="00673B00">
            <w:pPr>
              <w:spacing w:after="0" w:line="259" w:lineRule="auto"/>
              <w:ind w:left="0" w:right="0" w:firstLine="0"/>
              <w:jc w:val="left"/>
            </w:pPr>
            <w:r>
              <w:rPr>
                <w:b/>
                <w:color w:val="1F3864"/>
                <w:sz w:val="34"/>
              </w:rPr>
              <w:t>236</w:t>
            </w:r>
          </w:p>
          <w:p w14:paraId="73762841" w14:textId="77777777" w:rsidR="004A19CA" w:rsidRDefault="00673B00">
            <w:pPr>
              <w:spacing w:after="0" w:line="259" w:lineRule="auto"/>
              <w:ind w:left="0" w:right="0" w:firstLine="0"/>
              <w:jc w:val="left"/>
            </w:pPr>
            <w:r>
              <w:rPr>
                <w:color w:val="595959"/>
                <w:sz w:val="18"/>
              </w:rPr>
              <w:t>Additional ROs/year to break even, Model 4 (20/month)</w:t>
            </w:r>
          </w:p>
        </w:tc>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16F34778" w14:textId="77777777" w:rsidR="004A19CA" w:rsidRDefault="00673B00">
            <w:pPr>
              <w:spacing w:after="0" w:line="259" w:lineRule="auto"/>
              <w:ind w:left="0" w:right="0" w:firstLine="0"/>
              <w:jc w:val="left"/>
            </w:pPr>
            <w:r>
              <w:rPr>
                <w:b/>
                <w:color w:val="1F3864"/>
                <w:sz w:val="34"/>
              </w:rPr>
              <w:t>845</w:t>
            </w:r>
          </w:p>
          <w:p w14:paraId="0E0971D5" w14:textId="77777777" w:rsidR="004A19CA" w:rsidRDefault="00673B00">
            <w:pPr>
              <w:spacing w:after="0" w:line="259" w:lineRule="auto"/>
              <w:ind w:left="0" w:right="0" w:firstLine="0"/>
              <w:jc w:val="left"/>
            </w:pPr>
            <w:r>
              <w:rPr>
                <w:color w:val="595959"/>
                <w:sz w:val="18"/>
              </w:rPr>
              <w:t>Additional ROs/year to break even, Model 5 (70/month)</w:t>
            </w:r>
          </w:p>
        </w:tc>
      </w:tr>
    </w:tbl>
    <w:p w14:paraId="65912F08" w14:textId="77777777" w:rsidR="004A19CA" w:rsidRDefault="00673B00">
      <w:pPr>
        <w:spacing w:after="300" w:line="290" w:lineRule="auto"/>
        <w:ind w:left="-5" w:right="29"/>
        <w:jc w:val="left"/>
      </w:pPr>
      <w:r>
        <w:rPr>
          <w:i/>
          <w:color w:val="595959"/>
          <w:sz w:val="19"/>
        </w:rPr>
        <w:t>Every break-even threshold falls below the 12 percent volume already lost. Recovering what was lost, not finding new customers, is sufficient to make every model financially selfsustaining.</w:t>
      </w:r>
    </w:p>
    <w:p w14:paraId="0DC637A7" w14:textId="77777777" w:rsidR="004A19CA" w:rsidRDefault="00673B00">
      <w:pPr>
        <w:pStyle w:val="Heading2"/>
        <w:ind w:left="-5"/>
      </w:pPr>
      <w:r>
        <w:t>10.5   Model Selection Framework</w:t>
      </w:r>
    </w:p>
    <w:p w14:paraId="0851AACF" w14:textId="77777777" w:rsidR="004A19CA" w:rsidRDefault="00673B00">
      <w:pPr>
        <w:ind w:left="-5" w:right="9"/>
      </w:pPr>
      <w:r>
        <w:t>The comparative analysis suggests a selection framework based on three store-level variables: current technician tenure and certification mix, DMS infrastructure readiness, and operator risk tolerance for margin exposure during transition.</w:t>
      </w:r>
    </w:p>
    <w:p w14:paraId="40126FF6" w14:textId="77777777" w:rsidR="004A19CA" w:rsidRDefault="00673B00">
      <w:pPr>
        <w:ind w:left="-5" w:right="9"/>
      </w:pPr>
      <w:r>
        <w:t xml:space="preserve">Stores with high technician turnover and a mixed certification base benefit most from Model 4 as the foundation. The transparent ladder addresses the retention problem at the lowest incremental cost. Stores with strong DMS infrastructure should evaluate Models 2 or 5, where behavioral alignment is strongest and volume recovery potential is highest. Stores seeking minimal disruption should begin with Model 4 and layer Model 2’s downstream premium after two to three quarters of baseline data, building toward </w:t>
      </w:r>
      <w:r>
        <w:t>Model 5 through staged implementation rather than a full cutover.</w:t>
      </w:r>
    </w:p>
    <w:p w14:paraId="1E5E0304" w14:textId="77777777" w:rsidR="004A19CA" w:rsidRDefault="00673B00">
      <w:pPr>
        <w:spacing w:after="40" w:line="231" w:lineRule="auto"/>
        <w:ind w:left="-5" w:right="0"/>
        <w:jc w:val="left"/>
      </w:pPr>
      <w:r>
        <w:rPr>
          <w:b/>
          <w:color w:val="1F3864"/>
          <w:sz w:val="34"/>
        </w:rPr>
        <w:t xml:space="preserve">11   Implementation Roadmap: Moving Without </w:t>
      </w:r>
    </w:p>
    <w:p w14:paraId="17A67158" w14:textId="77777777" w:rsidR="004A19CA" w:rsidRDefault="00673B00">
      <w:pPr>
        <w:pStyle w:val="Heading1"/>
        <w:ind w:left="-5"/>
      </w:pPr>
      <w:r>
        <w:t>Breaking the Shop</w:t>
      </w:r>
    </w:p>
    <w:p w14:paraId="6756FBFB" w14:textId="77777777" w:rsidR="004A19CA" w:rsidRDefault="00673B00">
      <w:pPr>
        <w:ind w:left="-5" w:right="9"/>
      </w:pPr>
      <w:r>
        <w:t>The financial case is made. The models are defined. Now comes the part that determines whether any of it actually happens.</w:t>
      </w:r>
    </w:p>
    <w:p w14:paraId="0F0DC32C" w14:textId="77777777" w:rsidR="004A19CA" w:rsidRDefault="00673B00">
      <w:pPr>
        <w:spacing w:after="260"/>
        <w:ind w:left="-5" w:right="9"/>
      </w:pPr>
      <w:r>
        <w:t>Compensation reform in a franchised dealership is not merely a policy change. It is an organizational change process with direct cultural consequences. Service departments run on habits, informal norms, and established expectations about how work is recognized and rewarded. Handle the transition poorly and the likely result is resistance from technicians, hesitation from foremen, and misalignment among advisors and managers.</w:t>
      </w:r>
    </w:p>
    <w:p w14:paraId="1E05338C" w14:textId="77777777" w:rsidR="004A19CA" w:rsidRDefault="00673B00">
      <w:pPr>
        <w:spacing w:after="269" w:line="261" w:lineRule="auto"/>
        <w:ind w:left="475" w:right="502"/>
        <w:jc w:val="left"/>
      </w:pPr>
      <w:r>
        <w:rPr>
          <w:noProof/>
        </w:rPr>
        <mc:AlternateContent>
          <mc:Choice Requires="wpg">
            <w:drawing>
              <wp:anchor distT="0" distB="0" distL="114300" distR="114300" simplePos="0" relativeHeight="251670528" behindDoc="0" locked="0" layoutInCell="1" allowOverlap="1" wp14:anchorId="48D44A7D" wp14:editId="133A80C5">
                <wp:simplePos x="0" y="0"/>
                <wp:positionH relativeFrom="column">
                  <wp:posOffset>132080</wp:posOffset>
                </wp:positionH>
                <wp:positionV relativeFrom="paragraph">
                  <wp:posOffset>-21098</wp:posOffset>
                </wp:positionV>
                <wp:extent cx="38100" cy="608965"/>
                <wp:effectExtent l="0" t="0" r="0" b="0"/>
                <wp:wrapSquare wrapText="bothSides"/>
                <wp:docPr id="39087" name="Group 39087"/>
                <wp:cNvGraphicFramePr/>
                <a:graphic xmlns:a="http://schemas.openxmlformats.org/drawingml/2006/main">
                  <a:graphicData uri="http://schemas.microsoft.com/office/word/2010/wordprocessingGroup">
                    <wpg:wgp>
                      <wpg:cNvGrpSpPr/>
                      <wpg:grpSpPr>
                        <a:xfrm>
                          <a:off x="0" y="0"/>
                          <a:ext cx="38100" cy="608965"/>
                          <a:chOff x="0" y="0"/>
                          <a:chExt cx="38100" cy="608965"/>
                        </a:xfrm>
                      </wpg:grpSpPr>
                      <wps:wsp>
                        <wps:cNvPr id="2836" name="Shape 2836"/>
                        <wps:cNvSpPr/>
                        <wps:spPr>
                          <a:xfrm>
                            <a:off x="0" y="0"/>
                            <a:ext cx="0" cy="608965"/>
                          </a:xfrm>
                          <a:custGeom>
                            <a:avLst/>
                            <a:gdLst/>
                            <a:ahLst/>
                            <a:cxnLst/>
                            <a:rect l="0" t="0" r="0" b="0"/>
                            <a:pathLst>
                              <a:path h="608965">
                                <a:moveTo>
                                  <a:pt x="0" y="6089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s:wsp>
                        <wps:cNvPr id="2838" name="Shape 2838"/>
                        <wps:cNvSpPr/>
                        <wps:spPr>
                          <a:xfrm>
                            <a:off x="0" y="0"/>
                            <a:ext cx="0" cy="608965"/>
                          </a:xfrm>
                          <a:custGeom>
                            <a:avLst/>
                            <a:gdLst/>
                            <a:ahLst/>
                            <a:cxnLst/>
                            <a:rect l="0" t="0" r="0" b="0"/>
                            <a:pathLst>
                              <a:path h="608965">
                                <a:moveTo>
                                  <a:pt x="0" y="6089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087" style="width:3pt;height:47.95pt;position:absolute;mso-position-horizontal-relative:text;mso-position-horizontal:absolute;margin-left:10.4pt;mso-position-vertical-relative:text;margin-top:-1.66132pt;" coordsize="381,6089">
                <v:shape id="Shape 2836" style="position:absolute;width:0;height:6089;left:0;top:0;" coordsize="0,608965" path="m0,608965l0,0">
                  <v:stroke weight="3pt" endcap="flat" joinstyle="round" on="true" color="#1f3864"/>
                  <v:fill on="false" color="#000000" opacity="0"/>
                </v:shape>
                <v:shape id="Shape 2838" style="position:absolute;width:0;height:6089;left:0;top:0;" coordsize="0,608965" path="m0,608965l0,0">
                  <v:stroke weight="3pt" endcap="flat" joinstyle="round" on="true" color="#1f3864"/>
                  <v:fill on="false" color="#000000" opacity="0"/>
                </v:shape>
                <w10:wrap type="square"/>
              </v:group>
            </w:pict>
          </mc:Fallback>
        </mc:AlternateContent>
      </w:r>
      <w:r>
        <w:rPr>
          <w:i/>
          <w:color w:val="1F3864"/>
          <w:sz w:val="24"/>
        </w:rPr>
        <w:t>Move with patience. Implement with precision. Never announce a change you cannot explain in plain language to a technician who has been doing this job for fifteen years.</w:t>
      </w:r>
    </w:p>
    <w:p w14:paraId="48973D0D" w14:textId="77777777" w:rsidR="004A19CA" w:rsidRDefault="00673B00">
      <w:pPr>
        <w:pStyle w:val="Heading2"/>
        <w:ind w:left="-5"/>
      </w:pPr>
      <w:r>
        <w:t>11.1   The Four-Phase Implementation Framework</w:t>
      </w:r>
    </w:p>
    <w:p w14:paraId="6D0E0897" w14:textId="77777777" w:rsidR="004A19CA" w:rsidRDefault="00673B00">
      <w:pPr>
        <w:spacing w:after="0"/>
        <w:ind w:left="-5" w:right="9"/>
      </w:pPr>
      <w:r>
        <w:t>The roadmap is structured across twelve months for a single-store implementation. Multi-store groups should pilot in one location before scaling. The phasing is not arbitrary. Each phase builds the infrastructure the next phase requires.</w:t>
      </w:r>
    </w:p>
    <w:tbl>
      <w:tblPr>
        <w:tblStyle w:val="TableGrid"/>
        <w:tblW w:w="9360" w:type="dxa"/>
        <w:tblInd w:w="0" w:type="dxa"/>
        <w:tblCellMar>
          <w:top w:w="161" w:type="dxa"/>
          <w:left w:w="161" w:type="dxa"/>
          <w:bottom w:w="0" w:type="dxa"/>
          <w:right w:w="115" w:type="dxa"/>
        </w:tblCellMar>
        <w:tblLook w:val="04A0" w:firstRow="1" w:lastRow="0" w:firstColumn="1" w:lastColumn="0" w:noHBand="0" w:noVBand="1"/>
      </w:tblPr>
      <w:tblGrid>
        <w:gridCol w:w="2340"/>
        <w:gridCol w:w="2340"/>
        <w:gridCol w:w="2340"/>
        <w:gridCol w:w="2340"/>
      </w:tblGrid>
      <w:tr w:rsidR="004A19CA" w14:paraId="3FE69EE4" w14:textId="77777777">
        <w:trPr>
          <w:trHeight w:val="1832"/>
        </w:trPr>
        <w:tc>
          <w:tcPr>
            <w:tcW w:w="2340" w:type="dxa"/>
            <w:tcBorders>
              <w:top w:val="single" w:sz="2" w:space="0" w:color="C9D4E8"/>
              <w:left w:val="single" w:sz="2" w:space="0" w:color="C9D4E8"/>
              <w:bottom w:val="single" w:sz="2" w:space="0" w:color="C9D4E8"/>
              <w:right w:val="single" w:sz="2" w:space="0" w:color="C9D4E8"/>
            </w:tcBorders>
            <w:shd w:val="clear" w:color="auto" w:fill="EDF1F9"/>
          </w:tcPr>
          <w:p w14:paraId="4E6C8623" w14:textId="77777777" w:rsidR="004A19CA" w:rsidRDefault="00673B00">
            <w:pPr>
              <w:spacing w:after="0" w:line="259" w:lineRule="auto"/>
              <w:ind w:left="0" w:right="0" w:firstLine="0"/>
              <w:jc w:val="left"/>
            </w:pPr>
            <w:r>
              <w:rPr>
                <w:b/>
                <w:color w:val="1F3864"/>
                <w:sz w:val="34"/>
              </w:rPr>
              <w:t>Phase 1</w:t>
            </w:r>
          </w:p>
          <w:p w14:paraId="3462BB2A" w14:textId="77777777" w:rsidR="004A19CA" w:rsidRDefault="00673B00">
            <w:pPr>
              <w:spacing w:after="0" w:line="259" w:lineRule="auto"/>
              <w:ind w:left="0" w:right="0" w:firstLine="0"/>
              <w:jc w:val="left"/>
            </w:pPr>
            <w:r>
              <w:rPr>
                <w:color w:val="595959"/>
                <w:sz w:val="18"/>
              </w:rPr>
              <w:t>Months 1 to 3: Foundation. Build before you announce.</w:t>
            </w:r>
          </w:p>
        </w:tc>
        <w:tc>
          <w:tcPr>
            <w:tcW w:w="234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4AB31AEA" w14:textId="77777777" w:rsidR="004A19CA" w:rsidRDefault="00673B00">
            <w:pPr>
              <w:spacing w:after="0" w:line="259" w:lineRule="auto"/>
              <w:ind w:left="0" w:right="0" w:firstLine="0"/>
              <w:jc w:val="left"/>
            </w:pPr>
            <w:r>
              <w:rPr>
                <w:b/>
                <w:color w:val="1F3864"/>
                <w:sz w:val="34"/>
              </w:rPr>
              <w:t>Phase 2</w:t>
            </w:r>
          </w:p>
          <w:p w14:paraId="541C68FC" w14:textId="77777777" w:rsidR="004A19CA" w:rsidRDefault="00673B00">
            <w:pPr>
              <w:spacing w:after="0" w:line="259" w:lineRule="auto"/>
              <w:ind w:left="0" w:right="0" w:firstLine="0"/>
              <w:jc w:val="left"/>
            </w:pPr>
            <w:r>
              <w:rPr>
                <w:color w:val="595959"/>
                <w:sz w:val="18"/>
              </w:rPr>
              <w:t xml:space="preserve">Months 4 to 6: </w:t>
            </w:r>
          </w:p>
          <w:p w14:paraId="60F46D8D" w14:textId="77777777" w:rsidR="004A19CA" w:rsidRDefault="00673B00">
            <w:pPr>
              <w:spacing w:after="0" w:line="259" w:lineRule="auto"/>
              <w:ind w:left="0" w:right="0" w:firstLine="0"/>
              <w:jc w:val="left"/>
            </w:pPr>
            <w:r>
              <w:rPr>
                <w:color w:val="595959"/>
                <w:sz w:val="18"/>
              </w:rPr>
              <w:t xml:space="preserve">Communication. </w:t>
            </w:r>
          </w:p>
          <w:p w14:paraId="1C1BAA8B" w14:textId="77777777" w:rsidR="004A19CA" w:rsidRDefault="00673B00">
            <w:pPr>
              <w:spacing w:after="0" w:line="259" w:lineRule="auto"/>
              <w:ind w:left="0" w:right="0" w:firstLine="0"/>
              <w:jc w:val="left"/>
            </w:pPr>
            <w:r>
              <w:rPr>
                <w:color w:val="595959"/>
                <w:sz w:val="18"/>
              </w:rPr>
              <w:t>Foreman first, then advisors, then technicians.</w:t>
            </w:r>
          </w:p>
        </w:tc>
        <w:tc>
          <w:tcPr>
            <w:tcW w:w="2340" w:type="dxa"/>
            <w:tcBorders>
              <w:top w:val="single" w:sz="2" w:space="0" w:color="C9D4E8"/>
              <w:left w:val="single" w:sz="2" w:space="0" w:color="C9D4E8"/>
              <w:bottom w:val="single" w:sz="2" w:space="0" w:color="C9D4E8"/>
              <w:right w:val="single" w:sz="2" w:space="0" w:color="C9D4E8"/>
            </w:tcBorders>
            <w:shd w:val="clear" w:color="auto" w:fill="EDF1F9"/>
          </w:tcPr>
          <w:p w14:paraId="6C6A54AF" w14:textId="77777777" w:rsidR="004A19CA" w:rsidRDefault="00673B00">
            <w:pPr>
              <w:spacing w:after="0" w:line="259" w:lineRule="auto"/>
              <w:ind w:left="0" w:right="0" w:firstLine="0"/>
              <w:jc w:val="left"/>
            </w:pPr>
            <w:r>
              <w:rPr>
                <w:b/>
                <w:color w:val="1F3864"/>
                <w:sz w:val="34"/>
              </w:rPr>
              <w:t>Phase 3</w:t>
            </w:r>
          </w:p>
          <w:p w14:paraId="463FB4A3" w14:textId="77777777" w:rsidR="004A19CA" w:rsidRDefault="00673B00">
            <w:pPr>
              <w:spacing w:after="0" w:line="259" w:lineRule="auto"/>
              <w:ind w:left="0" w:right="0" w:firstLine="0"/>
              <w:jc w:val="left"/>
            </w:pPr>
            <w:r>
              <w:rPr>
                <w:color w:val="595959"/>
                <w:sz w:val="18"/>
              </w:rPr>
              <w:t xml:space="preserve">Months 7 to 9: </w:t>
            </w:r>
          </w:p>
          <w:p w14:paraId="15019CD2" w14:textId="77777777" w:rsidR="004A19CA" w:rsidRDefault="00673B00">
            <w:pPr>
              <w:spacing w:after="0" w:line="259" w:lineRule="auto"/>
              <w:ind w:left="0" w:right="0" w:firstLine="0"/>
              <w:jc w:val="left"/>
            </w:pPr>
            <w:r>
              <w:rPr>
                <w:color w:val="595959"/>
                <w:sz w:val="18"/>
              </w:rPr>
              <w:t>Shadow reporting. Track metrics, hold payment.</w:t>
            </w:r>
          </w:p>
        </w:tc>
        <w:tc>
          <w:tcPr>
            <w:tcW w:w="2340" w:type="dxa"/>
            <w:tcBorders>
              <w:top w:val="single" w:sz="2" w:space="0" w:color="C9D4E8"/>
              <w:left w:val="single" w:sz="2" w:space="0" w:color="C9D4E8"/>
              <w:bottom w:val="single" w:sz="2" w:space="0" w:color="C9D4E8"/>
              <w:right w:val="single" w:sz="2" w:space="0" w:color="C9D4E8"/>
            </w:tcBorders>
            <w:shd w:val="clear" w:color="auto" w:fill="EDF1F9"/>
          </w:tcPr>
          <w:p w14:paraId="79E9E254" w14:textId="77777777" w:rsidR="004A19CA" w:rsidRDefault="00673B00">
            <w:pPr>
              <w:spacing w:after="0" w:line="259" w:lineRule="auto"/>
              <w:ind w:left="0" w:right="0" w:firstLine="0"/>
              <w:jc w:val="left"/>
            </w:pPr>
            <w:r>
              <w:rPr>
                <w:b/>
                <w:color w:val="1F3864"/>
                <w:sz w:val="34"/>
              </w:rPr>
              <w:t>Phase 4</w:t>
            </w:r>
          </w:p>
          <w:p w14:paraId="1C9C99A4" w14:textId="77777777" w:rsidR="004A19CA" w:rsidRDefault="00673B00">
            <w:pPr>
              <w:spacing w:after="0" w:line="259" w:lineRule="auto"/>
              <w:ind w:left="0" w:right="0" w:firstLine="0"/>
              <w:jc w:val="left"/>
            </w:pPr>
            <w:r>
              <w:rPr>
                <w:color w:val="595959"/>
                <w:sz w:val="18"/>
              </w:rPr>
              <w:t xml:space="preserve">Month 10 onward: </w:t>
            </w:r>
          </w:p>
          <w:p w14:paraId="3EBEFC6C" w14:textId="77777777" w:rsidR="004A19CA" w:rsidRDefault="00673B00">
            <w:pPr>
              <w:spacing w:after="0" w:line="259" w:lineRule="auto"/>
              <w:ind w:left="0" w:right="0" w:firstLine="0"/>
              <w:jc w:val="left"/>
            </w:pPr>
            <w:r>
              <w:rPr>
                <w:color w:val="595959"/>
                <w:sz w:val="18"/>
              </w:rPr>
              <w:t>Full activation. Bonus and premium structures go live.</w:t>
            </w:r>
          </w:p>
        </w:tc>
      </w:tr>
    </w:tbl>
    <w:p w14:paraId="0D6A5AA3" w14:textId="77777777" w:rsidR="004A19CA" w:rsidRDefault="00673B00">
      <w:pPr>
        <w:pStyle w:val="Heading3"/>
        <w:ind w:left="-5"/>
      </w:pPr>
      <w:r>
        <w:t>Phase 1: Foundation, Months 1 through 3</w:t>
      </w:r>
    </w:p>
    <w:p w14:paraId="4423CF78" w14:textId="77777777" w:rsidR="004A19CA" w:rsidRDefault="00673B00">
      <w:pPr>
        <w:ind w:left="-5" w:right="9"/>
      </w:pPr>
      <w:r>
        <w:t xml:space="preserve">Build all necessary implementation infrastructure before the compensation details </w:t>
      </w:r>
      <w:r>
        <w:t>are announced. Leadership alignment is the first requirement. The dealer principal, fixed operations director, service manager, and shop foreman should reach explicit agreement on which model is being adopted, why, and what success looks like over the first twelve months. Without that alignment, inconsistency surfaces during technician communication and weakens the credibility of the entire effort.</w:t>
      </w:r>
    </w:p>
    <w:p w14:paraId="2CDB0789" w14:textId="77777777" w:rsidR="004A19CA" w:rsidRDefault="00673B00">
      <w:pPr>
        <w:ind w:left="-5" w:right="9"/>
      </w:pPr>
      <w:r>
        <w:t>DMS configuration is the critical infrastructure task of Phase 1. For Models 2, 3, and 5, technician-level attribution for return visit rate, declined service conversion, and customer feedback must be configured and tested before communication begins. Most modern DMS platforms support this. It requires intentional setup, not a switch being flipped.</w:t>
      </w:r>
    </w:p>
    <w:p w14:paraId="69BCDD8C" w14:textId="77777777" w:rsidR="004A19CA" w:rsidRDefault="00673B00">
      <w:pPr>
        <w:spacing w:after="220"/>
        <w:ind w:left="-5" w:right="9"/>
      </w:pPr>
      <w:r>
        <w:t>Run each technician’s historical data through the proposed model before communication begins. Calculate what they would have earned under the new structure over the past twelve months using actual flag hours and actual metric performance. This analysis validates pay neutrality at the individual level, and it gives the operator the specific, personalized number needed to answer the question every technician will ask. What does this mean for my paycheck?</w:t>
      </w:r>
    </w:p>
    <w:p w14:paraId="0D8C2857" w14:textId="77777777" w:rsidR="004A19CA" w:rsidRDefault="00673B00">
      <w:pPr>
        <w:pStyle w:val="Heading3"/>
        <w:ind w:left="-5"/>
      </w:pPr>
      <w:r>
        <w:t>Phase 2: Communication, Months 4 through 6</w:t>
      </w:r>
    </w:p>
    <w:p w14:paraId="54F45B55" w14:textId="77777777" w:rsidR="004A19CA" w:rsidRDefault="00673B00">
      <w:pPr>
        <w:ind w:left="-5" w:right="9"/>
      </w:pPr>
      <w:r>
        <w:t>Start with the shop foreman. Not the technicians. The foreman is the most influential person in the service department’s culture, and they are not the dealer principal. They are the person the technicians trust. If the foreman is skeptical during technician communication, the message fails regardless of how well it was prepared. The foreman briefing is a private, detailed conversation covering the full model, the reasoning behind it, the financial math for each technician, and the foreman’s specific role in</w:t>
      </w:r>
      <w:r>
        <w:t xml:space="preserve"> the new structure.</w:t>
      </w:r>
    </w:p>
    <w:p w14:paraId="3D60C1E4" w14:textId="77777777" w:rsidR="004A19CA" w:rsidRDefault="00673B00">
      <w:pPr>
        <w:ind w:left="-5" w:right="9"/>
      </w:pPr>
      <w:r>
        <w:t>Brief the service advisors before the technicians. Advisors are the customer-facing counterpart to the technician’s quality work. The downstream premium and the declined service conversion metric depend on advisor behavior as much as technician behavior. An advisor who rushes the write-up undermines the technician’s ability to earn their premium through no fault of their own. Advisors need to understand that the new system creates shared accountability. Section 8 explains why their own pay plan belongs in t</w:t>
      </w:r>
      <w:r>
        <w:t>he same conversation.</w:t>
      </w:r>
    </w:p>
    <w:p w14:paraId="43FB24E4" w14:textId="77777777" w:rsidR="004A19CA" w:rsidRDefault="00673B00">
      <w:pPr>
        <w:spacing w:after="220"/>
        <w:ind w:left="-5" w:right="9"/>
      </w:pPr>
      <w:r>
        <w:t>Technicians should be briefed individually before any group meeting. In practice, this means a one-on-one between the service manager and each technician, using the baseline analysis from Phase 1 to show what the proposed model would have produced historically. The first conversation stays disciplined and limited to four essentials: what is changing, when, what it means for that technician’s compensation, and where questions can be raised. Overstatement is unnecessary. Let the analysis carry the argument.</w:t>
      </w:r>
    </w:p>
    <w:p w14:paraId="14C3093C" w14:textId="77777777" w:rsidR="004A19CA" w:rsidRDefault="00673B00">
      <w:pPr>
        <w:pStyle w:val="Heading3"/>
        <w:ind w:left="-5"/>
      </w:pPr>
      <w:r>
        <w:t>Phase 3: Shadow Reporting, Months 7 through 9</w:t>
      </w:r>
    </w:p>
    <w:p w14:paraId="19460470" w14:textId="77777777" w:rsidR="004A19CA" w:rsidRDefault="00673B00">
      <w:pPr>
        <w:ind w:left="-5" w:right="9"/>
      </w:pPr>
      <w:r>
        <w:t>The new pay structure is introduced in practice, but bonus and premium components are tracked and reported without yet being paid. The base pay structure goes live and is paid from day one. What remains in shadow: the downstream premium, the cell production bonus, the portfolio retention bonus, and the production threshold accelerator. These are calculated and reported to each technician weekly but not paid.</w:t>
      </w:r>
    </w:p>
    <w:p w14:paraId="2E24F4A9" w14:textId="77777777" w:rsidR="004A19CA" w:rsidRDefault="00673B00">
      <w:pPr>
        <w:spacing w:after="220"/>
        <w:ind w:left="-5" w:right="9"/>
      </w:pPr>
      <w:r>
        <w:t>The weekly metric report is the central coaching mechanism of the implementation. Each technician receives a concise summary of current performance on the metrics that will determine incentive payments, with a plain-language explanation of what the numbers mean. If shadow reporting reveals that a metric is systematically distorted by process design or attribution error, correct it before live payment begins. A compensation system should never operationalize a metric the store cannot defend.</w:t>
      </w:r>
    </w:p>
    <w:p w14:paraId="5ACAC52B" w14:textId="77777777" w:rsidR="004A19CA" w:rsidRDefault="00673B00">
      <w:pPr>
        <w:pStyle w:val="Heading3"/>
        <w:ind w:left="-5"/>
      </w:pPr>
      <w:r>
        <w:t>Phase 4: Full Activation, Month 10 Onward</w:t>
      </w:r>
    </w:p>
    <w:p w14:paraId="2FFAF14B" w14:textId="77777777" w:rsidR="004A19CA" w:rsidRDefault="00673B00">
      <w:pPr>
        <w:ind w:left="-5" w:right="9"/>
      </w:pPr>
      <w:r>
        <w:t>Bonus and premium structures activate. The first metric-based payment matters more than any communication. When a technician receives a premium they earned through demonstrated customer relationship behavior, when they can see the specific customers who returned and the specific services that were approved, the model becomes real in a way no presentation can achieve. Make the first payment visible. Explain it in detail. Name the behaviors that produced it.</w:t>
      </w:r>
    </w:p>
    <w:p w14:paraId="49078896" w14:textId="77777777" w:rsidR="004A19CA" w:rsidRDefault="00673B00">
      <w:pPr>
        <w:spacing w:after="288"/>
        <w:ind w:left="-5" w:right="9"/>
      </w:pPr>
      <w:r>
        <w:t>For multi-store rollouts, once the pilot store completes Phase 4 successfully, bring the pilot store’s service manager and one technician advocate into the communication process at the next store. Peer credibility accelerates adoption faster than management communication.</w:t>
      </w:r>
    </w:p>
    <w:p w14:paraId="410FC120" w14:textId="77777777" w:rsidR="004A19CA" w:rsidRDefault="00673B00">
      <w:pPr>
        <w:pStyle w:val="Heading2"/>
        <w:spacing w:after="0"/>
        <w:ind w:left="-5"/>
      </w:pPr>
      <w:r>
        <w:t>11.2   Metrics Dashboard: What to Track and When</w:t>
      </w:r>
    </w:p>
    <w:tbl>
      <w:tblPr>
        <w:tblStyle w:val="TableGrid"/>
        <w:tblW w:w="9360" w:type="dxa"/>
        <w:tblInd w:w="0" w:type="dxa"/>
        <w:tblCellMar>
          <w:top w:w="80" w:type="dxa"/>
          <w:left w:w="121" w:type="dxa"/>
          <w:bottom w:w="0" w:type="dxa"/>
          <w:right w:w="115" w:type="dxa"/>
        </w:tblCellMar>
        <w:tblLook w:val="04A0" w:firstRow="1" w:lastRow="0" w:firstColumn="1" w:lastColumn="0" w:noHBand="0" w:noVBand="1"/>
      </w:tblPr>
      <w:tblGrid>
        <w:gridCol w:w="2798"/>
        <w:gridCol w:w="3960"/>
        <w:gridCol w:w="2602"/>
      </w:tblGrid>
      <w:tr w:rsidR="004A19CA" w14:paraId="68491AB5" w14:textId="77777777">
        <w:trPr>
          <w:trHeight w:val="385"/>
        </w:trPr>
        <w:tc>
          <w:tcPr>
            <w:tcW w:w="2798" w:type="dxa"/>
            <w:tcBorders>
              <w:top w:val="single" w:sz="2" w:space="0" w:color="C9D4E8"/>
              <w:left w:val="single" w:sz="2" w:space="0" w:color="C9D4E8"/>
              <w:bottom w:val="single" w:sz="2" w:space="0" w:color="C9D4E8"/>
              <w:right w:val="single" w:sz="2" w:space="0" w:color="C9D4E8"/>
            </w:tcBorders>
            <w:shd w:val="clear" w:color="auto" w:fill="1F3864"/>
          </w:tcPr>
          <w:p w14:paraId="1470D247" w14:textId="77777777" w:rsidR="004A19CA" w:rsidRDefault="00673B00">
            <w:pPr>
              <w:spacing w:after="0" w:line="259" w:lineRule="auto"/>
              <w:ind w:left="0" w:right="0" w:firstLine="0"/>
              <w:jc w:val="left"/>
            </w:pPr>
            <w:r>
              <w:rPr>
                <w:b/>
                <w:color w:val="FFFFFF"/>
                <w:sz w:val="19"/>
              </w:rPr>
              <w:t>Category</w:t>
            </w:r>
          </w:p>
        </w:tc>
        <w:tc>
          <w:tcPr>
            <w:tcW w:w="3960" w:type="dxa"/>
            <w:tcBorders>
              <w:top w:val="single" w:sz="2" w:space="0" w:color="C9D4E8"/>
              <w:left w:val="single" w:sz="2" w:space="0" w:color="C9D4E8"/>
              <w:bottom w:val="single" w:sz="2" w:space="0" w:color="C9D4E8"/>
              <w:right w:val="single" w:sz="2" w:space="0" w:color="C9D4E8"/>
            </w:tcBorders>
            <w:shd w:val="clear" w:color="auto" w:fill="1F3864"/>
          </w:tcPr>
          <w:p w14:paraId="473FA59D" w14:textId="77777777" w:rsidR="004A19CA" w:rsidRDefault="00673B00">
            <w:pPr>
              <w:spacing w:after="0" w:line="259" w:lineRule="auto"/>
              <w:ind w:left="1" w:right="0" w:firstLine="0"/>
              <w:jc w:val="left"/>
            </w:pPr>
            <w:r>
              <w:rPr>
                <w:b/>
                <w:color w:val="FFFFFF"/>
                <w:sz w:val="19"/>
              </w:rPr>
              <w:t>Metric</w:t>
            </w:r>
          </w:p>
        </w:tc>
        <w:tc>
          <w:tcPr>
            <w:tcW w:w="2602" w:type="dxa"/>
            <w:tcBorders>
              <w:top w:val="single" w:sz="2" w:space="0" w:color="C9D4E8"/>
              <w:left w:val="single" w:sz="2" w:space="0" w:color="C9D4E8"/>
              <w:bottom w:val="single" w:sz="2" w:space="0" w:color="C9D4E8"/>
              <w:right w:val="single" w:sz="2" w:space="0" w:color="C9D4E8"/>
            </w:tcBorders>
            <w:shd w:val="clear" w:color="auto" w:fill="1F3864"/>
          </w:tcPr>
          <w:p w14:paraId="6FC15E3C" w14:textId="77777777" w:rsidR="004A19CA" w:rsidRDefault="00673B00">
            <w:pPr>
              <w:spacing w:after="0" w:line="259" w:lineRule="auto"/>
              <w:ind w:left="1" w:right="0" w:firstLine="0"/>
              <w:jc w:val="left"/>
            </w:pPr>
            <w:r>
              <w:rPr>
                <w:b/>
                <w:color w:val="FFFFFF"/>
                <w:sz w:val="19"/>
              </w:rPr>
              <w:t>Target</w:t>
            </w:r>
          </w:p>
        </w:tc>
      </w:tr>
      <w:tr w:rsidR="004A19CA" w14:paraId="7EEAB124" w14:textId="77777777">
        <w:trPr>
          <w:trHeight w:val="385"/>
        </w:trPr>
        <w:tc>
          <w:tcPr>
            <w:tcW w:w="2798" w:type="dxa"/>
            <w:tcBorders>
              <w:top w:val="single" w:sz="2" w:space="0" w:color="C9D4E8"/>
              <w:left w:val="single" w:sz="2" w:space="0" w:color="C9D4E8"/>
              <w:bottom w:val="single" w:sz="2" w:space="0" w:color="C9D4E8"/>
              <w:right w:val="single" w:sz="2" w:space="0" w:color="C9D4E8"/>
            </w:tcBorders>
          </w:tcPr>
          <w:p w14:paraId="579275C8" w14:textId="77777777" w:rsidR="004A19CA" w:rsidRDefault="00673B00">
            <w:pPr>
              <w:spacing w:after="0" w:line="259" w:lineRule="auto"/>
              <w:ind w:left="0" w:right="0" w:firstLine="0"/>
              <w:jc w:val="left"/>
            </w:pPr>
            <w:r>
              <w:rPr>
                <w:sz w:val="19"/>
              </w:rPr>
              <w:t>Service Quality</w:t>
            </w:r>
          </w:p>
        </w:tc>
        <w:tc>
          <w:tcPr>
            <w:tcW w:w="3960" w:type="dxa"/>
            <w:tcBorders>
              <w:top w:val="single" w:sz="2" w:space="0" w:color="C9D4E8"/>
              <w:left w:val="single" w:sz="2" w:space="0" w:color="C9D4E8"/>
              <w:bottom w:val="single" w:sz="2" w:space="0" w:color="C9D4E8"/>
              <w:right w:val="single" w:sz="2" w:space="0" w:color="C9D4E8"/>
            </w:tcBorders>
          </w:tcPr>
          <w:p w14:paraId="28BD664E" w14:textId="77777777" w:rsidR="004A19CA" w:rsidRDefault="00673B00">
            <w:pPr>
              <w:spacing w:after="0" w:line="259" w:lineRule="auto"/>
              <w:ind w:left="1" w:right="0" w:firstLine="0"/>
              <w:jc w:val="left"/>
            </w:pPr>
            <w:r>
              <w:rPr>
                <w:sz w:val="19"/>
              </w:rPr>
              <w:t>Comeback rate (by technician)</w:t>
            </w:r>
          </w:p>
        </w:tc>
        <w:tc>
          <w:tcPr>
            <w:tcW w:w="2602" w:type="dxa"/>
            <w:tcBorders>
              <w:top w:val="single" w:sz="2" w:space="0" w:color="C9D4E8"/>
              <w:left w:val="single" w:sz="2" w:space="0" w:color="C9D4E8"/>
              <w:bottom w:val="single" w:sz="2" w:space="0" w:color="C9D4E8"/>
              <w:right w:val="single" w:sz="2" w:space="0" w:color="C9D4E8"/>
            </w:tcBorders>
          </w:tcPr>
          <w:p w14:paraId="050A805A" w14:textId="77777777" w:rsidR="004A19CA" w:rsidRDefault="00673B00">
            <w:pPr>
              <w:spacing w:after="0" w:line="259" w:lineRule="auto"/>
              <w:ind w:left="1" w:right="0" w:firstLine="0"/>
              <w:jc w:val="left"/>
            </w:pPr>
            <w:r>
              <w:rPr>
                <w:b/>
                <w:sz w:val="19"/>
              </w:rPr>
              <w:t>Below 2%</w:t>
            </w:r>
          </w:p>
        </w:tc>
      </w:tr>
      <w:tr w:rsidR="004A19CA" w14:paraId="2AC1304F" w14:textId="77777777">
        <w:trPr>
          <w:trHeight w:val="386"/>
        </w:trPr>
        <w:tc>
          <w:tcPr>
            <w:tcW w:w="2798" w:type="dxa"/>
            <w:tcBorders>
              <w:top w:val="single" w:sz="2" w:space="0" w:color="C9D4E8"/>
              <w:left w:val="single" w:sz="2" w:space="0" w:color="C9D4E8"/>
              <w:bottom w:val="single" w:sz="2" w:space="0" w:color="C9D4E8"/>
              <w:right w:val="single" w:sz="2" w:space="0" w:color="C9D4E8"/>
            </w:tcBorders>
          </w:tcPr>
          <w:p w14:paraId="0C9AB7FA" w14:textId="77777777" w:rsidR="004A19CA" w:rsidRDefault="00673B00">
            <w:pPr>
              <w:spacing w:after="0" w:line="259" w:lineRule="auto"/>
              <w:ind w:left="0" w:right="0" w:firstLine="0"/>
              <w:jc w:val="left"/>
            </w:pPr>
            <w:r>
              <w:rPr>
                <w:sz w:val="19"/>
              </w:rPr>
              <w:t>Service Quality</w:t>
            </w:r>
          </w:p>
        </w:tc>
        <w:tc>
          <w:tcPr>
            <w:tcW w:w="3960" w:type="dxa"/>
            <w:tcBorders>
              <w:top w:val="single" w:sz="2" w:space="0" w:color="C9D4E8"/>
              <w:left w:val="single" w:sz="2" w:space="0" w:color="C9D4E8"/>
              <w:bottom w:val="single" w:sz="2" w:space="0" w:color="C9D4E8"/>
              <w:right w:val="single" w:sz="2" w:space="0" w:color="C9D4E8"/>
            </w:tcBorders>
          </w:tcPr>
          <w:p w14:paraId="2690BC13" w14:textId="77777777" w:rsidR="004A19CA" w:rsidRDefault="00673B00">
            <w:pPr>
              <w:spacing w:after="0" w:line="259" w:lineRule="auto"/>
              <w:ind w:left="1" w:right="0" w:firstLine="0"/>
              <w:jc w:val="left"/>
            </w:pPr>
            <w:r>
              <w:rPr>
                <w:sz w:val="19"/>
              </w:rPr>
              <w:t>First-time fix rate</w:t>
            </w:r>
          </w:p>
        </w:tc>
        <w:tc>
          <w:tcPr>
            <w:tcW w:w="2602" w:type="dxa"/>
            <w:tcBorders>
              <w:top w:val="single" w:sz="2" w:space="0" w:color="C9D4E8"/>
              <w:left w:val="single" w:sz="2" w:space="0" w:color="C9D4E8"/>
              <w:bottom w:val="single" w:sz="2" w:space="0" w:color="C9D4E8"/>
              <w:right w:val="single" w:sz="2" w:space="0" w:color="C9D4E8"/>
            </w:tcBorders>
          </w:tcPr>
          <w:p w14:paraId="198BFEF8" w14:textId="77777777" w:rsidR="004A19CA" w:rsidRDefault="00673B00">
            <w:pPr>
              <w:spacing w:after="0" w:line="259" w:lineRule="auto"/>
              <w:ind w:left="1" w:right="0" w:firstLine="0"/>
              <w:jc w:val="left"/>
            </w:pPr>
            <w:r>
              <w:rPr>
                <w:b/>
                <w:sz w:val="19"/>
              </w:rPr>
              <w:t>Above 95%</w:t>
            </w:r>
          </w:p>
        </w:tc>
      </w:tr>
      <w:tr w:rsidR="004A19CA" w14:paraId="0F611BA0" w14:textId="77777777">
        <w:trPr>
          <w:trHeight w:val="384"/>
        </w:trPr>
        <w:tc>
          <w:tcPr>
            <w:tcW w:w="2798" w:type="dxa"/>
            <w:tcBorders>
              <w:top w:val="single" w:sz="2" w:space="0" w:color="C9D4E8"/>
              <w:left w:val="single" w:sz="2" w:space="0" w:color="C9D4E8"/>
              <w:bottom w:val="single" w:sz="2" w:space="0" w:color="C9D4E8"/>
              <w:right w:val="single" w:sz="2" w:space="0" w:color="C9D4E8"/>
            </w:tcBorders>
          </w:tcPr>
          <w:p w14:paraId="506713BA" w14:textId="77777777" w:rsidR="004A19CA" w:rsidRDefault="00673B00">
            <w:pPr>
              <w:spacing w:after="0" w:line="259" w:lineRule="auto"/>
              <w:ind w:left="0" w:right="0" w:firstLine="0"/>
              <w:jc w:val="left"/>
            </w:pPr>
            <w:r>
              <w:rPr>
                <w:sz w:val="19"/>
              </w:rPr>
              <w:t>Service Quality</w:t>
            </w:r>
          </w:p>
        </w:tc>
        <w:tc>
          <w:tcPr>
            <w:tcW w:w="3960" w:type="dxa"/>
            <w:tcBorders>
              <w:top w:val="single" w:sz="2" w:space="0" w:color="C9D4E8"/>
              <w:left w:val="single" w:sz="2" w:space="0" w:color="C9D4E8"/>
              <w:bottom w:val="single" w:sz="2" w:space="0" w:color="C9D4E8"/>
              <w:right w:val="single" w:sz="2" w:space="0" w:color="C9D4E8"/>
            </w:tcBorders>
          </w:tcPr>
          <w:p w14:paraId="1D6C95EC" w14:textId="77777777" w:rsidR="004A19CA" w:rsidRDefault="00673B00">
            <w:pPr>
              <w:spacing w:after="0" w:line="259" w:lineRule="auto"/>
              <w:ind w:left="1" w:right="0" w:firstLine="0"/>
              <w:jc w:val="left"/>
            </w:pPr>
            <w:r>
              <w:rPr>
                <w:sz w:val="19"/>
              </w:rPr>
              <w:t>CSI score (attributed)</w:t>
            </w:r>
          </w:p>
        </w:tc>
        <w:tc>
          <w:tcPr>
            <w:tcW w:w="2602" w:type="dxa"/>
            <w:tcBorders>
              <w:top w:val="single" w:sz="2" w:space="0" w:color="C9D4E8"/>
              <w:left w:val="single" w:sz="2" w:space="0" w:color="C9D4E8"/>
              <w:bottom w:val="single" w:sz="2" w:space="0" w:color="C9D4E8"/>
              <w:right w:val="single" w:sz="2" w:space="0" w:color="C9D4E8"/>
            </w:tcBorders>
          </w:tcPr>
          <w:p w14:paraId="69C03FEB" w14:textId="77777777" w:rsidR="004A19CA" w:rsidRDefault="00673B00">
            <w:pPr>
              <w:spacing w:after="0" w:line="259" w:lineRule="auto"/>
              <w:ind w:left="1" w:right="0" w:firstLine="0"/>
              <w:jc w:val="left"/>
            </w:pPr>
            <w:r>
              <w:rPr>
                <w:b/>
                <w:sz w:val="19"/>
              </w:rPr>
              <w:t>Store top quartile</w:t>
            </w:r>
          </w:p>
        </w:tc>
      </w:tr>
      <w:tr w:rsidR="004A19CA" w14:paraId="00F7ECE1" w14:textId="77777777">
        <w:trPr>
          <w:trHeight w:val="386"/>
        </w:trPr>
        <w:tc>
          <w:tcPr>
            <w:tcW w:w="2798" w:type="dxa"/>
            <w:tcBorders>
              <w:top w:val="single" w:sz="2" w:space="0" w:color="C9D4E8"/>
              <w:left w:val="single" w:sz="2" w:space="0" w:color="C9D4E8"/>
              <w:bottom w:val="single" w:sz="2" w:space="0" w:color="C9D4E8"/>
              <w:right w:val="single" w:sz="2" w:space="0" w:color="C9D4E8"/>
            </w:tcBorders>
          </w:tcPr>
          <w:p w14:paraId="1B6D8944" w14:textId="77777777" w:rsidR="004A19CA" w:rsidRDefault="00673B00">
            <w:pPr>
              <w:spacing w:after="0" w:line="259" w:lineRule="auto"/>
              <w:ind w:left="0" w:right="0" w:firstLine="0"/>
              <w:jc w:val="left"/>
            </w:pPr>
            <w:r>
              <w:rPr>
                <w:sz w:val="19"/>
              </w:rPr>
              <w:t>Customer Relationship</w:t>
            </w:r>
          </w:p>
        </w:tc>
        <w:tc>
          <w:tcPr>
            <w:tcW w:w="3960" w:type="dxa"/>
            <w:tcBorders>
              <w:top w:val="single" w:sz="2" w:space="0" w:color="C9D4E8"/>
              <w:left w:val="single" w:sz="2" w:space="0" w:color="C9D4E8"/>
              <w:bottom w:val="single" w:sz="2" w:space="0" w:color="C9D4E8"/>
              <w:right w:val="single" w:sz="2" w:space="0" w:color="C9D4E8"/>
            </w:tcBorders>
          </w:tcPr>
          <w:p w14:paraId="5437BBC3" w14:textId="77777777" w:rsidR="004A19CA" w:rsidRDefault="00673B00">
            <w:pPr>
              <w:spacing w:after="0" w:line="259" w:lineRule="auto"/>
              <w:ind w:left="1" w:right="0" w:firstLine="0"/>
              <w:jc w:val="left"/>
            </w:pPr>
            <w:r>
              <w:rPr>
                <w:sz w:val="19"/>
              </w:rPr>
              <w:t>Return visit rate (by tech portfolio)</w:t>
            </w:r>
          </w:p>
        </w:tc>
        <w:tc>
          <w:tcPr>
            <w:tcW w:w="2602" w:type="dxa"/>
            <w:tcBorders>
              <w:top w:val="single" w:sz="2" w:space="0" w:color="C9D4E8"/>
              <w:left w:val="single" w:sz="2" w:space="0" w:color="C9D4E8"/>
              <w:bottom w:val="single" w:sz="2" w:space="0" w:color="C9D4E8"/>
              <w:right w:val="single" w:sz="2" w:space="0" w:color="C9D4E8"/>
            </w:tcBorders>
          </w:tcPr>
          <w:p w14:paraId="792AFB4F" w14:textId="77777777" w:rsidR="004A19CA" w:rsidRDefault="00673B00">
            <w:pPr>
              <w:spacing w:after="0" w:line="259" w:lineRule="auto"/>
              <w:ind w:left="1" w:right="0" w:firstLine="0"/>
              <w:jc w:val="left"/>
            </w:pPr>
            <w:r>
              <w:rPr>
                <w:b/>
                <w:sz w:val="19"/>
              </w:rPr>
              <w:t>65%+ in 12 mo.</w:t>
            </w:r>
          </w:p>
        </w:tc>
      </w:tr>
      <w:tr w:rsidR="004A19CA" w14:paraId="6CBC3075" w14:textId="77777777">
        <w:trPr>
          <w:trHeight w:val="384"/>
        </w:trPr>
        <w:tc>
          <w:tcPr>
            <w:tcW w:w="2798" w:type="dxa"/>
            <w:tcBorders>
              <w:top w:val="single" w:sz="2" w:space="0" w:color="C9D4E8"/>
              <w:left w:val="single" w:sz="2" w:space="0" w:color="C9D4E8"/>
              <w:bottom w:val="single" w:sz="2" w:space="0" w:color="C9D4E8"/>
              <w:right w:val="single" w:sz="2" w:space="0" w:color="C9D4E8"/>
            </w:tcBorders>
          </w:tcPr>
          <w:p w14:paraId="42472BDC" w14:textId="77777777" w:rsidR="004A19CA" w:rsidRDefault="00673B00">
            <w:pPr>
              <w:spacing w:after="0" w:line="259" w:lineRule="auto"/>
              <w:ind w:left="0" w:right="0" w:firstLine="0"/>
              <w:jc w:val="left"/>
            </w:pPr>
            <w:r>
              <w:rPr>
                <w:sz w:val="19"/>
              </w:rPr>
              <w:t>Customer Relationship</w:t>
            </w:r>
          </w:p>
        </w:tc>
        <w:tc>
          <w:tcPr>
            <w:tcW w:w="3960" w:type="dxa"/>
            <w:tcBorders>
              <w:top w:val="single" w:sz="2" w:space="0" w:color="C9D4E8"/>
              <w:left w:val="single" w:sz="2" w:space="0" w:color="C9D4E8"/>
              <w:bottom w:val="single" w:sz="2" w:space="0" w:color="C9D4E8"/>
              <w:right w:val="single" w:sz="2" w:space="0" w:color="C9D4E8"/>
            </w:tcBorders>
          </w:tcPr>
          <w:p w14:paraId="3F6A72A3" w14:textId="77777777" w:rsidR="004A19CA" w:rsidRDefault="00673B00">
            <w:pPr>
              <w:spacing w:after="0" w:line="259" w:lineRule="auto"/>
              <w:ind w:left="1" w:right="0" w:firstLine="0"/>
              <w:jc w:val="left"/>
            </w:pPr>
            <w:r>
              <w:rPr>
                <w:sz w:val="19"/>
              </w:rPr>
              <w:t>Declined service conversion (90 days)</w:t>
            </w:r>
          </w:p>
        </w:tc>
        <w:tc>
          <w:tcPr>
            <w:tcW w:w="2602" w:type="dxa"/>
            <w:tcBorders>
              <w:top w:val="single" w:sz="2" w:space="0" w:color="C9D4E8"/>
              <w:left w:val="single" w:sz="2" w:space="0" w:color="C9D4E8"/>
              <w:bottom w:val="single" w:sz="2" w:space="0" w:color="C9D4E8"/>
              <w:right w:val="single" w:sz="2" w:space="0" w:color="C9D4E8"/>
            </w:tcBorders>
          </w:tcPr>
          <w:p w14:paraId="71BCA2BD" w14:textId="77777777" w:rsidR="004A19CA" w:rsidRDefault="00673B00">
            <w:pPr>
              <w:spacing w:after="0" w:line="259" w:lineRule="auto"/>
              <w:ind w:left="1" w:right="0" w:firstLine="0"/>
              <w:jc w:val="left"/>
            </w:pPr>
            <w:r>
              <w:rPr>
                <w:b/>
                <w:sz w:val="19"/>
              </w:rPr>
              <w:t>20 to 25%</w:t>
            </w:r>
          </w:p>
        </w:tc>
      </w:tr>
      <w:tr w:rsidR="004A19CA" w14:paraId="0DDCF5EF" w14:textId="77777777">
        <w:trPr>
          <w:trHeight w:val="386"/>
        </w:trPr>
        <w:tc>
          <w:tcPr>
            <w:tcW w:w="2798" w:type="dxa"/>
            <w:tcBorders>
              <w:top w:val="single" w:sz="2" w:space="0" w:color="C9D4E8"/>
              <w:left w:val="single" w:sz="2" w:space="0" w:color="C9D4E8"/>
              <w:bottom w:val="single" w:sz="2" w:space="0" w:color="C9D4E8"/>
              <w:right w:val="single" w:sz="2" w:space="0" w:color="C9D4E8"/>
            </w:tcBorders>
          </w:tcPr>
          <w:p w14:paraId="0A9BE5D4" w14:textId="77777777" w:rsidR="004A19CA" w:rsidRDefault="00673B00">
            <w:pPr>
              <w:spacing w:after="0" w:line="259" w:lineRule="auto"/>
              <w:ind w:left="0" w:right="0" w:firstLine="0"/>
              <w:jc w:val="left"/>
            </w:pPr>
            <w:r>
              <w:rPr>
                <w:sz w:val="19"/>
              </w:rPr>
              <w:t>Customer Relationship</w:t>
            </w:r>
          </w:p>
        </w:tc>
        <w:tc>
          <w:tcPr>
            <w:tcW w:w="3960" w:type="dxa"/>
            <w:tcBorders>
              <w:top w:val="single" w:sz="2" w:space="0" w:color="C9D4E8"/>
              <w:left w:val="single" w:sz="2" w:space="0" w:color="C9D4E8"/>
              <w:bottom w:val="single" w:sz="2" w:space="0" w:color="C9D4E8"/>
              <w:right w:val="single" w:sz="2" w:space="0" w:color="C9D4E8"/>
            </w:tcBorders>
          </w:tcPr>
          <w:p w14:paraId="19CCAA18" w14:textId="77777777" w:rsidR="004A19CA" w:rsidRDefault="00673B00">
            <w:pPr>
              <w:spacing w:after="0" w:line="259" w:lineRule="auto"/>
              <w:ind w:left="1" w:right="0" w:firstLine="0"/>
              <w:jc w:val="left"/>
            </w:pPr>
            <w:r>
              <w:rPr>
                <w:sz w:val="19"/>
              </w:rPr>
              <w:t>Customer portfolio retention (YoY)</w:t>
            </w:r>
          </w:p>
        </w:tc>
        <w:tc>
          <w:tcPr>
            <w:tcW w:w="2602" w:type="dxa"/>
            <w:tcBorders>
              <w:top w:val="single" w:sz="2" w:space="0" w:color="C9D4E8"/>
              <w:left w:val="single" w:sz="2" w:space="0" w:color="C9D4E8"/>
              <w:bottom w:val="single" w:sz="2" w:space="0" w:color="C9D4E8"/>
              <w:right w:val="single" w:sz="2" w:space="0" w:color="C9D4E8"/>
            </w:tcBorders>
          </w:tcPr>
          <w:p w14:paraId="5BA61769" w14:textId="77777777" w:rsidR="004A19CA" w:rsidRDefault="00673B00">
            <w:pPr>
              <w:spacing w:after="0" w:line="259" w:lineRule="auto"/>
              <w:ind w:left="1" w:right="0" w:firstLine="0"/>
              <w:jc w:val="left"/>
            </w:pPr>
            <w:r>
              <w:rPr>
                <w:b/>
                <w:sz w:val="19"/>
              </w:rPr>
              <w:t>Improving</w:t>
            </w:r>
          </w:p>
        </w:tc>
      </w:tr>
      <w:tr w:rsidR="004A19CA" w14:paraId="49A4D6BB" w14:textId="77777777">
        <w:trPr>
          <w:trHeight w:val="384"/>
        </w:trPr>
        <w:tc>
          <w:tcPr>
            <w:tcW w:w="2798" w:type="dxa"/>
            <w:tcBorders>
              <w:top w:val="single" w:sz="2" w:space="0" w:color="C9D4E8"/>
              <w:left w:val="single" w:sz="2" w:space="0" w:color="C9D4E8"/>
              <w:bottom w:val="single" w:sz="2" w:space="0" w:color="C9D4E8"/>
              <w:right w:val="single" w:sz="2" w:space="0" w:color="C9D4E8"/>
            </w:tcBorders>
          </w:tcPr>
          <w:p w14:paraId="70D37CAE" w14:textId="77777777" w:rsidR="004A19CA" w:rsidRDefault="00673B00">
            <w:pPr>
              <w:spacing w:after="0" w:line="259" w:lineRule="auto"/>
              <w:ind w:left="0" w:right="0" w:firstLine="0"/>
              <w:jc w:val="left"/>
            </w:pPr>
            <w:r>
              <w:rPr>
                <w:sz w:val="19"/>
              </w:rPr>
              <w:t>Production / Financial</w:t>
            </w:r>
          </w:p>
        </w:tc>
        <w:tc>
          <w:tcPr>
            <w:tcW w:w="3960" w:type="dxa"/>
            <w:tcBorders>
              <w:top w:val="single" w:sz="2" w:space="0" w:color="C9D4E8"/>
              <w:left w:val="single" w:sz="2" w:space="0" w:color="C9D4E8"/>
              <w:bottom w:val="single" w:sz="2" w:space="0" w:color="C9D4E8"/>
              <w:right w:val="single" w:sz="2" w:space="0" w:color="C9D4E8"/>
            </w:tcBorders>
          </w:tcPr>
          <w:p w14:paraId="7C631B83" w14:textId="77777777" w:rsidR="004A19CA" w:rsidRDefault="00673B00">
            <w:pPr>
              <w:spacing w:after="0" w:line="259" w:lineRule="auto"/>
              <w:ind w:left="1" w:right="0" w:firstLine="0"/>
              <w:jc w:val="left"/>
            </w:pPr>
            <w:r>
              <w:rPr>
                <w:sz w:val="19"/>
              </w:rPr>
              <w:t>Labor efficiency per tech</w:t>
            </w:r>
          </w:p>
        </w:tc>
        <w:tc>
          <w:tcPr>
            <w:tcW w:w="2602" w:type="dxa"/>
            <w:tcBorders>
              <w:top w:val="single" w:sz="2" w:space="0" w:color="C9D4E8"/>
              <w:left w:val="single" w:sz="2" w:space="0" w:color="C9D4E8"/>
              <w:bottom w:val="single" w:sz="2" w:space="0" w:color="C9D4E8"/>
              <w:right w:val="single" w:sz="2" w:space="0" w:color="C9D4E8"/>
            </w:tcBorders>
          </w:tcPr>
          <w:p w14:paraId="01237DFC" w14:textId="77777777" w:rsidR="004A19CA" w:rsidRDefault="00673B00">
            <w:pPr>
              <w:spacing w:after="0" w:line="259" w:lineRule="auto"/>
              <w:ind w:left="1" w:right="0" w:firstLine="0"/>
              <w:jc w:val="left"/>
            </w:pPr>
            <w:r>
              <w:rPr>
                <w:b/>
                <w:sz w:val="19"/>
              </w:rPr>
              <w:t>90 to 95%</w:t>
            </w:r>
          </w:p>
        </w:tc>
      </w:tr>
      <w:tr w:rsidR="004A19CA" w14:paraId="5BFE951C" w14:textId="77777777">
        <w:trPr>
          <w:trHeight w:val="386"/>
        </w:trPr>
        <w:tc>
          <w:tcPr>
            <w:tcW w:w="2798" w:type="dxa"/>
            <w:tcBorders>
              <w:top w:val="single" w:sz="2" w:space="0" w:color="C9D4E8"/>
              <w:left w:val="single" w:sz="2" w:space="0" w:color="C9D4E8"/>
              <w:bottom w:val="single" w:sz="2" w:space="0" w:color="C9D4E8"/>
              <w:right w:val="single" w:sz="2" w:space="0" w:color="C9D4E8"/>
            </w:tcBorders>
          </w:tcPr>
          <w:p w14:paraId="53CEA7E3" w14:textId="77777777" w:rsidR="004A19CA" w:rsidRDefault="00673B00">
            <w:pPr>
              <w:spacing w:after="0" w:line="259" w:lineRule="auto"/>
              <w:ind w:left="0" w:right="0" w:firstLine="0"/>
              <w:jc w:val="left"/>
            </w:pPr>
            <w:r>
              <w:rPr>
                <w:sz w:val="19"/>
              </w:rPr>
              <w:t>Production / Financial</w:t>
            </w:r>
          </w:p>
        </w:tc>
        <w:tc>
          <w:tcPr>
            <w:tcW w:w="3960" w:type="dxa"/>
            <w:tcBorders>
              <w:top w:val="single" w:sz="2" w:space="0" w:color="C9D4E8"/>
              <w:left w:val="single" w:sz="2" w:space="0" w:color="C9D4E8"/>
              <w:bottom w:val="single" w:sz="2" w:space="0" w:color="C9D4E8"/>
              <w:right w:val="single" w:sz="2" w:space="0" w:color="C9D4E8"/>
            </w:tcBorders>
          </w:tcPr>
          <w:p w14:paraId="3A0BA09B" w14:textId="77777777" w:rsidR="004A19CA" w:rsidRDefault="00673B00">
            <w:pPr>
              <w:spacing w:after="0" w:line="259" w:lineRule="auto"/>
              <w:ind w:left="1" w:right="0" w:firstLine="0"/>
              <w:jc w:val="left"/>
            </w:pPr>
            <w:r>
              <w:rPr>
                <w:sz w:val="19"/>
              </w:rPr>
              <w:t>Effective labor rate per hour</w:t>
            </w:r>
          </w:p>
        </w:tc>
        <w:tc>
          <w:tcPr>
            <w:tcW w:w="2602" w:type="dxa"/>
            <w:tcBorders>
              <w:top w:val="single" w:sz="2" w:space="0" w:color="C9D4E8"/>
              <w:left w:val="single" w:sz="2" w:space="0" w:color="C9D4E8"/>
              <w:bottom w:val="single" w:sz="2" w:space="0" w:color="C9D4E8"/>
              <w:right w:val="single" w:sz="2" w:space="0" w:color="C9D4E8"/>
            </w:tcBorders>
          </w:tcPr>
          <w:p w14:paraId="6B1D3EC9" w14:textId="77777777" w:rsidR="004A19CA" w:rsidRDefault="00673B00">
            <w:pPr>
              <w:spacing w:after="0" w:line="259" w:lineRule="auto"/>
              <w:ind w:left="1" w:right="0" w:firstLine="0"/>
              <w:jc w:val="left"/>
            </w:pPr>
            <w:r>
              <w:rPr>
                <w:b/>
                <w:sz w:val="19"/>
              </w:rPr>
              <w:t>Improving</w:t>
            </w:r>
          </w:p>
        </w:tc>
      </w:tr>
      <w:tr w:rsidR="004A19CA" w14:paraId="3A3E40E6" w14:textId="77777777">
        <w:trPr>
          <w:trHeight w:val="384"/>
        </w:trPr>
        <w:tc>
          <w:tcPr>
            <w:tcW w:w="2798" w:type="dxa"/>
            <w:tcBorders>
              <w:top w:val="single" w:sz="2" w:space="0" w:color="C9D4E8"/>
              <w:left w:val="single" w:sz="2" w:space="0" w:color="C9D4E8"/>
              <w:bottom w:val="single" w:sz="2" w:space="0" w:color="C9D4E8"/>
              <w:right w:val="single" w:sz="2" w:space="0" w:color="C9D4E8"/>
            </w:tcBorders>
          </w:tcPr>
          <w:p w14:paraId="50AB492F" w14:textId="77777777" w:rsidR="004A19CA" w:rsidRDefault="00673B00">
            <w:pPr>
              <w:spacing w:after="0" w:line="259" w:lineRule="auto"/>
              <w:ind w:left="0" w:right="0" w:firstLine="0"/>
              <w:jc w:val="left"/>
            </w:pPr>
            <w:r>
              <w:rPr>
                <w:sz w:val="19"/>
              </w:rPr>
              <w:t>Production / Financial</w:t>
            </w:r>
          </w:p>
        </w:tc>
        <w:tc>
          <w:tcPr>
            <w:tcW w:w="3960" w:type="dxa"/>
            <w:tcBorders>
              <w:top w:val="single" w:sz="2" w:space="0" w:color="C9D4E8"/>
              <w:left w:val="single" w:sz="2" w:space="0" w:color="C9D4E8"/>
              <w:bottom w:val="single" w:sz="2" w:space="0" w:color="C9D4E8"/>
              <w:right w:val="single" w:sz="2" w:space="0" w:color="C9D4E8"/>
            </w:tcBorders>
          </w:tcPr>
          <w:p w14:paraId="56236D22" w14:textId="77777777" w:rsidR="004A19CA" w:rsidRDefault="00673B00">
            <w:pPr>
              <w:spacing w:after="0" w:line="259" w:lineRule="auto"/>
              <w:ind w:left="1" w:right="0" w:firstLine="0"/>
              <w:jc w:val="left"/>
            </w:pPr>
            <w:r>
              <w:rPr>
                <w:sz w:val="19"/>
              </w:rPr>
              <w:t>Labor gross margin (monthly)</w:t>
            </w:r>
          </w:p>
        </w:tc>
        <w:tc>
          <w:tcPr>
            <w:tcW w:w="2602" w:type="dxa"/>
            <w:tcBorders>
              <w:top w:val="single" w:sz="2" w:space="0" w:color="C9D4E8"/>
              <w:left w:val="single" w:sz="2" w:space="0" w:color="C9D4E8"/>
              <w:bottom w:val="single" w:sz="2" w:space="0" w:color="C9D4E8"/>
              <w:right w:val="single" w:sz="2" w:space="0" w:color="C9D4E8"/>
            </w:tcBorders>
          </w:tcPr>
          <w:p w14:paraId="281EA21F" w14:textId="77777777" w:rsidR="004A19CA" w:rsidRDefault="00673B00">
            <w:pPr>
              <w:spacing w:after="0" w:line="259" w:lineRule="auto"/>
              <w:ind w:left="1" w:right="0" w:firstLine="0"/>
              <w:jc w:val="left"/>
            </w:pPr>
            <w:r>
              <w:rPr>
                <w:b/>
                <w:sz w:val="19"/>
              </w:rPr>
              <w:t>Within 1.5 pts</w:t>
            </w:r>
          </w:p>
        </w:tc>
      </w:tr>
      <w:tr w:rsidR="004A19CA" w14:paraId="0664D25B" w14:textId="77777777">
        <w:trPr>
          <w:trHeight w:val="386"/>
        </w:trPr>
        <w:tc>
          <w:tcPr>
            <w:tcW w:w="2798" w:type="dxa"/>
            <w:tcBorders>
              <w:top w:val="single" w:sz="2" w:space="0" w:color="C9D4E8"/>
              <w:left w:val="single" w:sz="2" w:space="0" w:color="C9D4E8"/>
              <w:bottom w:val="single" w:sz="2" w:space="0" w:color="C9D4E8"/>
              <w:right w:val="single" w:sz="2" w:space="0" w:color="C9D4E8"/>
            </w:tcBorders>
          </w:tcPr>
          <w:p w14:paraId="014C95E5" w14:textId="77777777" w:rsidR="004A19CA" w:rsidRDefault="00673B00">
            <w:pPr>
              <w:spacing w:after="0" w:line="259" w:lineRule="auto"/>
              <w:ind w:left="0" w:right="0" w:firstLine="0"/>
              <w:jc w:val="left"/>
            </w:pPr>
            <w:r>
              <w:rPr>
                <w:sz w:val="19"/>
              </w:rPr>
              <w:t>Workforce</w:t>
            </w:r>
          </w:p>
        </w:tc>
        <w:tc>
          <w:tcPr>
            <w:tcW w:w="3960" w:type="dxa"/>
            <w:tcBorders>
              <w:top w:val="single" w:sz="2" w:space="0" w:color="C9D4E8"/>
              <w:left w:val="single" w:sz="2" w:space="0" w:color="C9D4E8"/>
              <w:bottom w:val="single" w:sz="2" w:space="0" w:color="C9D4E8"/>
              <w:right w:val="single" w:sz="2" w:space="0" w:color="C9D4E8"/>
            </w:tcBorders>
          </w:tcPr>
          <w:p w14:paraId="721F199A" w14:textId="77777777" w:rsidR="004A19CA" w:rsidRDefault="00673B00">
            <w:pPr>
              <w:spacing w:after="0" w:line="259" w:lineRule="auto"/>
              <w:ind w:left="1" w:right="0" w:firstLine="0"/>
              <w:jc w:val="left"/>
            </w:pPr>
            <w:r>
              <w:rPr>
                <w:sz w:val="19"/>
              </w:rPr>
              <w:t>Technician tenure by level</w:t>
            </w:r>
          </w:p>
        </w:tc>
        <w:tc>
          <w:tcPr>
            <w:tcW w:w="2602" w:type="dxa"/>
            <w:tcBorders>
              <w:top w:val="single" w:sz="2" w:space="0" w:color="C9D4E8"/>
              <w:left w:val="single" w:sz="2" w:space="0" w:color="C9D4E8"/>
              <w:bottom w:val="single" w:sz="2" w:space="0" w:color="C9D4E8"/>
              <w:right w:val="single" w:sz="2" w:space="0" w:color="C9D4E8"/>
            </w:tcBorders>
          </w:tcPr>
          <w:p w14:paraId="2E26179E" w14:textId="77777777" w:rsidR="004A19CA" w:rsidRDefault="00673B00">
            <w:pPr>
              <w:spacing w:after="0" w:line="259" w:lineRule="auto"/>
              <w:ind w:left="1" w:right="0" w:firstLine="0"/>
              <w:jc w:val="left"/>
            </w:pPr>
            <w:r>
              <w:rPr>
                <w:b/>
                <w:sz w:val="19"/>
              </w:rPr>
              <w:t>Improving</w:t>
            </w:r>
          </w:p>
        </w:tc>
      </w:tr>
      <w:tr w:rsidR="004A19CA" w14:paraId="10A53347" w14:textId="77777777">
        <w:trPr>
          <w:trHeight w:val="384"/>
        </w:trPr>
        <w:tc>
          <w:tcPr>
            <w:tcW w:w="2798" w:type="dxa"/>
            <w:tcBorders>
              <w:top w:val="single" w:sz="2" w:space="0" w:color="C9D4E8"/>
              <w:left w:val="single" w:sz="2" w:space="0" w:color="C9D4E8"/>
              <w:bottom w:val="single" w:sz="2" w:space="0" w:color="C9D4E8"/>
              <w:right w:val="single" w:sz="2" w:space="0" w:color="C9D4E8"/>
            </w:tcBorders>
          </w:tcPr>
          <w:p w14:paraId="64E6AB3F" w14:textId="77777777" w:rsidR="004A19CA" w:rsidRDefault="00673B00">
            <w:pPr>
              <w:spacing w:after="0" w:line="259" w:lineRule="auto"/>
              <w:ind w:left="0" w:right="0" w:firstLine="0"/>
              <w:jc w:val="left"/>
            </w:pPr>
            <w:r>
              <w:rPr>
                <w:sz w:val="19"/>
              </w:rPr>
              <w:t>Workforce</w:t>
            </w:r>
          </w:p>
        </w:tc>
        <w:tc>
          <w:tcPr>
            <w:tcW w:w="3960" w:type="dxa"/>
            <w:tcBorders>
              <w:top w:val="single" w:sz="2" w:space="0" w:color="C9D4E8"/>
              <w:left w:val="single" w:sz="2" w:space="0" w:color="C9D4E8"/>
              <w:bottom w:val="single" w:sz="2" w:space="0" w:color="C9D4E8"/>
              <w:right w:val="single" w:sz="2" w:space="0" w:color="C9D4E8"/>
            </w:tcBorders>
          </w:tcPr>
          <w:p w14:paraId="004486F4" w14:textId="77777777" w:rsidR="004A19CA" w:rsidRDefault="00673B00">
            <w:pPr>
              <w:spacing w:after="0" w:line="259" w:lineRule="auto"/>
              <w:ind w:left="1" w:right="0" w:firstLine="0"/>
              <w:jc w:val="left"/>
            </w:pPr>
            <w:r>
              <w:rPr>
                <w:sz w:val="19"/>
              </w:rPr>
              <w:t>Certification advancement rate</w:t>
            </w:r>
          </w:p>
        </w:tc>
        <w:tc>
          <w:tcPr>
            <w:tcW w:w="2602" w:type="dxa"/>
            <w:tcBorders>
              <w:top w:val="single" w:sz="2" w:space="0" w:color="C9D4E8"/>
              <w:left w:val="single" w:sz="2" w:space="0" w:color="C9D4E8"/>
              <w:bottom w:val="single" w:sz="2" w:space="0" w:color="C9D4E8"/>
              <w:right w:val="single" w:sz="2" w:space="0" w:color="C9D4E8"/>
            </w:tcBorders>
          </w:tcPr>
          <w:p w14:paraId="5FF9E3CE" w14:textId="77777777" w:rsidR="004A19CA" w:rsidRDefault="00673B00">
            <w:pPr>
              <w:spacing w:after="0" w:line="259" w:lineRule="auto"/>
              <w:ind w:left="1" w:right="0" w:firstLine="0"/>
              <w:jc w:val="left"/>
            </w:pPr>
            <w:r>
              <w:rPr>
                <w:b/>
                <w:sz w:val="19"/>
              </w:rPr>
              <w:t>1+ per dev tech/yr</w:t>
            </w:r>
          </w:p>
        </w:tc>
      </w:tr>
      <w:tr w:rsidR="004A19CA" w14:paraId="68E35E94" w14:textId="77777777">
        <w:trPr>
          <w:trHeight w:val="386"/>
        </w:trPr>
        <w:tc>
          <w:tcPr>
            <w:tcW w:w="2798" w:type="dxa"/>
            <w:tcBorders>
              <w:top w:val="single" w:sz="2" w:space="0" w:color="C9D4E8"/>
              <w:left w:val="single" w:sz="2" w:space="0" w:color="C9D4E8"/>
              <w:bottom w:val="single" w:sz="2" w:space="0" w:color="C9D4E8"/>
              <w:right w:val="single" w:sz="2" w:space="0" w:color="C9D4E8"/>
            </w:tcBorders>
          </w:tcPr>
          <w:p w14:paraId="2CACD9B3" w14:textId="77777777" w:rsidR="004A19CA" w:rsidRDefault="00673B00">
            <w:pPr>
              <w:spacing w:after="0" w:line="259" w:lineRule="auto"/>
              <w:ind w:left="0" w:right="0" w:firstLine="0"/>
              <w:jc w:val="left"/>
            </w:pPr>
            <w:r>
              <w:rPr>
                <w:sz w:val="19"/>
              </w:rPr>
              <w:t>Workforce</w:t>
            </w:r>
          </w:p>
        </w:tc>
        <w:tc>
          <w:tcPr>
            <w:tcW w:w="3960" w:type="dxa"/>
            <w:tcBorders>
              <w:top w:val="single" w:sz="2" w:space="0" w:color="C9D4E8"/>
              <w:left w:val="single" w:sz="2" w:space="0" w:color="C9D4E8"/>
              <w:bottom w:val="single" w:sz="2" w:space="0" w:color="C9D4E8"/>
              <w:right w:val="single" w:sz="2" w:space="0" w:color="C9D4E8"/>
            </w:tcBorders>
          </w:tcPr>
          <w:p w14:paraId="7E2876A0" w14:textId="77777777" w:rsidR="004A19CA" w:rsidRDefault="00673B00">
            <w:pPr>
              <w:spacing w:after="0" w:line="259" w:lineRule="auto"/>
              <w:ind w:left="1" w:right="0" w:firstLine="0"/>
              <w:jc w:val="left"/>
            </w:pPr>
            <w:r>
              <w:rPr>
                <w:sz w:val="19"/>
              </w:rPr>
              <w:t>Voluntary separation rate</w:t>
            </w:r>
          </w:p>
        </w:tc>
        <w:tc>
          <w:tcPr>
            <w:tcW w:w="2602" w:type="dxa"/>
            <w:tcBorders>
              <w:top w:val="single" w:sz="2" w:space="0" w:color="C9D4E8"/>
              <w:left w:val="single" w:sz="2" w:space="0" w:color="C9D4E8"/>
              <w:bottom w:val="single" w:sz="2" w:space="0" w:color="C9D4E8"/>
              <w:right w:val="single" w:sz="2" w:space="0" w:color="C9D4E8"/>
            </w:tcBorders>
          </w:tcPr>
          <w:p w14:paraId="715BC6B7" w14:textId="77777777" w:rsidR="004A19CA" w:rsidRDefault="00673B00">
            <w:pPr>
              <w:spacing w:after="0" w:line="259" w:lineRule="auto"/>
              <w:ind w:left="1" w:right="0" w:firstLine="0"/>
              <w:jc w:val="left"/>
            </w:pPr>
            <w:r>
              <w:rPr>
                <w:b/>
                <w:sz w:val="19"/>
              </w:rPr>
              <w:t>Below 15%/yr</w:t>
            </w:r>
          </w:p>
        </w:tc>
      </w:tr>
    </w:tbl>
    <w:p w14:paraId="75B03698" w14:textId="77777777" w:rsidR="004A19CA" w:rsidRDefault="00673B00">
      <w:pPr>
        <w:pStyle w:val="Heading2"/>
        <w:spacing w:after="0"/>
        <w:ind w:left="-5"/>
      </w:pPr>
      <w:r>
        <w:t>11.3   90-Day, 6-Month, and 12-Month Benchmarks</w:t>
      </w:r>
    </w:p>
    <w:tbl>
      <w:tblPr>
        <w:tblStyle w:val="TableGrid"/>
        <w:tblW w:w="9360" w:type="dxa"/>
        <w:tblInd w:w="0" w:type="dxa"/>
        <w:tblCellMar>
          <w:top w:w="0" w:type="dxa"/>
          <w:left w:w="161" w:type="dxa"/>
          <w:bottom w:w="0" w:type="dxa"/>
          <w:right w:w="115" w:type="dxa"/>
        </w:tblCellMar>
        <w:tblLook w:val="04A0" w:firstRow="1" w:lastRow="0" w:firstColumn="1" w:lastColumn="0" w:noHBand="0" w:noVBand="1"/>
      </w:tblPr>
      <w:tblGrid>
        <w:gridCol w:w="3120"/>
        <w:gridCol w:w="3120"/>
        <w:gridCol w:w="3120"/>
      </w:tblGrid>
      <w:tr w:rsidR="004A19CA" w14:paraId="401C54B5" w14:textId="77777777">
        <w:trPr>
          <w:trHeight w:val="1409"/>
        </w:trPr>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042B5577" w14:textId="77777777" w:rsidR="004A19CA" w:rsidRDefault="00673B00">
            <w:pPr>
              <w:spacing w:after="0" w:line="259" w:lineRule="auto"/>
              <w:ind w:left="0" w:right="0" w:firstLine="0"/>
              <w:jc w:val="left"/>
            </w:pPr>
            <w:r>
              <w:rPr>
                <w:b/>
                <w:color w:val="1F3864"/>
                <w:sz w:val="34"/>
              </w:rPr>
              <w:t>90 Days</w:t>
            </w:r>
          </w:p>
          <w:p w14:paraId="0D7A6D9B" w14:textId="77777777" w:rsidR="004A19CA" w:rsidRDefault="00673B00">
            <w:pPr>
              <w:spacing w:after="0" w:line="259" w:lineRule="auto"/>
              <w:ind w:left="0" w:right="0" w:firstLine="0"/>
              <w:jc w:val="left"/>
            </w:pPr>
            <w:r>
              <w:rPr>
                <w:color w:val="595959"/>
                <w:sz w:val="18"/>
              </w:rPr>
              <w:t xml:space="preserve">Clean data flowing. No separations. Foreman coaching actively. Advisor </w:t>
            </w:r>
          </w:p>
        </w:tc>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2CCB8FB4" w14:textId="77777777" w:rsidR="004A19CA" w:rsidRDefault="00673B00">
            <w:pPr>
              <w:spacing w:after="0" w:line="259" w:lineRule="auto"/>
              <w:ind w:left="0" w:right="0" w:firstLine="0"/>
              <w:jc w:val="left"/>
            </w:pPr>
            <w:r>
              <w:rPr>
                <w:b/>
                <w:color w:val="1F3864"/>
                <w:sz w:val="34"/>
              </w:rPr>
              <w:t>6 Months</w:t>
            </w:r>
          </w:p>
          <w:p w14:paraId="1854AF4E" w14:textId="77777777" w:rsidR="004A19CA" w:rsidRDefault="00673B00">
            <w:pPr>
              <w:spacing w:after="0" w:line="259" w:lineRule="auto"/>
              <w:ind w:left="0" w:right="0" w:firstLine="0"/>
              <w:jc w:val="left"/>
            </w:pPr>
            <w:r>
              <w:rPr>
                <w:color w:val="595959"/>
                <w:sz w:val="18"/>
              </w:rPr>
              <w:t xml:space="preserve">First premium payment cycle clean. Comeback rate improving. One customer </w:t>
            </w:r>
          </w:p>
        </w:tc>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03D5FEAF" w14:textId="77777777" w:rsidR="004A19CA" w:rsidRDefault="00673B00">
            <w:pPr>
              <w:spacing w:after="0" w:line="259" w:lineRule="auto"/>
              <w:ind w:left="0" w:right="0" w:firstLine="0"/>
              <w:jc w:val="left"/>
            </w:pPr>
            <w:r>
              <w:rPr>
                <w:b/>
                <w:color w:val="1F3864"/>
                <w:sz w:val="34"/>
              </w:rPr>
              <w:t>12 Months</w:t>
            </w:r>
          </w:p>
          <w:p w14:paraId="43982DA8" w14:textId="77777777" w:rsidR="004A19CA" w:rsidRDefault="00673B00">
            <w:pPr>
              <w:spacing w:after="0" w:line="259" w:lineRule="auto"/>
              <w:ind w:left="0" w:right="0" w:firstLine="0"/>
              <w:jc w:val="left"/>
            </w:pPr>
            <w:r>
              <w:rPr>
                <w:color w:val="595959"/>
                <w:sz w:val="18"/>
              </w:rPr>
              <w:t xml:space="preserve">Median tech at or above flatrate baseline. Return rate at target for 60%+ of techs. </w:t>
            </w:r>
          </w:p>
        </w:tc>
      </w:tr>
      <w:tr w:rsidR="004A19CA" w14:paraId="59D3F2C6" w14:textId="77777777">
        <w:trPr>
          <w:trHeight w:val="742"/>
        </w:trPr>
        <w:tc>
          <w:tcPr>
            <w:tcW w:w="3120" w:type="dxa"/>
            <w:tcBorders>
              <w:top w:val="single" w:sz="2" w:space="0" w:color="C9D4E8"/>
              <w:left w:val="single" w:sz="2" w:space="0" w:color="C9D4E8"/>
              <w:bottom w:val="single" w:sz="2" w:space="0" w:color="C9D4E8"/>
              <w:right w:val="single" w:sz="2" w:space="0" w:color="C9D4E8"/>
            </w:tcBorders>
            <w:shd w:val="clear" w:color="auto" w:fill="EDF1F9"/>
          </w:tcPr>
          <w:p w14:paraId="19EA72F5" w14:textId="77777777" w:rsidR="004A19CA" w:rsidRDefault="00673B00">
            <w:pPr>
              <w:spacing w:after="0" w:line="259" w:lineRule="auto"/>
              <w:ind w:left="0" w:right="0" w:firstLine="0"/>
              <w:jc w:val="left"/>
            </w:pPr>
            <w:r>
              <w:rPr>
                <w:color w:val="595959"/>
                <w:sz w:val="18"/>
              </w:rPr>
              <w:t>alignment complete.</w:t>
            </w:r>
          </w:p>
        </w:tc>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5248D441" w14:textId="77777777" w:rsidR="004A19CA" w:rsidRDefault="00673B00">
            <w:pPr>
              <w:spacing w:after="0" w:line="259" w:lineRule="auto"/>
              <w:ind w:left="0" w:right="0" w:firstLine="0"/>
              <w:jc w:val="left"/>
            </w:pPr>
            <w:r>
              <w:rPr>
                <w:color w:val="595959"/>
                <w:sz w:val="18"/>
              </w:rPr>
              <w:t>return attributable to tech behavior.</w:t>
            </w:r>
          </w:p>
        </w:tc>
        <w:tc>
          <w:tcPr>
            <w:tcW w:w="3120" w:type="dxa"/>
            <w:tcBorders>
              <w:top w:val="single" w:sz="2" w:space="0" w:color="C9D4E8"/>
              <w:left w:val="single" w:sz="2" w:space="0" w:color="C9D4E8"/>
              <w:bottom w:val="single" w:sz="2" w:space="0" w:color="C9D4E8"/>
              <w:right w:val="single" w:sz="2" w:space="0" w:color="C9D4E8"/>
            </w:tcBorders>
            <w:shd w:val="clear" w:color="auto" w:fill="EDF1F9"/>
            <w:vAlign w:val="center"/>
          </w:tcPr>
          <w:p w14:paraId="4F03A4BE" w14:textId="77777777" w:rsidR="004A19CA" w:rsidRDefault="00673B00">
            <w:pPr>
              <w:spacing w:after="0" w:line="259" w:lineRule="auto"/>
              <w:ind w:left="0" w:right="0" w:firstLine="0"/>
              <w:jc w:val="left"/>
            </w:pPr>
            <w:r>
              <w:rPr>
                <w:color w:val="595959"/>
                <w:sz w:val="18"/>
              </w:rPr>
              <w:t>Margin within 1.5 pts of prereform.</w:t>
            </w:r>
          </w:p>
        </w:tc>
      </w:tr>
    </w:tbl>
    <w:p w14:paraId="33158965" w14:textId="77777777" w:rsidR="004A19CA" w:rsidRDefault="00673B00">
      <w:pPr>
        <w:pStyle w:val="Heading2"/>
        <w:ind w:left="-5"/>
      </w:pPr>
      <w:r>
        <w:t>11.4   Warning Signs: When the Model Needs Attention</w:t>
      </w:r>
    </w:p>
    <w:p w14:paraId="5C44BE02" w14:textId="77777777" w:rsidR="004A19CA" w:rsidRDefault="00673B00">
      <w:pPr>
        <w:ind w:left="-5" w:right="9"/>
      </w:pPr>
      <w:r>
        <w:rPr>
          <w:b/>
        </w:rPr>
        <w:t>Metric gaming.</w:t>
      </w:r>
      <w:r>
        <w:t xml:space="preserve"> Return visit rates rising but advisor communication quality unchanged. Investigate routing manipulation. Remedy: tighter DMS attribution rules and transparent routing protocols.</w:t>
      </w:r>
    </w:p>
    <w:p w14:paraId="543A3628" w14:textId="77777777" w:rsidR="004A19CA" w:rsidRDefault="00673B00">
      <w:pPr>
        <w:ind w:left="-5" w:right="9"/>
      </w:pPr>
      <w:r>
        <w:rPr>
          <w:b/>
        </w:rPr>
        <w:t>Cherry-picking under cell and portfolio models.</w:t>
      </w:r>
      <w:r>
        <w:t xml:space="preserve"> Lead Technicians systematically routing easy, high-flag jobs to themselves. Remedy: shop foreman coaching and, if necessary, a formal job allocation protocol.</w:t>
      </w:r>
    </w:p>
    <w:p w14:paraId="583C77CB" w14:textId="77777777" w:rsidR="004A19CA" w:rsidRDefault="00673B00">
      <w:pPr>
        <w:ind w:left="-5" w:right="9"/>
      </w:pPr>
      <w:r>
        <w:rPr>
          <w:b/>
        </w:rPr>
        <w:t>Advisor misalignment.</w:t>
      </w:r>
      <w:r>
        <w:t xml:space="preserve"> Declined service conversion not improving after three months of shadow reporting. The downstream premium incentivizes the technician to communicate thoroughly. It creates no incentive for the advisor. Remedy: the advisor compensation review in Section 8.</w:t>
      </w:r>
    </w:p>
    <w:p w14:paraId="22CC89BA" w14:textId="77777777" w:rsidR="004A19CA" w:rsidRDefault="00673B00">
      <w:pPr>
        <w:spacing w:after="288"/>
        <w:ind w:left="-5" w:right="9"/>
      </w:pPr>
      <w:r>
        <w:rPr>
          <w:b/>
        </w:rPr>
        <w:t>Technician distrust of calculations.</w:t>
      </w:r>
      <w:r>
        <w:t xml:space="preserve"> If more than two technicians raise calculation disputes in the first payment cycle, audit the DMS attribution with the technician present. Correct any error publicly. Trust in the system depends entirely on the belief that the numbers are honest. A single credible dispute left unresolved becomes a culture problem within ninety days.</w:t>
      </w:r>
    </w:p>
    <w:p w14:paraId="1BCC7C64" w14:textId="77777777" w:rsidR="004A19CA" w:rsidRDefault="00673B00">
      <w:pPr>
        <w:pStyle w:val="Heading2"/>
        <w:ind w:left="-5"/>
      </w:pPr>
      <w:r>
        <w:t>11.5   A Final Note on Leadership</w:t>
      </w:r>
    </w:p>
    <w:p w14:paraId="0ECCB750" w14:textId="77777777" w:rsidR="004A19CA" w:rsidRDefault="00673B00">
      <w:pPr>
        <w:spacing w:after="260"/>
        <w:ind w:left="-5" w:right="9"/>
      </w:pPr>
      <w:r>
        <w:t>Every section of this roadmap assumes one thing no roadmap can manufacture: a leader who believes the change is worth making and is willing to stay the course through the discomfort of transition. Compensation reform will produce friction. A tenured technician will push back. A shop foreman will doubt. A month will come when the metrics do not move and the temptation to revert will be real.</w:t>
      </w:r>
    </w:p>
    <w:p w14:paraId="5EA12744" w14:textId="77777777" w:rsidR="004A19CA" w:rsidRDefault="00673B00">
      <w:pPr>
        <w:spacing w:after="225" w:line="261" w:lineRule="auto"/>
        <w:ind w:left="475" w:right="502"/>
        <w:jc w:val="left"/>
      </w:pPr>
      <w:r>
        <w:rPr>
          <w:noProof/>
        </w:rPr>
        <mc:AlternateContent>
          <mc:Choice Requires="wpg">
            <w:drawing>
              <wp:anchor distT="0" distB="0" distL="114300" distR="114300" simplePos="0" relativeHeight="251671552" behindDoc="0" locked="0" layoutInCell="1" allowOverlap="1" wp14:anchorId="466AB37F" wp14:editId="0674F63E">
                <wp:simplePos x="0" y="0"/>
                <wp:positionH relativeFrom="column">
                  <wp:posOffset>132080</wp:posOffset>
                </wp:positionH>
                <wp:positionV relativeFrom="paragraph">
                  <wp:posOffset>-21098</wp:posOffset>
                </wp:positionV>
                <wp:extent cx="38100" cy="1015365"/>
                <wp:effectExtent l="0" t="0" r="0" b="0"/>
                <wp:wrapSquare wrapText="bothSides"/>
                <wp:docPr id="40913" name="Group 40913"/>
                <wp:cNvGraphicFramePr/>
                <a:graphic xmlns:a="http://schemas.openxmlformats.org/drawingml/2006/main">
                  <a:graphicData uri="http://schemas.microsoft.com/office/word/2010/wordprocessingGroup">
                    <wpg:wgp>
                      <wpg:cNvGrpSpPr/>
                      <wpg:grpSpPr>
                        <a:xfrm>
                          <a:off x="0" y="0"/>
                          <a:ext cx="38100" cy="1015365"/>
                          <a:chOff x="0" y="0"/>
                          <a:chExt cx="38100" cy="1015365"/>
                        </a:xfrm>
                      </wpg:grpSpPr>
                      <wps:wsp>
                        <wps:cNvPr id="3128" name="Shape 3128"/>
                        <wps:cNvSpPr/>
                        <wps:spPr>
                          <a:xfrm>
                            <a:off x="0" y="0"/>
                            <a:ext cx="0" cy="1015365"/>
                          </a:xfrm>
                          <a:custGeom>
                            <a:avLst/>
                            <a:gdLst/>
                            <a:ahLst/>
                            <a:cxnLst/>
                            <a:rect l="0" t="0" r="0" b="0"/>
                            <a:pathLst>
                              <a:path h="1015365">
                                <a:moveTo>
                                  <a:pt x="0" y="10153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s:wsp>
                        <wps:cNvPr id="3130" name="Shape 3130"/>
                        <wps:cNvSpPr/>
                        <wps:spPr>
                          <a:xfrm>
                            <a:off x="0" y="0"/>
                            <a:ext cx="0" cy="1015365"/>
                          </a:xfrm>
                          <a:custGeom>
                            <a:avLst/>
                            <a:gdLst/>
                            <a:ahLst/>
                            <a:cxnLst/>
                            <a:rect l="0" t="0" r="0" b="0"/>
                            <a:pathLst>
                              <a:path h="1015365">
                                <a:moveTo>
                                  <a:pt x="0" y="10153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913" style="width:3pt;height:79.95pt;position:absolute;mso-position-horizontal-relative:text;mso-position-horizontal:absolute;margin-left:10.4pt;mso-position-vertical-relative:text;margin-top:-1.66138pt;" coordsize="381,10153">
                <v:shape id="Shape 3128" style="position:absolute;width:0;height:10153;left:0;top:0;" coordsize="0,1015365" path="m0,1015365l0,0">
                  <v:stroke weight="3pt" endcap="flat" joinstyle="round" on="true" color="#1f3864"/>
                  <v:fill on="false" color="#000000" opacity="0"/>
                </v:shape>
                <v:shape id="Shape 3130" style="position:absolute;width:0;height:10153;left:0;top:0;" coordsize="0,1015365" path="m0,1015365l0,0">
                  <v:stroke weight="3pt" endcap="flat" joinstyle="round" on="true" color="#1f3864"/>
                  <v:fill on="false" color="#000000" opacity="0"/>
                </v:shape>
                <w10:wrap type="square"/>
              </v:group>
            </w:pict>
          </mc:Fallback>
        </mc:AlternateContent>
      </w:r>
      <w:r>
        <w:rPr>
          <w:i/>
          <w:color w:val="1F3864"/>
          <w:sz w:val="24"/>
        </w:rPr>
        <w:t>The dealerships that navigate structural change successfully share one characteristic. Their leaders made the decision with conviction, communicated it with transparency, and held the direction under pressure. That is not a management technique. It is a leadership choice.</w:t>
      </w:r>
    </w:p>
    <w:p w14:paraId="676C462D" w14:textId="77777777" w:rsidR="004A19CA" w:rsidRDefault="00673B00">
      <w:pPr>
        <w:ind w:left="-5" w:right="9"/>
      </w:pPr>
      <w:r>
        <w:t>Section 12 closes the paper with the argument for making it.</w:t>
      </w:r>
    </w:p>
    <w:p w14:paraId="3FCD0A75" w14:textId="77777777" w:rsidR="004A19CA" w:rsidRDefault="00673B00">
      <w:pPr>
        <w:pStyle w:val="Heading1"/>
        <w:ind w:left="-5"/>
      </w:pPr>
      <w:r>
        <w:t>12   Conclusion: The Technician Is the Brand</w:t>
      </w:r>
    </w:p>
    <w:p w14:paraId="381709BD" w14:textId="77777777" w:rsidR="004A19CA" w:rsidRDefault="00673B00">
      <w:pPr>
        <w:ind w:left="-5" w:right="9"/>
      </w:pPr>
      <w:r>
        <w:t xml:space="preserve">This paper has argued that technician compensation should be treated as a strategic </w:t>
      </w:r>
      <w:r>
        <w:t>design variable rather than a narrow payroll mechanism. Compensation structures determine what technicians are rewarded to prioritize, and those priorities shape customer experience, repair quality, service retention, and ultimately dealership economics.</w:t>
      </w:r>
    </w:p>
    <w:p w14:paraId="66DD6C54" w14:textId="77777777" w:rsidR="004A19CA" w:rsidRDefault="00673B00">
      <w:pPr>
        <w:ind w:left="-5" w:right="9"/>
      </w:pPr>
      <w:r>
        <w:t>The central claim is not that flat-rate compensation has never been effective. It worked. It built an industry. In a market where customer loyalty was captive and alternatives were limited, it was sufficient. The claim is that a system designed for routine, volume-oriented work is now misaligned with a service environment defined by diagnostic complexity, expectation-sensitive customers, and intensified competition for post-sale loyalty.</w:t>
      </w:r>
    </w:p>
    <w:p w14:paraId="5791B618" w14:textId="77777777" w:rsidR="004A19CA" w:rsidRDefault="00673B00">
      <w:pPr>
        <w:ind w:left="-5" w:right="9"/>
      </w:pPr>
      <w:r>
        <w:t>The evidence assembled here supports that conclusion from three directions. Market data documents declining dealership service retention even as per-transaction revenue sets records. Behavioral research shows that piece-rate pressure distorts performance in cognitively complex work. And financial modeling identifies plausible, conservatively stated returns to reform.</w:t>
      </w:r>
    </w:p>
    <w:p w14:paraId="0C039FEC" w14:textId="77777777" w:rsidR="004A19CA" w:rsidRDefault="00673B00">
      <w:pPr>
        <w:ind w:left="-5" w:right="9"/>
      </w:pPr>
      <w:r>
        <w:t>The question was never whether flat rate worked. The question is whether it is still the right answer for the work the modern service department actually performs: complex diagnostics, trust-dependent communication, and longitudinal relationship building with an aging vehicle population that has more options than ever and less patience for being surprised. For that work, the evidence points one direction. The implication is not that performance incentives should be removed. It is that the incentive structur</w:t>
      </w:r>
      <w:r>
        <w:t>e should be redesigned to reward the outcomes the dealership is actually trying to produce.</w:t>
      </w:r>
    </w:p>
    <w:p w14:paraId="021AD51D" w14:textId="77777777" w:rsidR="004A19CA" w:rsidRDefault="00673B00">
      <w:pPr>
        <w:ind w:left="-5" w:right="9"/>
      </w:pPr>
      <w:r>
        <w:t>The five models in Section 9 are alternative implementations of one design principle: compensation should reward the outcomes that create durable service relationships while preserving operational discipline. Among them, the Full-Cycle Model is recommended precisely because it does not choose between income stability and performance incentive. It builds both. It connects the technician’s earnings to the customer’s return, to the quality of the repair, to the advancement of their career, and to the productio</w:t>
      </w:r>
      <w:r>
        <w:t>n efficiency the store needs to be profitable. That is not a compromise. That is a better design.</w:t>
      </w:r>
    </w:p>
    <w:p w14:paraId="5A6E6BBC" w14:textId="77777777" w:rsidR="004A19CA" w:rsidRDefault="00673B00">
      <w:pPr>
        <w:ind w:left="-5" w:right="9"/>
      </w:pPr>
      <w:r>
        <w:t>The principal implementation challenge is not conceptual but managerial. Reform requires leadership willing to absorb transition friction, monitor early margin pressure, and sustain the change long enough for behavioral and retention effects to materialize. The conclusion is therefore deliberately practical: technician compensation design warrants treatment as a strategic fixed-operations decision with measurable implications for trust, retention, and long-term store performance.</w:t>
      </w:r>
    </w:p>
    <w:p w14:paraId="5927FFF6" w14:textId="77777777" w:rsidR="004A19CA" w:rsidRDefault="00673B00">
      <w:pPr>
        <w:spacing w:after="227"/>
        <w:ind w:left="-5" w:right="9"/>
      </w:pPr>
      <w:r>
        <w:t>There is one idea worth carrying out of this paper above the rest. Every system returns what it is built to reward. Pay for speed, and speed is what arrives. Pay for the returning customer, the resolved diagnosis, and the trust that survives the invoice, and those become the behaviors that compound. We learned it on the factory floor, and we are relearning it now in the machines we train to think. When a measure becomes the target, it stops measuring the thing we cared about. So choose the measure with that</w:t>
      </w:r>
      <w:r>
        <w:t xml:space="preserve"> in mind. The technician in bay seven will give you exactly what you pay them for. The only question is whether you have decided what that should be.</w:t>
      </w:r>
    </w:p>
    <w:p w14:paraId="6E936A17" w14:textId="77777777" w:rsidR="004A19CA" w:rsidRDefault="00673B00">
      <w:pPr>
        <w:tabs>
          <w:tab w:val="center" w:pos="3214"/>
        </w:tabs>
        <w:spacing w:after="0" w:line="261" w:lineRule="auto"/>
        <w:ind w:left="0" w:right="0" w:firstLine="0"/>
        <w:jc w:val="left"/>
      </w:pPr>
      <w:r>
        <w:rPr>
          <w:noProof/>
        </w:rPr>
        <mc:AlternateContent>
          <mc:Choice Requires="wpg">
            <w:drawing>
              <wp:inline distT="0" distB="0" distL="0" distR="0" wp14:anchorId="5017599A" wp14:editId="2AD541D0">
                <wp:extent cx="38100" cy="202565"/>
                <wp:effectExtent l="0" t="0" r="0" b="0"/>
                <wp:docPr id="40361" name="Group 40361"/>
                <wp:cNvGraphicFramePr/>
                <a:graphic xmlns:a="http://schemas.openxmlformats.org/drawingml/2006/main">
                  <a:graphicData uri="http://schemas.microsoft.com/office/word/2010/wordprocessingGroup">
                    <wpg:wgp>
                      <wpg:cNvGrpSpPr/>
                      <wpg:grpSpPr>
                        <a:xfrm>
                          <a:off x="0" y="0"/>
                          <a:ext cx="38100" cy="202565"/>
                          <a:chOff x="0" y="0"/>
                          <a:chExt cx="38100" cy="202565"/>
                        </a:xfrm>
                      </wpg:grpSpPr>
                      <wps:wsp>
                        <wps:cNvPr id="3237" name="Shape 3237"/>
                        <wps:cNvSpPr/>
                        <wps:spPr>
                          <a:xfrm>
                            <a:off x="0" y="0"/>
                            <a:ext cx="0" cy="202565"/>
                          </a:xfrm>
                          <a:custGeom>
                            <a:avLst/>
                            <a:gdLst/>
                            <a:ahLst/>
                            <a:cxnLst/>
                            <a:rect l="0" t="0" r="0" b="0"/>
                            <a:pathLst>
                              <a:path h="202565">
                                <a:moveTo>
                                  <a:pt x="0" y="2025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s:wsp>
                        <wps:cNvPr id="3239" name="Shape 3239"/>
                        <wps:cNvSpPr/>
                        <wps:spPr>
                          <a:xfrm>
                            <a:off x="0" y="0"/>
                            <a:ext cx="0" cy="202565"/>
                          </a:xfrm>
                          <a:custGeom>
                            <a:avLst/>
                            <a:gdLst/>
                            <a:ahLst/>
                            <a:cxnLst/>
                            <a:rect l="0" t="0" r="0" b="0"/>
                            <a:pathLst>
                              <a:path h="202565">
                                <a:moveTo>
                                  <a:pt x="0" y="202565"/>
                                </a:moveTo>
                                <a:lnTo>
                                  <a:pt x="0" y="0"/>
                                </a:lnTo>
                              </a:path>
                            </a:pathLst>
                          </a:custGeom>
                          <a:ln w="38100" cap="flat">
                            <a:round/>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361" style="width:3pt;height:15.95pt;mso-position-horizontal-relative:char;mso-position-vertical-relative:line" coordsize="381,2025">
                <v:shape id="Shape 3237" style="position:absolute;width:0;height:2025;left:0;top:0;" coordsize="0,202565" path="m0,202565l0,0">
                  <v:stroke weight="3pt" endcap="flat" joinstyle="round" on="true" color="#1f3864"/>
                  <v:fill on="false" color="#000000" opacity="0"/>
                </v:shape>
                <v:shape id="Shape 3239" style="position:absolute;width:0;height:2025;left:0;top:0;" coordsize="0,202565" path="m0,202565l0,0">
                  <v:stroke weight="3pt" endcap="flat" joinstyle="round" on="true" color="#1f3864"/>
                  <v:fill on="false" color="#000000" opacity="0"/>
                </v:shape>
              </v:group>
            </w:pict>
          </mc:Fallback>
        </mc:AlternateContent>
      </w:r>
      <w:r>
        <w:rPr>
          <w:i/>
          <w:color w:val="1F3864"/>
          <w:sz w:val="24"/>
        </w:rPr>
        <w:tab/>
        <w:t>The technician is the brand. Pay them like it.</w:t>
      </w:r>
      <w:r>
        <w:br w:type="page"/>
      </w:r>
    </w:p>
    <w:p w14:paraId="2859D983" w14:textId="77777777" w:rsidR="004A19CA" w:rsidRDefault="00673B00">
      <w:pPr>
        <w:pStyle w:val="Heading1"/>
        <w:ind w:left="-5"/>
      </w:pPr>
      <w:r>
        <w:t>13   References</w:t>
      </w:r>
    </w:p>
    <w:p w14:paraId="19FA3276" w14:textId="77777777" w:rsidR="004A19CA" w:rsidRDefault="00673B00">
      <w:pPr>
        <w:spacing w:after="148" w:line="267" w:lineRule="auto"/>
        <w:ind w:left="-15" w:right="27" w:firstLine="0"/>
        <w:jc w:val="left"/>
      </w:pPr>
      <w:r>
        <w:rPr>
          <w:sz w:val="20"/>
        </w:rPr>
        <w:t xml:space="preserve">Agero. (2021). </w:t>
      </w:r>
      <w:r>
        <w:rPr>
          <w:i/>
          <w:sz w:val="20"/>
        </w:rPr>
        <w:t>Building customer loyalty at each stage of the automotive lifecycle.</w:t>
      </w:r>
      <w:r>
        <w:rPr>
          <w:sz w:val="20"/>
        </w:rPr>
        <w:t xml:space="preserve"> Agero.</w:t>
      </w:r>
    </w:p>
    <w:p w14:paraId="2E6E915D" w14:textId="77777777" w:rsidR="004A19CA" w:rsidRDefault="00673B00">
      <w:pPr>
        <w:spacing w:after="148" w:line="267" w:lineRule="auto"/>
        <w:ind w:left="715" w:right="0" w:hanging="730"/>
        <w:jc w:val="left"/>
      </w:pPr>
      <w:r>
        <w:rPr>
          <w:sz w:val="20"/>
        </w:rPr>
        <w:t xml:space="preserve">Ariely, D., Gneezy, U., Loewenstein, G., &amp; Mazar, N. (2009). Large stakes and big mistakes. </w:t>
      </w:r>
      <w:r>
        <w:rPr>
          <w:i/>
          <w:sz w:val="20"/>
        </w:rPr>
        <w:t>Review of Economic Studies, 76</w:t>
      </w:r>
      <w:r>
        <w:rPr>
          <w:sz w:val="20"/>
        </w:rPr>
        <w:t>(2), 451–469.</w:t>
      </w:r>
    </w:p>
    <w:p w14:paraId="62CB74F9" w14:textId="77777777" w:rsidR="004A19CA" w:rsidRDefault="00673B00">
      <w:pPr>
        <w:spacing w:after="148" w:line="267" w:lineRule="auto"/>
        <w:ind w:left="715" w:right="0" w:hanging="730"/>
        <w:jc w:val="left"/>
      </w:pPr>
      <w:r>
        <w:rPr>
          <w:sz w:val="20"/>
        </w:rPr>
        <w:t xml:space="preserve">Cox Automotive. (2025a). </w:t>
      </w:r>
      <w:r>
        <w:rPr>
          <w:i/>
          <w:sz w:val="20"/>
        </w:rPr>
        <w:t>Cox Automotive Service Industry Study</w:t>
      </w:r>
      <w:r>
        <w:rPr>
          <w:sz w:val="20"/>
        </w:rPr>
        <w:t xml:space="preserve"> (fielded April–May 2025; n = 1,974 vehicle owners). Cox Automotive.</w:t>
      </w:r>
    </w:p>
    <w:p w14:paraId="32536CA5" w14:textId="77777777" w:rsidR="004A19CA" w:rsidRDefault="00673B00">
      <w:pPr>
        <w:spacing w:after="173" w:line="267" w:lineRule="auto"/>
        <w:ind w:left="715" w:right="0" w:hanging="730"/>
        <w:jc w:val="left"/>
      </w:pPr>
      <w:r>
        <w:rPr>
          <w:sz w:val="20"/>
        </w:rPr>
        <w:t xml:space="preserve">Cox Automotive. (2025b, November 11). New Cox Automotive study finds dealerships have lost 12% of service visits to competition since 2018. </w:t>
      </w:r>
      <w:r>
        <w:rPr>
          <w:i/>
          <w:sz w:val="20"/>
        </w:rPr>
        <w:t>Cox Automotive Insights.</w:t>
      </w:r>
      <w:r>
        <w:rPr>
          <w:sz w:val="20"/>
        </w:rPr>
        <w:t xml:space="preserve"> </w:t>
      </w:r>
      <w:hyperlink r:id="rId7">
        <w:r>
          <w:rPr>
            <w:color w:val="1155CC"/>
            <w:sz w:val="18"/>
            <w:u w:val="single" w:color="1155CC"/>
          </w:rPr>
          <w:t>https://www.coxautoinc.com/insights/new-cox-automotive-study-finds-dealerships-have-lost</w:t>
        </w:r>
      </w:hyperlink>
      <w:hyperlink r:id="rId8">
        <w:r>
          <w:rPr>
            <w:color w:val="1155CC"/>
            <w:sz w:val="18"/>
            <w:u w:val="single" w:color="1155CC"/>
          </w:rPr>
          <w:t>12-of-service-visits-to-competition-since-2018/</w:t>
        </w:r>
      </w:hyperlink>
    </w:p>
    <w:p w14:paraId="457BB6E7" w14:textId="77777777" w:rsidR="004A19CA" w:rsidRDefault="00673B00">
      <w:pPr>
        <w:spacing w:after="146" w:line="302" w:lineRule="auto"/>
        <w:ind w:left="720" w:right="0" w:hanging="720"/>
        <w:jc w:val="left"/>
      </w:pPr>
      <w:r>
        <w:rPr>
          <w:sz w:val="20"/>
        </w:rPr>
        <w:t xml:space="preserve">Cox Automotive. (2026a, April 9). Dealerships capture record fixed ops revenue but lose market share as customers drift to general repair, according to Cox Automotive study. </w:t>
      </w:r>
      <w:r>
        <w:rPr>
          <w:i/>
          <w:sz w:val="20"/>
        </w:rPr>
        <w:t>Cox Automotive Insights.</w:t>
      </w:r>
      <w:hyperlink r:id="rId9">
        <w:r>
          <w:rPr>
            <w:sz w:val="20"/>
          </w:rPr>
          <w:t xml:space="preserve"> </w:t>
        </w:r>
      </w:hyperlink>
      <w:hyperlink r:id="rId10">
        <w:r>
          <w:rPr>
            <w:color w:val="1155CC"/>
            <w:sz w:val="18"/>
            <w:u w:val="single" w:color="1155CC"/>
          </w:rPr>
          <w:t>https://www.coxautoinc.com/insights/dealerships-capture</w:t>
        </w:r>
      </w:hyperlink>
      <w:hyperlink r:id="rId11">
        <w:r>
          <w:rPr>
            <w:color w:val="1155CC"/>
            <w:sz w:val="18"/>
            <w:u w:val="single" w:color="1155CC"/>
          </w:rPr>
          <w:t>record-fixed-ops-revenue-but-lose-market-share-as-customers-drift-to-general-repair</w:t>
        </w:r>
      </w:hyperlink>
      <w:hyperlink r:id="rId12">
        <w:r>
          <w:rPr>
            <w:color w:val="1155CC"/>
            <w:sz w:val="18"/>
            <w:u w:val="single" w:color="1155CC"/>
          </w:rPr>
          <w:t>according-to-cox-automotive-study/</w:t>
        </w:r>
      </w:hyperlink>
    </w:p>
    <w:p w14:paraId="3624A844" w14:textId="77777777" w:rsidR="004A19CA" w:rsidRDefault="00673B00">
      <w:pPr>
        <w:spacing w:after="148" w:line="267" w:lineRule="auto"/>
        <w:ind w:left="715" w:right="0" w:hanging="730"/>
        <w:jc w:val="left"/>
      </w:pPr>
      <w:r>
        <w:rPr>
          <w:sz w:val="20"/>
        </w:rPr>
        <w:t xml:space="preserve">Cox Automotive. (2026b). </w:t>
      </w:r>
      <w:r>
        <w:rPr>
          <w:i/>
          <w:sz w:val="20"/>
        </w:rPr>
        <w:t>2026 Fixed Operations and Ownership Study</w:t>
      </w:r>
      <w:r>
        <w:rPr>
          <w:sz w:val="20"/>
        </w:rPr>
        <w:t xml:space="preserve"> (500 dealership fixed-ops decision makers; 2,500 consumers). Cox Automotive.</w:t>
      </w:r>
    </w:p>
    <w:p w14:paraId="37580535" w14:textId="77777777" w:rsidR="004A19CA" w:rsidRDefault="00673B00">
      <w:pPr>
        <w:spacing w:after="148" w:line="267" w:lineRule="auto"/>
        <w:ind w:left="715" w:right="0" w:hanging="730"/>
        <w:jc w:val="left"/>
      </w:pPr>
      <w:r>
        <w:rPr>
          <w:sz w:val="20"/>
        </w:rPr>
        <w:t xml:space="preserve">Dealership Guy. (2025, December 10). Half of their DMS is inactive: A wakeup call for service drives and how to bring customers back. </w:t>
      </w:r>
      <w:r>
        <w:rPr>
          <w:i/>
          <w:sz w:val="20"/>
        </w:rPr>
        <w:t>Dealership Guy Newsletter.</w:t>
      </w:r>
    </w:p>
    <w:p w14:paraId="46CC8730" w14:textId="77777777" w:rsidR="004A19CA" w:rsidRDefault="00673B00">
      <w:pPr>
        <w:spacing w:after="148" w:line="267" w:lineRule="auto"/>
        <w:ind w:left="715" w:right="27" w:hanging="730"/>
        <w:jc w:val="left"/>
      </w:pPr>
      <w:r>
        <w:rPr>
          <w:sz w:val="20"/>
        </w:rPr>
        <w:t xml:space="preserve">Deci, E. L., &amp; Ryan, R. M. (1985). </w:t>
      </w:r>
      <w:r>
        <w:rPr>
          <w:i/>
          <w:sz w:val="20"/>
        </w:rPr>
        <w:t>Intrinsic motivation and self-determination in human behavior.</w:t>
      </w:r>
      <w:r>
        <w:rPr>
          <w:sz w:val="20"/>
        </w:rPr>
        <w:t xml:space="preserve"> Plenum Press.</w:t>
      </w:r>
    </w:p>
    <w:p w14:paraId="2F6B1A79" w14:textId="77777777" w:rsidR="004A19CA" w:rsidRDefault="00673B00">
      <w:pPr>
        <w:spacing w:after="148" w:line="267" w:lineRule="auto"/>
        <w:ind w:left="715" w:right="0" w:hanging="730"/>
        <w:jc w:val="left"/>
      </w:pPr>
      <w:r>
        <w:rPr>
          <w:sz w:val="20"/>
        </w:rPr>
        <w:t xml:space="preserve">Glucksberg, S. (1962). The influence of strength of drive on functional fixedness and perceptual recognition. </w:t>
      </w:r>
      <w:r>
        <w:rPr>
          <w:i/>
          <w:sz w:val="20"/>
        </w:rPr>
        <w:t>Journal of Experimental Psychology, 63</w:t>
      </w:r>
      <w:r>
        <w:rPr>
          <w:sz w:val="20"/>
        </w:rPr>
        <w:t>(1), 36–41.</w:t>
      </w:r>
    </w:p>
    <w:p w14:paraId="3AE36C39" w14:textId="77777777" w:rsidR="004A19CA" w:rsidRDefault="00673B00">
      <w:pPr>
        <w:spacing w:after="148" w:line="267" w:lineRule="auto"/>
        <w:ind w:left="715" w:right="0" w:hanging="730"/>
        <w:jc w:val="left"/>
      </w:pPr>
      <w:r>
        <w:rPr>
          <w:sz w:val="20"/>
        </w:rPr>
        <w:t xml:space="preserve">Goodhart, C. A. E. (1975). Problems of monetary management: The U.K. experience. In </w:t>
      </w:r>
      <w:r>
        <w:rPr>
          <w:i/>
          <w:sz w:val="20"/>
        </w:rPr>
        <w:t>Papers in Monetary Economics</w:t>
      </w:r>
      <w:r>
        <w:rPr>
          <w:sz w:val="20"/>
        </w:rPr>
        <w:t xml:space="preserve"> (Vol. 1). Reserve Bank of Australia.</w:t>
      </w:r>
    </w:p>
    <w:p w14:paraId="41BB9F7F" w14:textId="77777777" w:rsidR="004A19CA" w:rsidRDefault="00673B00">
      <w:pPr>
        <w:spacing w:after="148" w:line="267" w:lineRule="auto"/>
        <w:ind w:left="-15" w:right="0" w:firstLine="0"/>
        <w:jc w:val="left"/>
      </w:pPr>
      <w:r>
        <w:rPr>
          <w:sz w:val="20"/>
        </w:rPr>
        <w:t xml:space="preserve">Google re:Work Editorial Team. (2015). </w:t>
      </w:r>
      <w:r>
        <w:rPr>
          <w:i/>
          <w:sz w:val="20"/>
        </w:rPr>
        <w:t>Understand team effectiveness.</w:t>
      </w:r>
      <w:r>
        <w:rPr>
          <w:sz w:val="20"/>
        </w:rPr>
        <w:t xml:space="preserve"> re:Work.</w:t>
      </w:r>
    </w:p>
    <w:p w14:paraId="55E2AE57" w14:textId="77777777" w:rsidR="004A19CA" w:rsidRDefault="00673B00">
      <w:pPr>
        <w:spacing w:after="146" w:line="302" w:lineRule="auto"/>
        <w:ind w:left="720" w:right="0" w:hanging="720"/>
        <w:jc w:val="left"/>
      </w:pPr>
      <w:r>
        <w:rPr>
          <w:sz w:val="20"/>
        </w:rPr>
        <w:t xml:space="preserve">Haig Partners. (2025, June). </w:t>
      </w:r>
      <w:r>
        <w:rPr>
          <w:i/>
          <w:sz w:val="20"/>
        </w:rPr>
        <w:t>Insights from the Q1 2025 Haig Report: New vehicle gross profits slide 14% year-over-year, but may be nearing a floor.</w:t>
      </w:r>
      <w:r>
        <w:rPr>
          <w:sz w:val="20"/>
        </w:rPr>
        <w:t xml:space="preserve"> Haig Partners. </w:t>
      </w:r>
      <w:hyperlink r:id="rId13">
        <w:r>
          <w:rPr>
            <w:color w:val="1155CC"/>
            <w:sz w:val="18"/>
            <w:u w:val="single" w:color="1155CC"/>
          </w:rPr>
          <w:t>https://haigpartners.com/resources/insights-from-the-q1-2025-haig-report-new-vehicle-gross</w:t>
        </w:r>
      </w:hyperlink>
      <w:hyperlink r:id="rId14">
        <w:r>
          <w:rPr>
            <w:color w:val="1155CC"/>
            <w:sz w:val="18"/>
            <w:u w:val="single" w:color="1155CC"/>
          </w:rPr>
          <w:t>profits-slide-14-year-over-year-but-may-be-nearing-a-floor/</w:t>
        </w:r>
      </w:hyperlink>
    </w:p>
    <w:p w14:paraId="74472C53" w14:textId="77777777" w:rsidR="004A19CA" w:rsidRDefault="00673B00">
      <w:pPr>
        <w:spacing w:after="10" w:line="267" w:lineRule="auto"/>
        <w:ind w:left="-15" w:right="0" w:firstLine="0"/>
        <w:jc w:val="left"/>
      </w:pPr>
      <w:r>
        <w:rPr>
          <w:sz w:val="20"/>
        </w:rPr>
        <w:t xml:space="preserve">Haig Partners. (2026, Q1). </w:t>
      </w:r>
      <w:r>
        <w:rPr>
          <w:i/>
          <w:sz w:val="20"/>
        </w:rPr>
        <w:t>The Haig Report, Q1 2026.</w:t>
      </w:r>
      <w:r>
        <w:rPr>
          <w:sz w:val="20"/>
        </w:rPr>
        <w:t xml:space="preserve"> Haig Partners. </w:t>
      </w:r>
    </w:p>
    <w:p w14:paraId="697C5B7E" w14:textId="77777777" w:rsidR="004A19CA" w:rsidRDefault="00673B00">
      <w:pPr>
        <w:spacing w:after="146" w:line="302" w:lineRule="auto"/>
        <w:ind w:left="715" w:right="0"/>
        <w:jc w:val="left"/>
      </w:pPr>
      <w:hyperlink r:id="rId15">
        <w:r>
          <w:rPr>
            <w:color w:val="1155CC"/>
            <w:sz w:val="18"/>
            <w:u w:val="single" w:color="1155CC"/>
          </w:rPr>
          <w:t>https://haigpartners.com/haig-report/</w:t>
        </w:r>
      </w:hyperlink>
    </w:p>
    <w:p w14:paraId="62CEEDFA" w14:textId="77777777" w:rsidR="004A19CA" w:rsidRDefault="00673B00">
      <w:pPr>
        <w:spacing w:after="148" w:line="267" w:lineRule="auto"/>
        <w:ind w:left="715" w:right="27" w:hanging="730"/>
        <w:jc w:val="left"/>
      </w:pPr>
      <w:r>
        <w:rPr>
          <w:sz w:val="20"/>
        </w:rPr>
        <w:t xml:space="preserve">Hackman, J. R. (2002). </w:t>
      </w:r>
      <w:r>
        <w:rPr>
          <w:i/>
          <w:sz w:val="20"/>
        </w:rPr>
        <w:t>Leading teams: Setting the stage for great performances.</w:t>
      </w:r>
      <w:r>
        <w:rPr>
          <w:sz w:val="20"/>
        </w:rPr>
        <w:t xml:space="preserve"> Harvard Business School Press.</w:t>
      </w:r>
    </w:p>
    <w:p w14:paraId="378C7DAB" w14:textId="77777777" w:rsidR="004A19CA" w:rsidRDefault="00673B00">
      <w:pPr>
        <w:spacing w:after="10" w:line="267" w:lineRule="auto"/>
        <w:ind w:left="-15" w:right="0" w:firstLine="0"/>
        <w:jc w:val="left"/>
      </w:pPr>
      <w:r>
        <w:rPr>
          <w:sz w:val="20"/>
        </w:rPr>
        <w:t xml:space="preserve">Kahneman, D., &amp; Tversky, A. (1979). Prospect theory: An analysis of decision under risk. </w:t>
      </w:r>
    </w:p>
    <w:p w14:paraId="23BDC78A" w14:textId="77777777" w:rsidR="004A19CA" w:rsidRDefault="00673B00">
      <w:pPr>
        <w:spacing w:after="148" w:line="267" w:lineRule="auto"/>
        <w:ind w:left="720" w:right="27" w:firstLine="0"/>
        <w:jc w:val="left"/>
      </w:pPr>
      <w:r>
        <w:rPr>
          <w:i/>
          <w:sz w:val="20"/>
        </w:rPr>
        <w:t>Econometrica, 47</w:t>
      </w:r>
      <w:r>
        <w:rPr>
          <w:sz w:val="20"/>
        </w:rPr>
        <w:t>(2), 263–291.</w:t>
      </w:r>
    </w:p>
    <w:p w14:paraId="429CB85F" w14:textId="77777777" w:rsidR="004A19CA" w:rsidRDefault="00673B00">
      <w:pPr>
        <w:spacing w:after="173" w:line="267" w:lineRule="auto"/>
        <w:ind w:left="715" w:right="0" w:hanging="730"/>
        <w:jc w:val="left"/>
      </w:pPr>
      <w:r>
        <w:rPr>
          <w:sz w:val="20"/>
        </w:rPr>
        <w:t xml:space="preserve">Krakovna, V., Uesato, J., Mikulik, V., Rahtz, M., Everitt, T., Kumar, R., Kenton, Z., Leike, J., &amp; Legg, S. (2020). </w:t>
      </w:r>
      <w:r>
        <w:rPr>
          <w:i/>
          <w:sz w:val="20"/>
        </w:rPr>
        <w:t>Specification gaming: The flip side of AI ingenuity.</w:t>
      </w:r>
      <w:r>
        <w:rPr>
          <w:sz w:val="20"/>
        </w:rPr>
        <w:t xml:space="preserve"> Google DeepMind.</w:t>
      </w:r>
      <w:hyperlink r:id="rId16">
        <w:r>
          <w:rPr>
            <w:sz w:val="20"/>
          </w:rPr>
          <w:t xml:space="preserve"> </w:t>
        </w:r>
      </w:hyperlink>
      <w:hyperlink r:id="rId17">
        <w:r>
          <w:rPr>
            <w:color w:val="1155CC"/>
            <w:sz w:val="18"/>
            <w:u w:val="single" w:color="1155CC"/>
          </w:rPr>
          <w:t>https://deepmind.google/discover/blog/specification-gaming-the-flip-side-of-ai</w:t>
        </w:r>
      </w:hyperlink>
      <w:hyperlink r:id="rId18">
        <w:r>
          <w:rPr>
            <w:color w:val="1155CC"/>
            <w:sz w:val="18"/>
            <w:u w:val="single" w:color="1155CC"/>
          </w:rPr>
          <w:t>ingenuity/</w:t>
        </w:r>
      </w:hyperlink>
    </w:p>
    <w:p w14:paraId="1159FA0B" w14:textId="77777777" w:rsidR="004A19CA" w:rsidRDefault="00673B00">
      <w:pPr>
        <w:spacing w:after="148" w:line="267" w:lineRule="auto"/>
        <w:ind w:left="715" w:right="27" w:hanging="730"/>
        <w:jc w:val="left"/>
      </w:pPr>
      <w:r>
        <w:rPr>
          <w:sz w:val="20"/>
        </w:rPr>
        <w:t xml:space="preserve">McKinsey &amp; Company. (2025). </w:t>
      </w:r>
      <w:r>
        <w:rPr>
          <w:i/>
          <w:sz w:val="20"/>
        </w:rPr>
        <w:t>Optimizing dealer profitability with a service center tuneup.</w:t>
      </w:r>
      <w:r>
        <w:rPr>
          <w:sz w:val="20"/>
        </w:rPr>
        <w:t xml:space="preserve"> McKinsey &amp; Company.</w:t>
      </w:r>
    </w:p>
    <w:p w14:paraId="43DA3031" w14:textId="77777777" w:rsidR="004A19CA" w:rsidRDefault="00673B00">
      <w:pPr>
        <w:spacing w:after="148" w:line="267" w:lineRule="auto"/>
        <w:ind w:left="715" w:right="27" w:hanging="730"/>
        <w:jc w:val="left"/>
      </w:pPr>
      <w:r>
        <w:rPr>
          <w:sz w:val="20"/>
        </w:rPr>
        <w:t xml:space="preserve">National Automobile Dealers Association. (2016). </w:t>
      </w:r>
      <w:r>
        <w:rPr>
          <w:i/>
          <w:sz w:val="20"/>
        </w:rPr>
        <w:t>NADA Data 2016: Annual financial profile of America’s franchised new-car dealerships.</w:t>
      </w:r>
      <w:r>
        <w:rPr>
          <w:sz w:val="20"/>
        </w:rPr>
        <w:t xml:space="preserve"> NADA.</w:t>
      </w:r>
    </w:p>
    <w:p w14:paraId="2477AA7C" w14:textId="77777777" w:rsidR="004A19CA" w:rsidRDefault="00673B00">
      <w:pPr>
        <w:spacing w:after="148" w:line="267" w:lineRule="auto"/>
        <w:ind w:left="715" w:right="27" w:hanging="730"/>
        <w:jc w:val="left"/>
      </w:pPr>
      <w:r>
        <w:rPr>
          <w:sz w:val="20"/>
        </w:rPr>
        <w:t xml:space="preserve">National Automobile Dealers Association. (2024). </w:t>
      </w:r>
      <w:r>
        <w:rPr>
          <w:i/>
          <w:sz w:val="20"/>
        </w:rPr>
        <w:t>NADA Data 2024: Annual financial profile of America’s franchised new-car dealerships.</w:t>
      </w:r>
      <w:r>
        <w:rPr>
          <w:sz w:val="20"/>
        </w:rPr>
        <w:t xml:space="preserve"> NADA.</w:t>
      </w:r>
    </w:p>
    <w:p w14:paraId="1DD412FE" w14:textId="77777777" w:rsidR="004A19CA" w:rsidRDefault="00673B00">
      <w:pPr>
        <w:spacing w:after="148" w:line="267" w:lineRule="auto"/>
        <w:ind w:left="715" w:right="27" w:hanging="730"/>
        <w:jc w:val="left"/>
      </w:pPr>
      <w:r>
        <w:rPr>
          <w:sz w:val="20"/>
        </w:rPr>
        <w:t xml:space="preserve">National Automobile Dealers Association. (2025a). </w:t>
      </w:r>
      <w:r>
        <w:rPr>
          <w:i/>
          <w:sz w:val="20"/>
        </w:rPr>
        <w:t>2025 NADA Dealership Workforce Study: National and regional trends in compensation, benefits, and retention</w:t>
      </w:r>
      <w:r>
        <w:rPr>
          <w:sz w:val="20"/>
        </w:rPr>
        <w:t xml:space="preserve"> (2024 calendar year data). NADA.</w:t>
      </w:r>
    </w:p>
    <w:p w14:paraId="6BE959BC" w14:textId="77777777" w:rsidR="004A19CA" w:rsidRDefault="00673B00">
      <w:pPr>
        <w:spacing w:after="7" w:line="267" w:lineRule="auto"/>
        <w:ind w:left="715" w:right="27" w:hanging="730"/>
        <w:jc w:val="left"/>
      </w:pPr>
      <w:r>
        <w:rPr>
          <w:sz w:val="20"/>
        </w:rPr>
        <w:t xml:space="preserve">National Automobile Dealers Association. (2025b). </w:t>
      </w:r>
      <w:r>
        <w:rPr>
          <w:i/>
          <w:sz w:val="20"/>
        </w:rPr>
        <w:t>NADA Data 2025: Annual financial profile of America’s franchised new-car dealerships</w:t>
      </w:r>
      <w:r>
        <w:rPr>
          <w:sz w:val="20"/>
        </w:rPr>
        <w:t xml:space="preserve"> (full-year report). NADA. </w:t>
      </w:r>
    </w:p>
    <w:p w14:paraId="72247BBA" w14:textId="77777777" w:rsidR="004A19CA" w:rsidRDefault="00673B00">
      <w:pPr>
        <w:spacing w:after="146" w:line="302" w:lineRule="auto"/>
        <w:ind w:left="715" w:right="0"/>
        <w:jc w:val="left"/>
      </w:pPr>
      <w:hyperlink r:id="rId19">
        <w:r>
          <w:rPr>
            <w:color w:val="1155CC"/>
            <w:sz w:val="18"/>
            <w:u w:val="single" w:color="1155CC"/>
          </w:rPr>
          <w:t>https://www.nada.org/nada/research-data/nada-data</w:t>
        </w:r>
      </w:hyperlink>
    </w:p>
    <w:p w14:paraId="7CAB8747" w14:textId="77777777" w:rsidR="004A19CA" w:rsidRDefault="00673B00">
      <w:pPr>
        <w:spacing w:after="148" w:line="267" w:lineRule="auto"/>
        <w:ind w:left="-15" w:right="27" w:firstLine="0"/>
        <w:jc w:val="left"/>
      </w:pPr>
      <w:r>
        <w:rPr>
          <w:sz w:val="20"/>
        </w:rPr>
        <w:t xml:space="preserve">Pink, D. H. (2009). </w:t>
      </w:r>
      <w:r>
        <w:rPr>
          <w:i/>
          <w:sz w:val="20"/>
        </w:rPr>
        <w:t>Drive: The surprising truth about what motivates us.</w:t>
      </w:r>
      <w:r>
        <w:rPr>
          <w:sz w:val="20"/>
        </w:rPr>
        <w:t xml:space="preserve"> Riverhead Books.</w:t>
      </w:r>
    </w:p>
    <w:p w14:paraId="5B71A09C" w14:textId="77777777" w:rsidR="004A19CA" w:rsidRDefault="00673B00">
      <w:pPr>
        <w:spacing w:after="148" w:line="267" w:lineRule="auto"/>
        <w:ind w:left="715" w:right="0" w:hanging="730"/>
        <w:jc w:val="left"/>
      </w:pPr>
      <w:r>
        <w:rPr>
          <w:sz w:val="20"/>
        </w:rPr>
        <w:t xml:space="preserve">Ryan, R. M., &amp; Deci, E. L. (2000). Self-determination theory and the facilitation of intrinsic motivation, social development, and well-being. </w:t>
      </w:r>
      <w:r>
        <w:rPr>
          <w:i/>
          <w:sz w:val="20"/>
        </w:rPr>
        <w:t>American Psychologist, 55</w:t>
      </w:r>
      <w:r>
        <w:rPr>
          <w:sz w:val="20"/>
        </w:rPr>
        <w:t>(1), 68– 78.</w:t>
      </w:r>
    </w:p>
    <w:p w14:paraId="312B5737" w14:textId="77777777" w:rsidR="004A19CA" w:rsidRDefault="00673B00">
      <w:pPr>
        <w:spacing w:after="23" w:line="267" w:lineRule="auto"/>
        <w:ind w:left="-15" w:right="27" w:firstLine="0"/>
        <w:jc w:val="left"/>
      </w:pPr>
      <w:r>
        <w:rPr>
          <w:sz w:val="20"/>
        </w:rPr>
        <w:t xml:space="preserve">S&amp;P Global Mobility. (2025, May 21). </w:t>
      </w:r>
      <w:r>
        <w:rPr>
          <w:i/>
          <w:sz w:val="20"/>
        </w:rPr>
        <w:t>U.S. vehicle age rises again to 12.8 years in 2025.</w:t>
      </w:r>
      <w:r>
        <w:rPr>
          <w:sz w:val="20"/>
        </w:rPr>
        <w:t xml:space="preserve"> </w:t>
      </w:r>
    </w:p>
    <w:p w14:paraId="66BDAAF3" w14:textId="77777777" w:rsidR="004A19CA" w:rsidRDefault="00673B00">
      <w:pPr>
        <w:spacing w:after="146" w:line="302" w:lineRule="auto"/>
        <w:ind w:left="715" w:right="0"/>
        <w:jc w:val="left"/>
      </w:pPr>
      <w:r>
        <w:rPr>
          <w:sz w:val="20"/>
        </w:rPr>
        <w:t>S&amp;P Global Mobility.</w:t>
      </w:r>
      <w:hyperlink r:id="rId20">
        <w:r>
          <w:rPr>
            <w:sz w:val="20"/>
          </w:rPr>
          <w:t xml:space="preserve"> </w:t>
        </w:r>
      </w:hyperlink>
      <w:hyperlink r:id="rId21">
        <w:r>
          <w:rPr>
            <w:color w:val="1155CC"/>
            <w:sz w:val="18"/>
            <w:u w:val="single" w:color="1155CC"/>
          </w:rPr>
          <w:t>https://press.spglobal.com/2025-05-21-U-S-Vehicle-Age-Rises-Again</w:t>
        </w:r>
      </w:hyperlink>
      <w:hyperlink r:id="rId22">
        <w:r>
          <w:rPr>
            <w:color w:val="1155CC"/>
            <w:sz w:val="18"/>
            <w:u w:val="single" w:color="1155CC"/>
          </w:rPr>
          <w:t>to-12-8-Years-in-2025,-According-to-S-P-Global-Mobility</w:t>
        </w:r>
      </w:hyperlink>
    </w:p>
    <w:p w14:paraId="1554218B" w14:textId="77777777" w:rsidR="004A19CA" w:rsidRDefault="00673B00">
      <w:pPr>
        <w:spacing w:after="148" w:line="267" w:lineRule="auto"/>
        <w:ind w:left="715" w:right="0" w:hanging="730"/>
        <w:jc w:val="left"/>
      </w:pPr>
      <w:r>
        <w:rPr>
          <w:sz w:val="20"/>
        </w:rPr>
        <w:t xml:space="preserve">Strathern, M. (1997). “Improving ratings”: Audit in the British university system. </w:t>
      </w:r>
      <w:r>
        <w:rPr>
          <w:i/>
          <w:sz w:val="20"/>
        </w:rPr>
        <w:t>European Review, 5</w:t>
      </w:r>
      <w:r>
        <w:rPr>
          <w:sz w:val="20"/>
        </w:rPr>
        <w:t>(3), 305–321.</w:t>
      </w:r>
    </w:p>
    <w:p w14:paraId="57978F3C" w14:textId="77777777" w:rsidR="004A19CA" w:rsidRDefault="00673B00">
      <w:pPr>
        <w:spacing w:after="148" w:line="267" w:lineRule="auto"/>
        <w:ind w:left="-15" w:right="0" w:firstLine="0"/>
        <w:jc w:val="left"/>
      </w:pPr>
      <w:r>
        <w:rPr>
          <w:sz w:val="20"/>
        </w:rPr>
        <w:t xml:space="preserve">Taylor, F. W. (1911). </w:t>
      </w:r>
      <w:r>
        <w:rPr>
          <w:i/>
          <w:sz w:val="20"/>
        </w:rPr>
        <w:t>The principles of scientific management.</w:t>
      </w:r>
      <w:r>
        <w:rPr>
          <w:sz w:val="20"/>
        </w:rPr>
        <w:t xml:space="preserve"> Harper &amp; Brothers.</w:t>
      </w:r>
    </w:p>
    <w:p w14:paraId="6C5EE469" w14:textId="77777777" w:rsidR="004A19CA" w:rsidRDefault="00673B00">
      <w:pPr>
        <w:spacing w:after="10" w:line="267" w:lineRule="auto"/>
        <w:ind w:left="-15" w:right="27" w:firstLine="0"/>
        <w:jc w:val="left"/>
      </w:pPr>
      <w:r>
        <w:rPr>
          <w:sz w:val="20"/>
        </w:rPr>
        <w:t xml:space="preserve">U.S. Bureau of Labor Statistics. (2025). </w:t>
      </w:r>
      <w:r>
        <w:rPr>
          <w:i/>
          <w:sz w:val="20"/>
        </w:rPr>
        <w:t xml:space="preserve">Occupational employment and wage statistics: May </w:t>
      </w:r>
    </w:p>
    <w:p w14:paraId="0F6D7467" w14:textId="77777777" w:rsidR="004A19CA" w:rsidRDefault="00673B00">
      <w:pPr>
        <w:spacing w:after="148" w:line="267" w:lineRule="auto"/>
        <w:ind w:left="720" w:right="27" w:firstLine="0"/>
        <w:jc w:val="left"/>
      </w:pPr>
      <w:r>
        <w:rPr>
          <w:i/>
          <w:sz w:val="20"/>
        </w:rPr>
        <w:t>2024 national occupational employment and wage estimates.</w:t>
      </w:r>
      <w:r>
        <w:rPr>
          <w:sz w:val="20"/>
        </w:rPr>
        <w:t xml:space="preserve"> U.S. Department of Labor.</w:t>
      </w:r>
      <w:hyperlink r:id="rId23">
        <w:r>
          <w:rPr>
            <w:sz w:val="20"/>
          </w:rPr>
          <w:t xml:space="preserve"> </w:t>
        </w:r>
      </w:hyperlink>
      <w:hyperlink r:id="rId24">
        <w:r>
          <w:rPr>
            <w:color w:val="1155CC"/>
            <w:sz w:val="18"/>
            <w:u w:val="single" w:color="1155CC"/>
          </w:rPr>
          <w:t>https://www.bls.gov/oes/</w:t>
        </w:r>
      </w:hyperlink>
    </w:p>
    <w:p w14:paraId="75174864" w14:textId="77777777" w:rsidR="004A19CA" w:rsidRDefault="00673B00">
      <w:pPr>
        <w:spacing w:after="7" w:line="267" w:lineRule="auto"/>
        <w:ind w:left="715" w:right="0" w:hanging="730"/>
        <w:jc w:val="left"/>
      </w:pPr>
      <w:r>
        <w:rPr>
          <w:sz w:val="20"/>
        </w:rPr>
        <w:t xml:space="preserve">U.S. Bureau of Labor Statistics. (2025, September 16). Automotive service technicians and mechanics. In </w:t>
      </w:r>
      <w:r>
        <w:rPr>
          <w:i/>
          <w:sz w:val="20"/>
        </w:rPr>
        <w:t>Occupational Outlook Handbook.</w:t>
      </w:r>
      <w:r>
        <w:rPr>
          <w:sz w:val="20"/>
        </w:rPr>
        <w:t xml:space="preserve"> U.S. Department of Labor. </w:t>
      </w:r>
    </w:p>
    <w:p w14:paraId="19410E48" w14:textId="77777777" w:rsidR="004A19CA" w:rsidRDefault="00673B00">
      <w:pPr>
        <w:spacing w:after="146" w:line="302" w:lineRule="auto"/>
        <w:ind w:left="715" w:right="0"/>
        <w:jc w:val="left"/>
      </w:pPr>
      <w:hyperlink r:id="rId25">
        <w:r>
          <w:rPr>
            <w:color w:val="1155CC"/>
            <w:sz w:val="18"/>
            <w:u w:val="single" w:color="1155CC"/>
          </w:rPr>
          <w:t>https://www.bls.gov/ooh/installation-maintenance-and-repair/automotive-service-technicians</w:t>
        </w:r>
      </w:hyperlink>
      <w:hyperlink r:id="rId26">
        <w:r>
          <w:rPr>
            <w:color w:val="1155CC"/>
            <w:sz w:val="18"/>
            <w:u w:val="single" w:color="1155CC"/>
          </w:rPr>
          <w:t>and-mechanics.htm</w:t>
        </w:r>
      </w:hyperlink>
    </w:p>
    <w:p w14:paraId="6FCD8DA3" w14:textId="77777777" w:rsidR="004A19CA" w:rsidRDefault="00673B00">
      <w:pPr>
        <w:spacing w:after="10" w:line="267" w:lineRule="auto"/>
        <w:ind w:left="-15" w:right="27" w:firstLine="0"/>
        <w:jc w:val="left"/>
      </w:pPr>
      <w:r>
        <w:rPr>
          <w:sz w:val="20"/>
        </w:rPr>
        <w:t xml:space="preserve">ZipRecruiter. (2026, April). </w:t>
      </w:r>
      <w:r>
        <w:rPr>
          <w:i/>
          <w:sz w:val="20"/>
        </w:rPr>
        <w:t>Automotive technician salary in the United States.</w:t>
      </w:r>
      <w:r>
        <w:rPr>
          <w:sz w:val="20"/>
        </w:rPr>
        <w:t xml:space="preserve"> </w:t>
      </w:r>
    </w:p>
    <w:p w14:paraId="3BBF89DF" w14:textId="77777777" w:rsidR="004A19CA" w:rsidRDefault="00673B00">
      <w:pPr>
        <w:spacing w:after="148" w:line="267" w:lineRule="auto"/>
        <w:ind w:left="720" w:right="0" w:firstLine="0"/>
        <w:jc w:val="left"/>
      </w:pPr>
      <w:r>
        <w:rPr>
          <w:sz w:val="20"/>
        </w:rPr>
        <w:t>ZipRecruiter. Retrieved May 2026.</w:t>
      </w:r>
    </w:p>
    <w:sectPr w:rsidR="004A19CA">
      <w:footerReference w:type="even" r:id="rId27"/>
      <w:footerReference w:type="default" r:id="rId28"/>
      <w:footerReference w:type="first" r:id="rId29"/>
      <w:pgSz w:w="12240" w:h="15840"/>
      <w:pgMar w:top="1440" w:right="1428" w:bottom="1452" w:left="1442"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542FE" w14:textId="77777777" w:rsidR="00673B00" w:rsidRDefault="00673B00">
      <w:pPr>
        <w:spacing w:after="0" w:line="240" w:lineRule="auto"/>
      </w:pPr>
      <w:r>
        <w:separator/>
      </w:r>
    </w:p>
  </w:endnote>
  <w:endnote w:type="continuationSeparator" w:id="0">
    <w:p w14:paraId="7FF35789" w14:textId="77777777" w:rsidR="00673B00" w:rsidRDefault="00673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2B4F1" w14:textId="77777777" w:rsidR="004A19CA" w:rsidRDefault="00673B00">
    <w:pPr>
      <w:tabs>
        <w:tab w:val="center" w:pos="8956"/>
      </w:tabs>
      <w:spacing w:after="0" w:line="259" w:lineRule="auto"/>
      <w:ind w:left="0" w:right="0" w:firstLine="0"/>
      <w:jc w:val="left"/>
    </w:pPr>
    <w:r>
      <w:rPr>
        <w:noProof/>
      </w:rPr>
      <mc:AlternateContent>
        <mc:Choice Requires="wpg">
          <w:drawing>
            <wp:anchor distT="0" distB="0" distL="114300" distR="114300" simplePos="0" relativeHeight="251658240" behindDoc="0" locked="0" layoutInCell="1" allowOverlap="1" wp14:anchorId="3CAB8D29" wp14:editId="1C534287">
              <wp:simplePos x="0" y="0"/>
              <wp:positionH relativeFrom="page">
                <wp:posOffset>914400</wp:posOffset>
              </wp:positionH>
              <wp:positionV relativeFrom="page">
                <wp:posOffset>9392285</wp:posOffset>
              </wp:positionV>
              <wp:extent cx="5942965" cy="6350"/>
              <wp:effectExtent l="0" t="0" r="0" b="0"/>
              <wp:wrapSquare wrapText="bothSides"/>
              <wp:docPr id="43049" name="Group 43049"/>
              <wp:cNvGraphicFramePr/>
              <a:graphic xmlns:a="http://schemas.openxmlformats.org/drawingml/2006/main">
                <a:graphicData uri="http://schemas.microsoft.com/office/word/2010/wordprocessingGroup">
                  <wpg:wgp>
                    <wpg:cNvGrpSpPr/>
                    <wpg:grpSpPr>
                      <a:xfrm>
                        <a:off x="0" y="0"/>
                        <a:ext cx="5942965" cy="6350"/>
                        <a:chOff x="0" y="0"/>
                        <a:chExt cx="5942965" cy="6350"/>
                      </a:xfrm>
                    </wpg:grpSpPr>
                    <wps:wsp>
                      <wps:cNvPr id="43050" name="Shape 43050"/>
                      <wps:cNvSpPr/>
                      <wps:spPr>
                        <a:xfrm>
                          <a:off x="0" y="0"/>
                          <a:ext cx="5942965" cy="0"/>
                        </a:xfrm>
                        <a:custGeom>
                          <a:avLst/>
                          <a:gdLst/>
                          <a:ahLst/>
                          <a:cxnLst/>
                          <a:rect l="0" t="0" r="0" b="0"/>
                          <a:pathLst>
                            <a:path w="5942965">
                              <a:moveTo>
                                <a:pt x="0" y="0"/>
                              </a:moveTo>
                              <a:lnTo>
                                <a:pt x="5942965" y="0"/>
                              </a:lnTo>
                            </a:path>
                          </a:pathLst>
                        </a:custGeom>
                        <a:ln w="6350" cap="flat">
                          <a:round/>
                        </a:ln>
                      </wps:spPr>
                      <wps:style>
                        <a:lnRef idx="1">
                          <a:srgbClr val="1F3864"/>
                        </a:lnRef>
                        <a:fillRef idx="0">
                          <a:srgbClr val="000000">
                            <a:alpha val="0"/>
                          </a:srgbClr>
                        </a:fillRef>
                        <a:effectRef idx="0">
                          <a:scrgbClr r="0" g="0" b="0"/>
                        </a:effectRef>
                        <a:fontRef idx="none"/>
                      </wps:style>
                      <wps:bodyPr/>
                    </wps:wsp>
                    <wps:wsp>
                      <wps:cNvPr id="43051" name="Shape 43051"/>
                      <wps:cNvSpPr/>
                      <wps:spPr>
                        <a:xfrm>
                          <a:off x="0" y="0"/>
                          <a:ext cx="5942965" cy="0"/>
                        </a:xfrm>
                        <a:custGeom>
                          <a:avLst/>
                          <a:gdLst/>
                          <a:ahLst/>
                          <a:cxnLst/>
                          <a:rect l="0" t="0" r="0" b="0"/>
                          <a:pathLst>
                            <a:path w="5942965">
                              <a:moveTo>
                                <a:pt x="0" y="0"/>
                              </a:moveTo>
                              <a:lnTo>
                                <a:pt x="5942965" y="0"/>
                              </a:lnTo>
                            </a:path>
                          </a:pathLst>
                        </a:custGeom>
                        <a:ln w="635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049" style="width:467.95pt;height:0.5pt;position:absolute;mso-position-horizontal-relative:page;mso-position-horizontal:absolute;margin-left:72pt;mso-position-vertical-relative:page;margin-top:739.55pt;" coordsize="59429,63">
              <v:shape id="Shape 43050" style="position:absolute;width:59429;height:0;left:0;top:0;" coordsize="5942965,0" path="m0,0l5942965,0">
                <v:stroke weight="0.5pt" endcap="flat" joinstyle="round" on="true" color="#1f3864"/>
                <v:fill on="false" color="#000000" opacity="0"/>
              </v:shape>
              <v:shape id="Shape 43051" style="position:absolute;width:59429;height:0;left:0;top:0;" coordsize="5942965,0" path="m0,0l5942965,0">
                <v:stroke weight="0.5pt" endcap="flat" joinstyle="round" on="true" color="#1f3864"/>
                <v:fill on="false" color="#000000" opacity="0"/>
              </v:shape>
              <w10:wrap type="square"/>
            </v:group>
          </w:pict>
        </mc:Fallback>
      </mc:AlternateContent>
    </w:r>
    <w:r>
      <w:rPr>
        <w:color w:val="595959"/>
        <w:sz w:val="16"/>
      </w:rPr>
      <w:t>Rethinking the Flag  |  The Leadership Pressure Lab</w:t>
    </w:r>
    <w:r>
      <w:rPr>
        <w:color w:val="595959"/>
        <w:sz w:val="16"/>
      </w:rPr>
      <w:tab/>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3E5E" w14:textId="77777777" w:rsidR="004A19CA" w:rsidRDefault="00673B00">
    <w:pPr>
      <w:tabs>
        <w:tab w:val="center" w:pos="8956"/>
      </w:tabs>
      <w:spacing w:after="0" w:line="259" w:lineRule="auto"/>
      <w:ind w:left="0" w:right="0" w:firstLine="0"/>
      <w:jc w:val="left"/>
    </w:pPr>
    <w:r>
      <w:rPr>
        <w:noProof/>
      </w:rPr>
      <mc:AlternateContent>
        <mc:Choice Requires="wpg">
          <w:drawing>
            <wp:anchor distT="0" distB="0" distL="114300" distR="114300" simplePos="0" relativeHeight="251659264" behindDoc="0" locked="0" layoutInCell="1" allowOverlap="1" wp14:anchorId="412BE659" wp14:editId="4C30ABBD">
              <wp:simplePos x="0" y="0"/>
              <wp:positionH relativeFrom="page">
                <wp:posOffset>914400</wp:posOffset>
              </wp:positionH>
              <wp:positionV relativeFrom="page">
                <wp:posOffset>9392285</wp:posOffset>
              </wp:positionV>
              <wp:extent cx="5942965" cy="6350"/>
              <wp:effectExtent l="0" t="0" r="0" b="0"/>
              <wp:wrapSquare wrapText="bothSides"/>
              <wp:docPr id="43038" name="Group 43038"/>
              <wp:cNvGraphicFramePr/>
              <a:graphic xmlns:a="http://schemas.openxmlformats.org/drawingml/2006/main">
                <a:graphicData uri="http://schemas.microsoft.com/office/word/2010/wordprocessingGroup">
                  <wpg:wgp>
                    <wpg:cNvGrpSpPr/>
                    <wpg:grpSpPr>
                      <a:xfrm>
                        <a:off x="0" y="0"/>
                        <a:ext cx="5942965" cy="6350"/>
                        <a:chOff x="0" y="0"/>
                        <a:chExt cx="5942965" cy="6350"/>
                      </a:xfrm>
                    </wpg:grpSpPr>
                    <wps:wsp>
                      <wps:cNvPr id="43039" name="Shape 43039"/>
                      <wps:cNvSpPr/>
                      <wps:spPr>
                        <a:xfrm>
                          <a:off x="0" y="0"/>
                          <a:ext cx="5942965" cy="0"/>
                        </a:xfrm>
                        <a:custGeom>
                          <a:avLst/>
                          <a:gdLst/>
                          <a:ahLst/>
                          <a:cxnLst/>
                          <a:rect l="0" t="0" r="0" b="0"/>
                          <a:pathLst>
                            <a:path w="5942965">
                              <a:moveTo>
                                <a:pt x="0" y="0"/>
                              </a:moveTo>
                              <a:lnTo>
                                <a:pt x="5942965" y="0"/>
                              </a:lnTo>
                            </a:path>
                          </a:pathLst>
                        </a:custGeom>
                        <a:ln w="6350" cap="flat">
                          <a:round/>
                        </a:ln>
                      </wps:spPr>
                      <wps:style>
                        <a:lnRef idx="1">
                          <a:srgbClr val="1F3864"/>
                        </a:lnRef>
                        <a:fillRef idx="0">
                          <a:srgbClr val="000000">
                            <a:alpha val="0"/>
                          </a:srgbClr>
                        </a:fillRef>
                        <a:effectRef idx="0">
                          <a:scrgbClr r="0" g="0" b="0"/>
                        </a:effectRef>
                        <a:fontRef idx="none"/>
                      </wps:style>
                      <wps:bodyPr/>
                    </wps:wsp>
                    <wps:wsp>
                      <wps:cNvPr id="43040" name="Shape 43040"/>
                      <wps:cNvSpPr/>
                      <wps:spPr>
                        <a:xfrm>
                          <a:off x="0" y="0"/>
                          <a:ext cx="5942965" cy="0"/>
                        </a:xfrm>
                        <a:custGeom>
                          <a:avLst/>
                          <a:gdLst/>
                          <a:ahLst/>
                          <a:cxnLst/>
                          <a:rect l="0" t="0" r="0" b="0"/>
                          <a:pathLst>
                            <a:path w="5942965">
                              <a:moveTo>
                                <a:pt x="0" y="0"/>
                              </a:moveTo>
                              <a:lnTo>
                                <a:pt x="5942965" y="0"/>
                              </a:lnTo>
                            </a:path>
                          </a:pathLst>
                        </a:custGeom>
                        <a:ln w="635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038" style="width:467.95pt;height:0.5pt;position:absolute;mso-position-horizontal-relative:page;mso-position-horizontal:absolute;margin-left:72pt;mso-position-vertical-relative:page;margin-top:739.55pt;" coordsize="59429,63">
              <v:shape id="Shape 43039" style="position:absolute;width:59429;height:0;left:0;top:0;" coordsize="5942965,0" path="m0,0l5942965,0">
                <v:stroke weight="0.5pt" endcap="flat" joinstyle="round" on="true" color="#1f3864"/>
                <v:fill on="false" color="#000000" opacity="0"/>
              </v:shape>
              <v:shape id="Shape 43040" style="position:absolute;width:59429;height:0;left:0;top:0;" coordsize="5942965,0" path="m0,0l5942965,0">
                <v:stroke weight="0.5pt" endcap="flat" joinstyle="round" on="true" color="#1f3864"/>
                <v:fill on="false" color="#000000" opacity="0"/>
              </v:shape>
              <w10:wrap type="square"/>
            </v:group>
          </w:pict>
        </mc:Fallback>
      </mc:AlternateContent>
    </w:r>
    <w:r>
      <w:rPr>
        <w:color w:val="595959"/>
        <w:sz w:val="16"/>
      </w:rPr>
      <w:t>Rethinking the Flag  |  The Leadership Pressure Lab</w:t>
    </w:r>
    <w:r>
      <w:rPr>
        <w:color w:val="595959"/>
        <w:sz w:val="16"/>
      </w:rPr>
      <w:tab/>
    </w: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C503E" w14:textId="77777777" w:rsidR="004A19CA" w:rsidRDefault="00673B00">
    <w:pPr>
      <w:tabs>
        <w:tab w:val="center" w:pos="8956"/>
      </w:tabs>
      <w:spacing w:after="0" w:line="259" w:lineRule="auto"/>
      <w:ind w:left="0" w:right="0" w:firstLine="0"/>
      <w:jc w:val="left"/>
    </w:pPr>
    <w:r>
      <w:rPr>
        <w:noProof/>
      </w:rPr>
      <mc:AlternateContent>
        <mc:Choice Requires="wpg">
          <w:drawing>
            <wp:anchor distT="0" distB="0" distL="114300" distR="114300" simplePos="0" relativeHeight="251660288" behindDoc="0" locked="0" layoutInCell="1" allowOverlap="1" wp14:anchorId="02394F79" wp14:editId="6BAA9851">
              <wp:simplePos x="0" y="0"/>
              <wp:positionH relativeFrom="page">
                <wp:posOffset>914400</wp:posOffset>
              </wp:positionH>
              <wp:positionV relativeFrom="page">
                <wp:posOffset>9392285</wp:posOffset>
              </wp:positionV>
              <wp:extent cx="5942965" cy="6350"/>
              <wp:effectExtent l="0" t="0" r="0" b="0"/>
              <wp:wrapSquare wrapText="bothSides"/>
              <wp:docPr id="43027" name="Group 43027"/>
              <wp:cNvGraphicFramePr/>
              <a:graphic xmlns:a="http://schemas.openxmlformats.org/drawingml/2006/main">
                <a:graphicData uri="http://schemas.microsoft.com/office/word/2010/wordprocessingGroup">
                  <wpg:wgp>
                    <wpg:cNvGrpSpPr/>
                    <wpg:grpSpPr>
                      <a:xfrm>
                        <a:off x="0" y="0"/>
                        <a:ext cx="5942965" cy="6350"/>
                        <a:chOff x="0" y="0"/>
                        <a:chExt cx="5942965" cy="6350"/>
                      </a:xfrm>
                    </wpg:grpSpPr>
                    <wps:wsp>
                      <wps:cNvPr id="43028" name="Shape 43028"/>
                      <wps:cNvSpPr/>
                      <wps:spPr>
                        <a:xfrm>
                          <a:off x="0" y="0"/>
                          <a:ext cx="5942965" cy="0"/>
                        </a:xfrm>
                        <a:custGeom>
                          <a:avLst/>
                          <a:gdLst/>
                          <a:ahLst/>
                          <a:cxnLst/>
                          <a:rect l="0" t="0" r="0" b="0"/>
                          <a:pathLst>
                            <a:path w="5942965">
                              <a:moveTo>
                                <a:pt x="0" y="0"/>
                              </a:moveTo>
                              <a:lnTo>
                                <a:pt x="5942965" y="0"/>
                              </a:lnTo>
                            </a:path>
                          </a:pathLst>
                        </a:custGeom>
                        <a:ln w="6350" cap="flat">
                          <a:round/>
                        </a:ln>
                      </wps:spPr>
                      <wps:style>
                        <a:lnRef idx="1">
                          <a:srgbClr val="1F3864"/>
                        </a:lnRef>
                        <a:fillRef idx="0">
                          <a:srgbClr val="000000">
                            <a:alpha val="0"/>
                          </a:srgbClr>
                        </a:fillRef>
                        <a:effectRef idx="0">
                          <a:scrgbClr r="0" g="0" b="0"/>
                        </a:effectRef>
                        <a:fontRef idx="none"/>
                      </wps:style>
                      <wps:bodyPr/>
                    </wps:wsp>
                    <wps:wsp>
                      <wps:cNvPr id="43029" name="Shape 43029"/>
                      <wps:cNvSpPr/>
                      <wps:spPr>
                        <a:xfrm>
                          <a:off x="0" y="0"/>
                          <a:ext cx="5942965" cy="0"/>
                        </a:xfrm>
                        <a:custGeom>
                          <a:avLst/>
                          <a:gdLst/>
                          <a:ahLst/>
                          <a:cxnLst/>
                          <a:rect l="0" t="0" r="0" b="0"/>
                          <a:pathLst>
                            <a:path w="5942965">
                              <a:moveTo>
                                <a:pt x="0" y="0"/>
                              </a:moveTo>
                              <a:lnTo>
                                <a:pt x="5942965" y="0"/>
                              </a:lnTo>
                            </a:path>
                          </a:pathLst>
                        </a:custGeom>
                        <a:ln w="635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027" style="width:467.95pt;height:0.5pt;position:absolute;mso-position-horizontal-relative:page;mso-position-horizontal:absolute;margin-left:72pt;mso-position-vertical-relative:page;margin-top:739.55pt;" coordsize="59429,63">
              <v:shape id="Shape 43028" style="position:absolute;width:59429;height:0;left:0;top:0;" coordsize="5942965,0" path="m0,0l5942965,0">
                <v:stroke weight="0.5pt" endcap="flat" joinstyle="round" on="true" color="#1f3864"/>
                <v:fill on="false" color="#000000" opacity="0"/>
              </v:shape>
              <v:shape id="Shape 43029" style="position:absolute;width:59429;height:0;left:0;top:0;" coordsize="5942965,0" path="m0,0l5942965,0">
                <v:stroke weight="0.5pt" endcap="flat" joinstyle="round" on="true" color="#1f3864"/>
                <v:fill on="false" color="#000000" opacity="0"/>
              </v:shape>
              <w10:wrap type="square"/>
            </v:group>
          </w:pict>
        </mc:Fallback>
      </mc:AlternateContent>
    </w:r>
    <w:r>
      <w:rPr>
        <w:color w:val="595959"/>
        <w:sz w:val="16"/>
      </w:rPr>
      <w:t>Rethinking the Flag  |  The Leadership Pressure Lab</w:t>
    </w:r>
    <w:r>
      <w:rPr>
        <w:color w:val="595959"/>
        <w:sz w:val="16"/>
      </w:rPr>
      <w:tab/>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01256" w14:textId="77777777" w:rsidR="00673B00" w:rsidRDefault="00673B00">
      <w:pPr>
        <w:spacing w:after="0" w:line="240" w:lineRule="auto"/>
      </w:pPr>
      <w:r>
        <w:separator/>
      </w:r>
    </w:p>
  </w:footnote>
  <w:footnote w:type="continuationSeparator" w:id="0">
    <w:p w14:paraId="383C7074" w14:textId="77777777" w:rsidR="00673B00" w:rsidRDefault="00673B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608B5"/>
    <w:multiLevelType w:val="hybridMultilevel"/>
    <w:tmpl w:val="63D41F60"/>
    <w:lvl w:ilvl="0" w:tplc="07B27C3A">
      <w:start w:val="5"/>
      <w:numFmt w:val="decimalZero"/>
      <w:lvlText w:val="%1"/>
      <w:lvlJc w:val="left"/>
      <w:pPr>
        <w:ind w:left="489"/>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1" w:tplc="18F860B4">
      <w:start w:val="1"/>
      <w:numFmt w:val="lowerLetter"/>
      <w:lvlText w:val="%2"/>
      <w:lvlJc w:val="left"/>
      <w:pPr>
        <w:ind w:left="108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2" w:tplc="6EB81F76">
      <w:start w:val="1"/>
      <w:numFmt w:val="lowerRoman"/>
      <w:lvlText w:val="%3"/>
      <w:lvlJc w:val="left"/>
      <w:pPr>
        <w:ind w:left="180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3" w:tplc="5A9464BE">
      <w:start w:val="1"/>
      <w:numFmt w:val="decimal"/>
      <w:lvlText w:val="%4"/>
      <w:lvlJc w:val="left"/>
      <w:pPr>
        <w:ind w:left="252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4" w:tplc="4D38BD6E">
      <w:start w:val="1"/>
      <w:numFmt w:val="lowerLetter"/>
      <w:lvlText w:val="%5"/>
      <w:lvlJc w:val="left"/>
      <w:pPr>
        <w:ind w:left="324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5" w:tplc="B7689668">
      <w:start w:val="1"/>
      <w:numFmt w:val="lowerRoman"/>
      <w:lvlText w:val="%6"/>
      <w:lvlJc w:val="left"/>
      <w:pPr>
        <w:ind w:left="396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6" w:tplc="A4BA1610">
      <w:start w:val="1"/>
      <w:numFmt w:val="decimal"/>
      <w:lvlText w:val="%7"/>
      <w:lvlJc w:val="left"/>
      <w:pPr>
        <w:ind w:left="468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7" w:tplc="CDC48068">
      <w:start w:val="1"/>
      <w:numFmt w:val="lowerLetter"/>
      <w:lvlText w:val="%8"/>
      <w:lvlJc w:val="left"/>
      <w:pPr>
        <w:ind w:left="540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8" w:tplc="84A8C460">
      <w:start w:val="1"/>
      <w:numFmt w:val="lowerRoman"/>
      <w:lvlText w:val="%9"/>
      <w:lvlJc w:val="left"/>
      <w:pPr>
        <w:ind w:left="612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abstractNum>
  <w:abstractNum w:abstractNumId="1" w15:restartNumberingAfterBreak="0">
    <w:nsid w:val="6B351654"/>
    <w:multiLevelType w:val="hybridMultilevel"/>
    <w:tmpl w:val="B0622FB0"/>
    <w:lvl w:ilvl="0" w:tplc="BB3EAE16">
      <w:start w:val="1"/>
      <w:numFmt w:val="decimalZero"/>
      <w:lvlText w:val="%1"/>
      <w:lvlJc w:val="left"/>
      <w:pPr>
        <w:ind w:left="819"/>
      </w:pPr>
      <w:rPr>
        <w:rFonts w:ascii="Calibri" w:eastAsia="Calibri" w:hAnsi="Calibri" w:cs="Calibri"/>
        <w:b/>
        <w:bCs/>
        <w:i w:val="0"/>
        <w:strike w:val="0"/>
        <w:dstrike w:val="0"/>
        <w:color w:val="2E5395"/>
        <w:sz w:val="22"/>
        <w:szCs w:val="22"/>
        <w:u w:val="none" w:color="000000"/>
        <w:bdr w:val="none" w:sz="0" w:space="0" w:color="auto"/>
        <w:shd w:val="clear" w:color="auto" w:fill="auto"/>
        <w:vertAlign w:val="baseline"/>
      </w:rPr>
    </w:lvl>
    <w:lvl w:ilvl="1" w:tplc="22A09E14">
      <w:start w:val="1"/>
      <w:numFmt w:val="lowerLetter"/>
      <w:lvlText w:val="%2"/>
      <w:lvlJc w:val="left"/>
      <w:pPr>
        <w:ind w:left="1440"/>
      </w:pPr>
      <w:rPr>
        <w:rFonts w:ascii="Calibri" w:eastAsia="Calibri" w:hAnsi="Calibri" w:cs="Calibri"/>
        <w:b/>
        <w:bCs/>
        <w:i w:val="0"/>
        <w:strike w:val="0"/>
        <w:dstrike w:val="0"/>
        <w:color w:val="2E5395"/>
        <w:sz w:val="22"/>
        <w:szCs w:val="22"/>
        <w:u w:val="none" w:color="000000"/>
        <w:bdr w:val="none" w:sz="0" w:space="0" w:color="auto"/>
        <w:shd w:val="clear" w:color="auto" w:fill="auto"/>
        <w:vertAlign w:val="baseline"/>
      </w:rPr>
    </w:lvl>
    <w:lvl w:ilvl="2" w:tplc="E7A07C84">
      <w:start w:val="1"/>
      <w:numFmt w:val="lowerRoman"/>
      <w:lvlText w:val="%3"/>
      <w:lvlJc w:val="left"/>
      <w:pPr>
        <w:ind w:left="2160"/>
      </w:pPr>
      <w:rPr>
        <w:rFonts w:ascii="Calibri" w:eastAsia="Calibri" w:hAnsi="Calibri" w:cs="Calibri"/>
        <w:b/>
        <w:bCs/>
        <w:i w:val="0"/>
        <w:strike w:val="0"/>
        <w:dstrike w:val="0"/>
        <w:color w:val="2E5395"/>
        <w:sz w:val="22"/>
        <w:szCs w:val="22"/>
        <w:u w:val="none" w:color="000000"/>
        <w:bdr w:val="none" w:sz="0" w:space="0" w:color="auto"/>
        <w:shd w:val="clear" w:color="auto" w:fill="auto"/>
        <w:vertAlign w:val="baseline"/>
      </w:rPr>
    </w:lvl>
    <w:lvl w:ilvl="3" w:tplc="68B8BA44">
      <w:start w:val="1"/>
      <w:numFmt w:val="decimal"/>
      <w:lvlText w:val="%4"/>
      <w:lvlJc w:val="left"/>
      <w:pPr>
        <w:ind w:left="2880"/>
      </w:pPr>
      <w:rPr>
        <w:rFonts w:ascii="Calibri" w:eastAsia="Calibri" w:hAnsi="Calibri" w:cs="Calibri"/>
        <w:b/>
        <w:bCs/>
        <w:i w:val="0"/>
        <w:strike w:val="0"/>
        <w:dstrike w:val="0"/>
        <w:color w:val="2E5395"/>
        <w:sz w:val="22"/>
        <w:szCs w:val="22"/>
        <w:u w:val="none" w:color="000000"/>
        <w:bdr w:val="none" w:sz="0" w:space="0" w:color="auto"/>
        <w:shd w:val="clear" w:color="auto" w:fill="auto"/>
        <w:vertAlign w:val="baseline"/>
      </w:rPr>
    </w:lvl>
    <w:lvl w:ilvl="4" w:tplc="36060C7A">
      <w:start w:val="1"/>
      <w:numFmt w:val="lowerLetter"/>
      <w:lvlText w:val="%5"/>
      <w:lvlJc w:val="left"/>
      <w:pPr>
        <w:ind w:left="3600"/>
      </w:pPr>
      <w:rPr>
        <w:rFonts w:ascii="Calibri" w:eastAsia="Calibri" w:hAnsi="Calibri" w:cs="Calibri"/>
        <w:b/>
        <w:bCs/>
        <w:i w:val="0"/>
        <w:strike w:val="0"/>
        <w:dstrike w:val="0"/>
        <w:color w:val="2E5395"/>
        <w:sz w:val="22"/>
        <w:szCs w:val="22"/>
        <w:u w:val="none" w:color="000000"/>
        <w:bdr w:val="none" w:sz="0" w:space="0" w:color="auto"/>
        <w:shd w:val="clear" w:color="auto" w:fill="auto"/>
        <w:vertAlign w:val="baseline"/>
      </w:rPr>
    </w:lvl>
    <w:lvl w:ilvl="5" w:tplc="09904776">
      <w:start w:val="1"/>
      <w:numFmt w:val="lowerRoman"/>
      <w:lvlText w:val="%6"/>
      <w:lvlJc w:val="left"/>
      <w:pPr>
        <w:ind w:left="4320"/>
      </w:pPr>
      <w:rPr>
        <w:rFonts w:ascii="Calibri" w:eastAsia="Calibri" w:hAnsi="Calibri" w:cs="Calibri"/>
        <w:b/>
        <w:bCs/>
        <w:i w:val="0"/>
        <w:strike w:val="0"/>
        <w:dstrike w:val="0"/>
        <w:color w:val="2E5395"/>
        <w:sz w:val="22"/>
        <w:szCs w:val="22"/>
        <w:u w:val="none" w:color="000000"/>
        <w:bdr w:val="none" w:sz="0" w:space="0" w:color="auto"/>
        <w:shd w:val="clear" w:color="auto" w:fill="auto"/>
        <w:vertAlign w:val="baseline"/>
      </w:rPr>
    </w:lvl>
    <w:lvl w:ilvl="6" w:tplc="0BBECB80">
      <w:start w:val="1"/>
      <w:numFmt w:val="decimal"/>
      <w:lvlText w:val="%7"/>
      <w:lvlJc w:val="left"/>
      <w:pPr>
        <w:ind w:left="5040"/>
      </w:pPr>
      <w:rPr>
        <w:rFonts w:ascii="Calibri" w:eastAsia="Calibri" w:hAnsi="Calibri" w:cs="Calibri"/>
        <w:b/>
        <w:bCs/>
        <w:i w:val="0"/>
        <w:strike w:val="0"/>
        <w:dstrike w:val="0"/>
        <w:color w:val="2E5395"/>
        <w:sz w:val="22"/>
        <w:szCs w:val="22"/>
        <w:u w:val="none" w:color="000000"/>
        <w:bdr w:val="none" w:sz="0" w:space="0" w:color="auto"/>
        <w:shd w:val="clear" w:color="auto" w:fill="auto"/>
        <w:vertAlign w:val="baseline"/>
      </w:rPr>
    </w:lvl>
    <w:lvl w:ilvl="7" w:tplc="6B540274">
      <w:start w:val="1"/>
      <w:numFmt w:val="lowerLetter"/>
      <w:lvlText w:val="%8"/>
      <w:lvlJc w:val="left"/>
      <w:pPr>
        <w:ind w:left="5760"/>
      </w:pPr>
      <w:rPr>
        <w:rFonts w:ascii="Calibri" w:eastAsia="Calibri" w:hAnsi="Calibri" w:cs="Calibri"/>
        <w:b/>
        <w:bCs/>
        <w:i w:val="0"/>
        <w:strike w:val="0"/>
        <w:dstrike w:val="0"/>
        <w:color w:val="2E5395"/>
        <w:sz w:val="22"/>
        <w:szCs w:val="22"/>
        <w:u w:val="none" w:color="000000"/>
        <w:bdr w:val="none" w:sz="0" w:space="0" w:color="auto"/>
        <w:shd w:val="clear" w:color="auto" w:fill="auto"/>
        <w:vertAlign w:val="baseline"/>
      </w:rPr>
    </w:lvl>
    <w:lvl w:ilvl="8" w:tplc="68FAD7C2">
      <w:start w:val="1"/>
      <w:numFmt w:val="lowerRoman"/>
      <w:lvlText w:val="%9"/>
      <w:lvlJc w:val="left"/>
      <w:pPr>
        <w:ind w:left="6480"/>
      </w:pPr>
      <w:rPr>
        <w:rFonts w:ascii="Calibri" w:eastAsia="Calibri" w:hAnsi="Calibri" w:cs="Calibri"/>
        <w:b/>
        <w:bCs/>
        <w:i w:val="0"/>
        <w:strike w:val="0"/>
        <w:dstrike w:val="0"/>
        <w:color w:val="2E5395"/>
        <w:sz w:val="22"/>
        <w:szCs w:val="22"/>
        <w:u w:val="none" w:color="000000"/>
        <w:bdr w:val="none" w:sz="0" w:space="0" w:color="auto"/>
        <w:shd w:val="clear" w:color="auto" w:fill="auto"/>
        <w:vertAlign w:val="baseline"/>
      </w:rPr>
    </w:lvl>
  </w:abstractNum>
  <w:abstractNum w:abstractNumId="2" w15:restartNumberingAfterBreak="0">
    <w:nsid w:val="6F6954F9"/>
    <w:multiLevelType w:val="hybridMultilevel"/>
    <w:tmpl w:val="23B0956C"/>
    <w:lvl w:ilvl="0" w:tplc="E520A67A">
      <w:start w:val="1"/>
      <w:numFmt w:val="decimalZero"/>
      <w:lvlText w:val="%1"/>
      <w:lvlJc w:val="left"/>
      <w:pPr>
        <w:ind w:left="489"/>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1" w:tplc="19BCA976">
      <w:start w:val="1"/>
      <w:numFmt w:val="lowerLetter"/>
      <w:lvlText w:val="%2"/>
      <w:lvlJc w:val="left"/>
      <w:pPr>
        <w:ind w:left="108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2" w:tplc="9984F482">
      <w:start w:val="1"/>
      <w:numFmt w:val="lowerRoman"/>
      <w:lvlText w:val="%3"/>
      <w:lvlJc w:val="left"/>
      <w:pPr>
        <w:ind w:left="180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3" w:tplc="A8A8BB82">
      <w:start w:val="1"/>
      <w:numFmt w:val="decimal"/>
      <w:lvlText w:val="%4"/>
      <w:lvlJc w:val="left"/>
      <w:pPr>
        <w:ind w:left="252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4" w:tplc="E0B04C5C">
      <w:start w:val="1"/>
      <w:numFmt w:val="lowerLetter"/>
      <w:lvlText w:val="%5"/>
      <w:lvlJc w:val="left"/>
      <w:pPr>
        <w:ind w:left="324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5" w:tplc="C5746E1A">
      <w:start w:val="1"/>
      <w:numFmt w:val="lowerRoman"/>
      <w:lvlText w:val="%6"/>
      <w:lvlJc w:val="left"/>
      <w:pPr>
        <w:ind w:left="396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6" w:tplc="565A3ED6">
      <w:start w:val="1"/>
      <w:numFmt w:val="decimal"/>
      <w:lvlText w:val="%7"/>
      <w:lvlJc w:val="left"/>
      <w:pPr>
        <w:ind w:left="468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7" w:tplc="1BD4F1B8">
      <w:start w:val="1"/>
      <w:numFmt w:val="lowerLetter"/>
      <w:lvlText w:val="%8"/>
      <w:lvlJc w:val="left"/>
      <w:pPr>
        <w:ind w:left="540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8" w:tplc="CFAA3D56">
      <w:start w:val="1"/>
      <w:numFmt w:val="lowerRoman"/>
      <w:lvlText w:val="%9"/>
      <w:lvlJc w:val="left"/>
      <w:pPr>
        <w:ind w:left="612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abstractNum>
  <w:num w:numId="1" w16cid:durableId="1514416539">
    <w:abstractNumId w:val="2"/>
  </w:num>
  <w:num w:numId="2" w16cid:durableId="1139491550">
    <w:abstractNumId w:val="0"/>
  </w:num>
  <w:num w:numId="3" w16cid:durableId="1926374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9CA"/>
    <w:rsid w:val="004A19CA"/>
    <w:rsid w:val="00673B00"/>
    <w:rsid w:val="00C4409D"/>
    <w:rsid w:val="00FE3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466EE"/>
  <w15:docId w15:val="{78EAB12C-2D85-4B30-8ADC-D5D1536BD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64" w:lineRule="auto"/>
      <w:ind w:left="10" w:right="13"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7" w:line="231" w:lineRule="auto"/>
      <w:ind w:left="10" w:hanging="10"/>
      <w:outlineLvl w:val="0"/>
    </w:pPr>
    <w:rPr>
      <w:rFonts w:ascii="Calibri" w:eastAsia="Calibri" w:hAnsi="Calibri" w:cs="Calibri"/>
      <w:b/>
      <w:color w:val="1F3864"/>
      <w:sz w:val="34"/>
    </w:rPr>
  </w:style>
  <w:style w:type="paragraph" w:styleId="Heading2">
    <w:name w:val="heading 2"/>
    <w:next w:val="Normal"/>
    <w:link w:val="Heading2Char"/>
    <w:uiPriority w:val="9"/>
    <w:unhideWhenUsed/>
    <w:qFormat/>
    <w:pPr>
      <w:keepNext/>
      <w:keepLines/>
      <w:spacing w:after="117" w:line="259" w:lineRule="auto"/>
      <w:ind w:left="10" w:hanging="10"/>
      <w:outlineLvl w:val="1"/>
    </w:pPr>
    <w:rPr>
      <w:rFonts w:ascii="Calibri" w:eastAsia="Calibri" w:hAnsi="Calibri" w:cs="Calibri"/>
      <w:b/>
      <w:color w:val="2E5395"/>
      <w:sz w:val="26"/>
    </w:rPr>
  </w:style>
  <w:style w:type="paragraph" w:styleId="Heading3">
    <w:name w:val="heading 3"/>
    <w:next w:val="Normal"/>
    <w:link w:val="Heading3Char"/>
    <w:uiPriority w:val="9"/>
    <w:unhideWhenUsed/>
    <w:qFormat/>
    <w:pPr>
      <w:keepNext/>
      <w:keepLines/>
      <w:spacing w:after="131" w:line="259" w:lineRule="auto"/>
      <w:ind w:left="10" w:hanging="10"/>
      <w:outlineLvl w:val="2"/>
    </w:pPr>
    <w:rPr>
      <w:rFonts w:ascii="Calibri" w:eastAsia="Calibri" w:hAnsi="Calibri" w:cs="Calibri"/>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3"/>
    </w:rPr>
  </w:style>
  <w:style w:type="character" w:customStyle="1" w:styleId="Heading2Char">
    <w:name w:val="Heading 2 Char"/>
    <w:link w:val="Heading2"/>
    <w:rPr>
      <w:rFonts w:ascii="Calibri" w:eastAsia="Calibri" w:hAnsi="Calibri" w:cs="Calibri"/>
      <w:b/>
      <w:color w:val="2E5395"/>
      <w:sz w:val="26"/>
    </w:rPr>
  </w:style>
  <w:style w:type="character" w:customStyle="1" w:styleId="Heading1Char">
    <w:name w:val="Heading 1 Char"/>
    <w:link w:val="Heading1"/>
    <w:rPr>
      <w:rFonts w:ascii="Calibri" w:eastAsia="Calibri" w:hAnsi="Calibri" w:cs="Calibri"/>
      <w:b/>
      <w:color w:val="1F3864"/>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oxautoinc.com/insights/new-cox-automotive-study-finds-dealerships-have-lost-12-of-service-visits-to-competition-since-2018/" TargetMode="External"/><Relationship Id="rId13" Type="http://schemas.openxmlformats.org/officeDocument/2006/relationships/hyperlink" Target="https://haigpartners.com/resources/insights-from-the-q1-2025-haig-report-new-vehicle-gross-profits-slide-14-year-over-year-but-may-be-nearing-a-floor/" TargetMode="External"/><Relationship Id="rId18" Type="http://schemas.openxmlformats.org/officeDocument/2006/relationships/hyperlink" Target="https://deepmind.google/discover/blog/specification-gaming-the-flip-side-of-ai-ingenuity/" TargetMode="External"/><Relationship Id="rId26" Type="http://schemas.openxmlformats.org/officeDocument/2006/relationships/hyperlink" Target="https://www.bls.gov/ooh/installation-maintenance-and-repair/automotive-service-technicians-and-mechanics.htm" TargetMode="External"/><Relationship Id="rId3" Type="http://schemas.openxmlformats.org/officeDocument/2006/relationships/settings" Target="settings.xml"/><Relationship Id="rId21" Type="http://schemas.openxmlformats.org/officeDocument/2006/relationships/hyperlink" Target="https://press.spglobal.com/2025-05-21-U-S-Vehicle-Age-Rises-Again-to-12-8-Years-in-2025,-According-to-S-P-Global-Mobility" TargetMode="External"/><Relationship Id="rId7" Type="http://schemas.openxmlformats.org/officeDocument/2006/relationships/hyperlink" Target="https://www.coxautoinc.com/insights/new-cox-automotive-study-finds-dealerships-have-lost-12-of-service-visits-to-competition-since-2018/" TargetMode="External"/><Relationship Id="rId12" Type="http://schemas.openxmlformats.org/officeDocument/2006/relationships/hyperlink" Target="https://www.coxautoinc.com/insights/dealerships-capture-record-fixed-ops-revenue-but-lose-market-share-as-customers-drift-to-general-repair-according-to-cox-automotive-study/" TargetMode="External"/><Relationship Id="rId17" Type="http://schemas.openxmlformats.org/officeDocument/2006/relationships/hyperlink" Target="https://deepmind.google/discover/blog/specification-gaming-the-flip-side-of-ai-ingenuity/" TargetMode="External"/><Relationship Id="rId25" Type="http://schemas.openxmlformats.org/officeDocument/2006/relationships/hyperlink" Target="https://www.bls.gov/ooh/installation-maintenance-and-repair/automotive-service-technicians-and-mechanics.htm" TargetMode="External"/><Relationship Id="rId2" Type="http://schemas.openxmlformats.org/officeDocument/2006/relationships/styles" Target="styles.xml"/><Relationship Id="rId16" Type="http://schemas.openxmlformats.org/officeDocument/2006/relationships/hyperlink" Target="https://deepmind.google/discover/blog/specification-gaming-the-flip-side-of-ai-ingenuity/" TargetMode="External"/><Relationship Id="rId20" Type="http://schemas.openxmlformats.org/officeDocument/2006/relationships/hyperlink" Target="https://press.spglobal.com/2025-05-21-U-S-Vehicle-Age-Rises-Again-to-12-8-Years-in-2025,-According-to-S-P-Global-Mobility"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xautoinc.com/insights/dealerships-capture-record-fixed-ops-revenue-but-lose-market-share-as-customers-drift-to-general-repair-according-to-cox-automotive-study/" TargetMode="External"/><Relationship Id="rId24" Type="http://schemas.openxmlformats.org/officeDocument/2006/relationships/hyperlink" Target="https://www.bls.gov/oes/" TargetMode="External"/><Relationship Id="rId5" Type="http://schemas.openxmlformats.org/officeDocument/2006/relationships/footnotes" Target="footnotes.xml"/><Relationship Id="rId15" Type="http://schemas.openxmlformats.org/officeDocument/2006/relationships/hyperlink" Target="https://haigpartners.com/haig-report/" TargetMode="External"/><Relationship Id="rId23" Type="http://schemas.openxmlformats.org/officeDocument/2006/relationships/hyperlink" Target="https://www.bls.gov/oes/" TargetMode="External"/><Relationship Id="rId28" Type="http://schemas.openxmlformats.org/officeDocument/2006/relationships/footer" Target="footer2.xml"/><Relationship Id="rId10" Type="http://schemas.openxmlformats.org/officeDocument/2006/relationships/hyperlink" Target="https://www.coxautoinc.com/insights/dealerships-capture-record-fixed-ops-revenue-but-lose-market-share-as-customers-drift-to-general-repair-according-to-cox-automotive-study/" TargetMode="External"/><Relationship Id="rId19" Type="http://schemas.openxmlformats.org/officeDocument/2006/relationships/hyperlink" Target="https://www.nada.org/nada/research-data/nada-data"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oxautoinc.com/insights/dealerships-capture-record-fixed-ops-revenue-but-lose-market-share-as-customers-drift-to-general-repair-according-to-cox-automotive-study/" TargetMode="External"/><Relationship Id="rId14" Type="http://schemas.openxmlformats.org/officeDocument/2006/relationships/hyperlink" Target="https://haigpartners.com/resources/insights-from-the-q1-2025-haig-report-new-vehicle-gross-profits-slide-14-year-over-year-but-may-be-nearing-a-floor/" TargetMode="External"/><Relationship Id="rId22" Type="http://schemas.openxmlformats.org/officeDocument/2006/relationships/hyperlink" Target="https://press.spglobal.com/2025-05-21-U-S-Vehicle-Age-Rises-Again-to-12-8-Years-in-2025,-According-to-S-P-Global-Mobility" TargetMode="External"/><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14504</Words>
  <Characters>82673</Characters>
  <Application>Microsoft Office Word</Application>
  <DocSecurity>0</DocSecurity>
  <Lines>688</Lines>
  <Paragraphs>193</Paragraphs>
  <ScaleCrop>false</ScaleCrop>
  <Company/>
  <LinksUpToDate>false</LinksUpToDate>
  <CharactersWithSpaces>96984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Joe Clementi</cp:lastModifiedBy>
  <cp:revision>2</cp:revision>
  <dcterms:created xsi:type="dcterms:W3CDTF">2026-06-22T20:16:00Z</dcterms:created>
  <dcterms:modified xsi:type="dcterms:W3CDTF">2026-06-22T20:16:00Z</dcterms:modified>
</cp:coreProperties>
</file>