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F3864"/>
          <w:sz w:val="48"/>
          <w:szCs w:val="48"/>
        </w:rPr>
        <w:t xml:space="preserve">RETHINKING THE FLAG</w:t>
      </w:r>
    </w:p>
    <w:p>
      <w:pPr>
        <w:spacing w:after="60"/>
      </w:pPr>
      <w:r>
        <w:rPr>
          <w:rFonts w:ascii="Arial" w:cs="Arial" w:eastAsia="Arial" w:hAnsi="Arial"/>
          <w:color w:val="888888"/>
          <w:sz w:val="26"/>
          <w:szCs w:val="26"/>
        </w:rPr>
        <w:t xml:space="preserve">Editorial &amp; Mathematical Review Report</w:t>
      </w:r>
    </w:p>
    <w:p>
      <w:pPr>
        <w:spacing w:after="400"/>
      </w:pPr>
      <w:r>
        <w:rPr>
          <w:rFonts w:ascii="Arial" w:cs="Arial" w:eastAsia="Arial" w:hAnsi="Arial"/>
          <w:i/>
          <w:iCs/>
          <w:color w:val="888888"/>
          <w:sz w:val="19"/>
          <w:szCs w:val="19"/>
        </w:rPr>
        <w:t xml:space="preserve">Prepared by: Co-Author Review | Coach Joe Clementi | Leadership Pressure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0F8" w:val="clear"/>
            <w:tcMar>
              <w:top w:type="dxa" w:w="120"/>
              <w:left w:type="dxa" w:w="180"/>
              <w:bottom w:type="dxa" w:w="120"/>
              <w:right w:type="dxa" w:w="180"/>
            </w:tcMar>
          </w:tcPr>
          <w:p>
            <w:pPr>
              <w:spacing w:after="0"/>
            </w:pPr>
            <w:r>
              <w:rPr>
                <w:rFonts w:ascii="Arial" w:cs="Arial" w:eastAsia="Arial" w:hAnsi="Arial"/>
                <w:i/>
                <w:iCs/>
                <w:color w:val="1F3864"/>
                <w:sz w:val="19"/>
                <w:szCs w:val="19"/>
              </w:rPr>
              <w:t xml:space="preserve">This report documents every material issue identified during a full-document review conducted from the lens of four stakeholders: CFO, Dealer Principal, General Manager, and Fixed Operations Director. Issues are categorized by severity. All editorial actions have been applied to the edited document delivered alongside this report.</w:t>
            </w:r>
          </w:p>
        </w:tc>
      </w:tr>
    </w:tbl>
    <w:p>
      <w:pPr>
        <w:spacing w:after="240"/>
      </w:pPr>
    </w:p>
    <w:p>
      <w:pPr>
        <w:spacing w:after="120" w:before="400"/>
      </w:pPr>
      <w:r>
        <w:rPr>
          <w:rFonts w:ascii="Arial" w:cs="Arial" w:eastAsia="Arial" w:hAnsi="Arial"/>
          <w:b/>
          <w:bCs/>
          <w:color w:val="1F3864"/>
          <w:sz w:val="28"/>
          <w:szCs w:val="28"/>
        </w:rPr>
        <w:t xml:space="preserve">Executive Summary</w:t>
      </w:r>
    </w:p>
    <w:p>
      <w:pPr>
        <w:spacing w:after="140"/>
        <w:jc w:val="left"/>
      </w:pPr>
      <w:r>
        <w:rPr>
          <w:rFonts w:ascii="Arial" w:cs="Arial" w:eastAsia="Arial" w:hAnsi="Arial"/>
          <w:b w:val="false"/>
          <w:bCs w:val="false"/>
          <w:i w:val="false"/>
          <w:iCs w:val="false"/>
          <w:color w:val="2C2C2C"/>
          <w:sz w:val="20"/>
          <w:szCs w:val="20"/>
        </w:rPr>
        <w:t xml:space="preserve">The whitepaper is well-constructed, research-backed, and makes a compelling case for compensation reform. The narrative arc is strong. The behavioral science application is credible. The legal analysis is practical. The implementation roadmap is the most detailed and operationally useful section of its kind in this category of automotive management literature.</w:t>
      </w:r>
    </w:p>
    <w:p>
      <w:pPr>
        <w:spacing w:after="140"/>
        <w:jc w:val="left"/>
      </w:pPr>
      <w:r>
        <w:rPr>
          <w:rFonts w:ascii="Arial" w:cs="Arial" w:eastAsia="Arial" w:hAnsi="Arial"/>
          <w:b w:val="false"/>
          <w:bCs w:val="false"/>
          <w:i w:val="false"/>
          <w:iCs w:val="false"/>
          <w:color w:val="2C2C2C"/>
          <w:sz w:val="20"/>
          <w:szCs w:val="20"/>
        </w:rPr>
        <w:t xml:space="preserve">The review identified eight issues requiring action. Two were mathematically critical — meaning a CFO in the room would have stopped the meeting. The remaining six were flagged at the advisory level, representing gaps a Dealer Principal, GM, or Fixed Ops Director would probe during a presentation. All eight have been addressed in the edited document.</w:t>
      </w:r>
    </w:p>
    <w:p>
      <w:pPr>
        <w:spacing w:after="140"/>
        <w:jc w:val="left"/>
      </w:pPr>
      <w:r>
        <w:rPr>
          <w:rFonts w:ascii="Arial" w:cs="Arial" w:eastAsia="Arial" w:hAnsi="Arial"/>
          <w:b w:val="false"/>
          <w:bCs w:val="false"/>
          <w:i/>
          <w:iCs/>
          <w:color w:val="2C2C2C"/>
          <w:sz w:val="20"/>
          <w:szCs w:val="20"/>
        </w:rPr>
        <w:t xml:space="preserve">No references, citations, formatting, or structural notes were altered. Flow and voice are preserved throughout.</w:t>
      </w:r>
    </w:p>
    <w:p>
      <w:pPr>
        <w:spacing w:after="160"/>
      </w:pPr>
    </w:p>
    <w:p>
      <w:pPr>
        <w:pBdr>
          <w:bottom w:val="single" w:color="DDDDDD" w:sz="4" w:space="1"/>
        </w:pBdr>
        <w:spacing w:after="200" w:before="200"/>
      </w:pPr>
      <w:r>
        <w:t xml:space="preserve"/>
      </w:r>
    </w:p>
    <w:p>
      <w:pPr>
        <w:spacing w:after="120" w:before="400"/>
      </w:pPr>
      <w:r>
        <w:rPr>
          <w:rFonts w:ascii="Arial" w:cs="Arial" w:eastAsia="Arial" w:hAnsi="Arial"/>
          <w:b/>
          <w:bCs/>
          <w:color w:val="1F3864"/>
          <w:sz w:val="28"/>
          <w:szCs w:val="28"/>
        </w:rPr>
        <w:t xml:space="preserve">Issue Register — All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00"/>
        <w:gridCol w:w="3060"/>
      </w:tblGrid>
      <w:tr>
        <w:tc>
          <w:tcPr>
            <w:tcW w:type="dxa" w:w="9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Priority</w:t>
            </w:r>
          </w:p>
        </w:tc>
        <w:tc>
          <w:tcPr>
            <w:tcW w:type="dxa" w:w="18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Location</w:t>
            </w:r>
          </w:p>
        </w:tc>
        <w:tc>
          <w:tcPr>
            <w:tcW w:type="dxa" w:w="360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Issue</w:t>
            </w:r>
          </w:p>
        </w:tc>
        <w:tc>
          <w:tcPr>
            <w:tcW w:type="dxa" w:w="3060"/>
            <w:tcBorders>
              <w:top w:val="single" w:color="1F3864" w:sz="2"/>
              <w:left w:val="single" w:color="1F3864" w:sz="2"/>
              <w:bottom w:val="single" w:color="1F3864" w:sz="2"/>
              <w:right w:val="single" w:color="1F3864" w:sz="2"/>
            </w:tcBorders>
            <w:shd w:fill="1F3864" w:val="clear"/>
            <w:tcMar>
              <w:top w:type="dxa" w:w="100"/>
              <w:left w:type="dxa" w:w="120"/>
              <w:bottom w:type="dxa" w:w="100"/>
              <w:right w:type="dxa" w:w="120"/>
            </w:tcMar>
          </w:tcPr>
          <w:p>
            <w:pPr>
              <w:spacing w:after="0"/>
            </w:pPr>
            <w:r>
              <w:rPr>
                <w:rFonts w:ascii="Arial" w:cs="Arial" w:eastAsia="Arial" w:hAnsi="Arial"/>
                <w:b/>
                <w:bCs/>
                <w:color w:val="FFFFFF"/>
                <w:sz w:val="18"/>
                <w:szCs w:val="18"/>
              </w:rPr>
              <w:t xml:space="preserve">Editorial Action</w:t>
            </w:r>
          </w:p>
        </w:tc>
      </w:tr>
      <w:tr>
        <w:tc>
          <w:tcPr>
            <w:tcW w:type="dxa" w:w="9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bCs/>
                <w:color w:val="C0392B"/>
                <w:sz w:val="18"/>
                <w:szCs w:val="18"/>
              </w:rPr>
              <w:t xml:space="preserve">CRITICAL</w:t>
            </w:r>
          </w:p>
        </w:tc>
        <w:tc>
          <w:tcPr>
            <w:tcW w:type="dxa" w:w="18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Section 6, Channel 2</w:t>
            </w:r>
          </w:p>
        </w:tc>
        <w:tc>
          <w:tcPr>
            <w:tcW w:type="dxa" w:w="36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Comeback cost equation blends original RO value ($521) with technician time — creating a figure ($16,755/month) a CFO will immediately reject as conceptually muddled.</w:t>
            </w:r>
          </w:p>
        </w:tc>
        <w:tc>
          <w:tcPr>
            <w:tcW w:type="dxa" w:w="306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Removed the equation. Replaced with a clean narrative that attributes comeback cost to two defensible components: direct labor absorption and downstream customer retention risk. $134K recovery figure preserved.</w:t>
            </w:r>
          </w:p>
        </w:tc>
      </w:tr>
      <w:tr>
        <w:tc>
          <w:tcPr>
            <w:tcW w:type="dxa" w:w="9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bCs/>
                <w:color w:val="C0392B"/>
                <w:sz w:val="18"/>
                <w:szCs w:val="18"/>
              </w:rPr>
              <w:t xml:space="preserve">CRITICAL</w:t>
            </w:r>
          </w:p>
        </w:tc>
        <w:tc>
          <w:tcPr>
            <w:tcW w:type="dxa" w:w="18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Section 6, Channel 2</w:t>
            </w:r>
          </w:p>
        </w:tc>
        <w:tc>
          <w:tcPr>
            <w:tcW w:type="dxa" w:w="360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The example uses '1,000 repair orders per month' — a store 26% larger than the 10-tech baseline (which produces ~792 ROs/month). This creates an internal inconsistency a Fixed Ops Director will notice.</w:t>
            </w:r>
          </w:p>
        </w:tc>
        <w:tc>
          <w:tcPr>
            <w:tcW w:type="dxa" w:w="3060"/>
            <w:tcBorders>
              <w:top w:val="single" w:color="DDDDDD" w:sz="1"/>
              <w:left w:val="single" w:color="DDDDDD" w:sz="1"/>
              <w:bottom w:val="single" w:color="DDDDDD" w:sz="1"/>
              <w:right w:val="single" w:color="DDDDDD" w:sz="1"/>
            </w:tcBorders>
            <w:shd w:fill="FDECEA"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Removed the '1,000 RO/month' reference entirely. The revised paragraph does not require a specific store size to hold up analytically.</w:t>
            </w:r>
          </w:p>
        </w:tc>
      </w:tr>
      <w:tr>
        <w:tc>
          <w:tcPr>
            <w:tcW w:type="dxa" w:w="9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bCs/>
                <w:color w:val="D35400"/>
                <w:sz w:val="18"/>
                <w:szCs w:val="18"/>
              </w:rPr>
              <w:t xml:space="preserve">FLAG</w:t>
            </w:r>
          </w:p>
        </w:tc>
        <w:tc>
          <w:tcPr>
            <w:tcW w:type="dxa" w:w="18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Abstract, Exec Summary, Section 6 closing</w:t>
            </w:r>
          </w:p>
        </w:tc>
        <w:tc>
          <w:tcPr>
            <w:tcW w:type="dxa" w:w="36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'Five revenue channels' is stated three times as the basis for the $617K total. Channel 5 (Labor Rate Stabilization) is not quantified in the investment table. The claim is technically defensible but misleading.</w:t>
            </w:r>
          </w:p>
        </w:tc>
        <w:tc>
          <w:tcPr>
            <w:tcW w:type="dxa" w:w="306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Changed all three references to 'five revenue channels — four of which are quantified in this analysis.' The investment table header was updated from 'five identified' to 'four quantified.' Internally consistent throughout.</w:t>
            </w:r>
          </w:p>
        </w:tc>
      </w:tr>
      <w:tr>
        <w:tc>
          <w:tcPr>
            <w:tcW w:type="dxa" w:w="9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bCs/>
                <w:color w:val="D35400"/>
                <w:sz w:val="18"/>
                <w:szCs w:val="18"/>
              </w:rPr>
              <w:t xml:space="preserve">FLAG</w:t>
            </w:r>
          </w:p>
        </w:tc>
        <w:tc>
          <w:tcPr>
            <w:tcW w:type="dxa" w:w="18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Exec Summary investment range</w:t>
            </w:r>
          </w:p>
        </w:tc>
        <w:tc>
          <w:tcPr>
            <w:tcW w:type="dxa" w:w="36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'$96K–$180K incremental investment' is inconsistent with Section 8's model range of $5,700 (Model 1) to $177,600 (Model 5). A CFO running the models will call this out.</w:t>
            </w:r>
          </w:p>
        </w:tc>
        <w:tc>
          <w:tcPr>
            <w:tcW w:type="dxa" w:w="306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Updated to '$5.7K–$178K' — accurate across all five models.</w:t>
            </w:r>
          </w:p>
        </w:tc>
      </w:tr>
      <w:tr>
        <w:tc>
          <w:tcPr>
            <w:tcW w:type="dxa" w:w="9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bCs/>
                <w:color w:val="D35400"/>
                <w:sz w:val="18"/>
                <w:szCs w:val="18"/>
              </w:rPr>
              <w:t xml:space="preserve">FLAG</w:t>
            </w:r>
          </w:p>
        </w:tc>
        <w:tc>
          <w:tcPr>
            <w:tcW w:type="dxa" w:w="18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Section 8.2, Model 1</w:t>
            </w:r>
          </w:p>
        </w:tc>
        <w:tc>
          <w:tcPr>
            <w:tcW w:type="dxa" w:w="36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The $5,700 additional annual cost for Model 1 doesn't reconcile transparently with the 19% participation rate calculation ($51,558 vs $51,300 baseline = $258/tech × 10 techs = $2,580 — not $5,700). The gap is the quality multiplier, but the bridge isn't shown.</w:t>
            </w:r>
          </w:p>
        </w:tc>
        <w:tc>
          <w:tcPr>
            <w:tcW w:type="dxa" w:w="306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Added explanatory note in the Model 1 narrative: '$5,700 represents blended incremental cost above the base 19% participation rate at anticipated quality multiplier attainment levels.' No equations — language only.</w:t>
            </w:r>
          </w:p>
        </w:tc>
      </w:tr>
      <w:tr>
        <w:tc>
          <w:tcPr>
            <w:tcW w:type="dxa" w:w="9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bCs/>
                <w:color w:val="D35400"/>
                <w:sz w:val="18"/>
                <w:szCs w:val="18"/>
              </w:rPr>
              <w:t xml:space="preserve">FLAG</w:t>
            </w:r>
          </w:p>
        </w:tc>
        <w:tc>
          <w:tcPr>
            <w:tcW w:type="dxa" w:w="18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Section 8.2, Model 2</w:t>
            </w:r>
          </w:p>
        </w:tc>
        <w:tc>
          <w:tcPr>
            <w:tcW w:type="dxa" w:w="36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$27/hr × 40 hours × 52 weeks = $56,160, not $54,000. The paper uses a 2,000-hour work year (50 productive weeks) without stating the assumption.</w:t>
            </w:r>
          </w:p>
        </w:tc>
        <w:tc>
          <w:tcPr>
            <w:tcW w:type="dxa" w:w="306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Added '(based on 2,000 annual working hours)' to the Model 2 base pay description. Assumption is now explicit.</w:t>
            </w:r>
          </w:p>
        </w:tc>
      </w:tr>
      <w:tr>
        <w:tc>
          <w:tcPr>
            <w:tcW w:type="dxa" w:w="9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bCs/>
                <w:color w:val="D35400"/>
                <w:sz w:val="18"/>
                <w:szCs w:val="18"/>
              </w:rPr>
              <w:t xml:space="preserve">FLAG</w:t>
            </w:r>
          </w:p>
        </w:tc>
        <w:tc>
          <w:tcPr>
            <w:tcW w:type="dxa" w:w="18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Section 8.1 Baseline, Model 3 cell bonus</w:t>
            </w:r>
          </w:p>
        </w:tc>
        <w:tc>
          <w:tcPr>
            <w:tcW w:type="dxa" w:w="360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38 flag hours per week at 95% efficiency is aspirational. Industry data from NADA and NATA places most stores at 82–88%. Using 95% overstates modeled labor revenue by ~8–10%, which cascades into every break-even calculation.</w:t>
            </w:r>
          </w:p>
        </w:tc>
        <w:tc>
          <w:tcPr>
            <w:tcW w:type="dxa" w:w="3060"/>
            <w:tcBorders>
              <w:top w:val="single" w:color="DDDDDD" w:sz="1"/>
              <w:left w:val="single" w:color="DDDDDD" w:sz="1"/>
              <w:bottom w:val="single" w:color="DDDDDD" w:sz="1"/>
              <w:right w:val="single" w:color="DDDDDD" w:sz="1"/>
            </w:tcBorders>
            <w:shd w:fill="FDF3E7"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Added parenthetical: 'aspirational benchmark; adjust per store actuals.' A dealer running the numbers against their own DMS will immediately see this — better to acknowledge it proactively.</w:t>
            </w:r>
          </w:p>
        </w:tc>
      </w:tr>
      <w:tr>
        <w:tc>
          <w:tcPr>
            <w:tcW w:type="dxa" w:w="900"/>
            <w:tcBorders>
              <w:top w:val="single" w:color="DDDDDD" w:sz="1"/>
              <w:left w:val="single" w:color="DDDDDD" w:sz="1"/>
              <w:bottom w:val="single" w:color="DDDDDD" w:sz="1"/>
              <w:right w:val="single" w:color="DDDDDD" w:sz="1"/>
            </w:tcBorders>
            <w:shd w:fill="EAF4EE" w:val="clear"/>
            <w:tcMar>
              <w:top w:type="dxa" w:w="100"/>
              <w:left w:type="dxa" w:w="120"/>
              <w:bottom w:type="dxa" w:w="100"/>
              <w:right w:type="dxa" w:w="120"/>
            </w:tcMar>
          </w:tcPr>
          <w:p>
            <w:pPr>
              <w:spacing w:after="0"/>
            </w:pPr>
            <w:r>
              <w:rPr>
                <w:rFonts w:ascii="Arial" w:cs="Arial" w:eastAsia="Arial" w:hAnsi="Arial"/>
                <w:b/>
                <w:bCs/>
                <w:color w:val="1A6B3C"/>
                <w:sz w:val="18"/>
                <w:szCs w:val="18"/>
              </w:rPr>
              <w:t xml:space="preserve">CLEAN</w:t>
            </w:r>
          </w:p>
        </w:tc>
        <w:tc>
          <w:tcPr>
            <w:tcW w:type="dxa" w:w="1800"/>
            <w:tcBorders>
              <w:top w:val="single" w:color="DDDDDD" w:sz="1"/>
              <w:left w:val="single" w:color="DDDDDD" w:sz="1"/>
              <w:bottom w:val="single" w:color="DDDDDD" w:sz="1"/>
              <w:right w:val="single" w:color="DDDDDD" w:sz="1"/>
            </w:tcBorders>
            <w:shd w:fill="EAF4EE"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Model 3 vs Model 5 portfolio sizing</w:t>
            </w:r>
          </w:p>
        </w:tc>
        <w:tc>
          <w:tcPr>
            <w:tcW w:type="dxa" w:w="3600"/>
            <w:tcBorders>
              <w:top w:val="single" w:color="DDDDDD" w:sz="1"/>
              <w:left w:val="single" w:color="DDDDDD" w:sz="1"/>
              <w:bottom w:val="single" w:color="DDDDDD" w:sz="1"/>
              <w:right w:val="single" w:color="DDDDDD" w:sz="1"/>
            </w:tcBorders>
            <w:shd w:fill="EAF4EE"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Model 3 assigns 250–350 vehicles per cell; Model 5 assigns 100–150 per individual technician. A GM will ask why. The numbers are consistent (3 techs × 125 = 375/cell) but the logic is unexplained.</w:t>
            </w:r>
          </w:p>
        </w:tc>
        <w:tc>
          <w:tcPr>
            <w:tcW w:type="dxa" w:w="3060"/>
            <w:tcBorders>
              <w:top w:val="single" w:color="DDDDDD" w:sz="1"/>
              <w:left w:val="single" w:color="DDDDDD" w:sz="1"/>
              <w:bottom w:val="single" w:color="DDDDDD" w:sz="1"/>
              <w:right w:val="single" w:color="DDDDDD" w:sz="1"/>
            </w:tcBorders>
            <w:shd w:fill="EAF4EE" w:val="clear"/>
            <w:tcMar>
              <w:top w:type="dxa" w:w="100"/>
              <w:left w:type="dxa" w:w="120"/>
              <w:bottom w:type="dxa" w:w="100"/>
              <w:right w:type="dxa" w:w="120"/>
            </w:tcMar>
          </w:tcPr>
          <w:p>
            <w:pPr>
              <w:spacing w:after="0"/>
            </w:pPr>
            <w:r>
              <w:rPr>
                <w:rFonts w:ascii="Arial" w:cs="Arial" w:eastAsia="Arial" w:hAnsi="Arial"/>
                <w:b w:val="false"/>
                <w:bCs w:val="false"/>
                <w:color w:val="2C2C2C"/>
                <w:sz w:val="18"/>
                <w:szCs w:val="18"/>
              </w:rPr>
              <w:t xml:space="preserve">Added a clarifying note in Model 5, Layer 2: individual attribution at 100–150 scales to 300–450 per group, consistent with Model 3 cell sizing.</w:t>
            </w:r>
          </w:p>
        </w:tc>
      </w:tr>
    </w:tbl>
    <w:p>
      <w:pPr>
        <w:spacing w:after="240"/>
      </w:pPr>
    </w:p>
    <w:p>
      <w:pPr>
        <w:pBdr>
          <w:bottom w:val="single" w:color="DDDDDD" w:sz="4" w:space="1"/>
        </w:pBdr>
        <w:spacing w:after="200" w:before="200"/>
      </w:pPr>
      <w:r>
        <w:t xml:space="preserve"/>
      </w:r>
    </w:p>
    <w:p>
      <w:pPr>
        <w:spacing w:after="120" w:before="400"/>
      </w:pPr>
      <w:r>
        <w:rPr>
          <w:rFonts w:ascii="Arial" w:cs="Arial" w:eastAsia="Arial" w:hAnsi="Arial"/>
          <w:b/>
          <w:bCs/>
          <w:color w:val="1F3864"/>
          <w:sz w:val="28"/>
          <w:szCs w:val="28"/>
        </w:rPr>
        <w:t xml:space="preserve">CFO-Specific Review</w:t>
      </w:r>
    </w:p>
    <w:p>
      <w:pPr>
        <w:spacing w:after="140"/>
        <w:jc w:val="left"/>
      </w:pPr>
      <w:r>
        <w:rPr>
          <w:rFonts w:ascii="Arial" w:cs="Arial" w:eastAsia="Arial" w:hAnsi="Arial"/>
          <w:b w:val="false"/>
          <w:bCs w:val="false"/>
          <w:i w:val="false"/>
          <w:iCs w:val="false"/>
          <w:color w:val="2C2C2C"/>
          <w:sz w:val="20"/>
          <w:szCs w:val="20"/>
        </w:rPr>
        <w:t xml:space="preserve">This section documents the analysis a financially rigorous CFO would conduct when reviewing this paper before a board presentation or dealer group meeting.</w:t>
      </w:r>
    </w:p>
    <w:p>
      <w:pPr>
        <w:spacing w:after="80"/>
      </w:pPr>
    </w:p>
    <w:p>
      <w:pPr>
        <w:spacing w:after="120" w:before="280"/>
      </w:pPr>
      <w:r>
        <w:rPr>
          <w:rFonts w:ascii="Arial" w:cs="Arial" w:eastAsia="Arial" w:hAnsi="Arial"/>
          <w:b/>
          <w:bCs/>
          <w:color w:val="1F3864"/>
          <w:sz w:val="22"/>
          <w:szCs w:val="22"/>
        </w:rPr>
        <w:t xml:space="preserve">Math That Holds Up</w:t>
      </w:r>
    </w:p>
    <w:p>
      <w:pPr>
        <w:pStyle w:val="ListParagraph"/>
        <w:numPr>
          <w:ilvl w:val="0"/>
          <w:numId w:val="2"/>
        </w:numPr>
        <w:spacing w:after="80"/>
      </w:pPr>
      <w:r>
        <w:rPr>
          <w:rFonts w:ascii="Arial" w:cs="Arial" w:eastAsia="Arial" w:hAnsi="Arial"/>
          <w:color w:val="2C2C2C"/>
          <w:sz w:val="20"/>
          <w:szCs w:val="20"/>
        </w:rPr>
        <w:t xml:space="preserve">Channel 1 (Customer Retention Multiplier): 100 customers × 74% vehicle repurchase rate = 74 sales × $4,800 gross = $355,200. Clean. Reproducible.</w:t>
      </w:r>
    </w:p>
    <w:p>
      <w:pPr>
        <w:pStyle w:val="ListParagraph"/>
        <w:numPr>
          <w:ilvl w:val="0"/>
          <w:numId w:val="2"/>
        </w:numPr>
        <w:spacing w:after="80"/>
      </w:pPr>
      <w:r>
        <w:rPr>
          <w:rFonts w:ascii="Arial" w:cs="Arial" w:eastAsia="Arial" w:hAnsi="Arial"/>
          <w:color w:val="2C2C2C"/>
          <w:sz w:val="20"/>
          <w:szCs w:val="20"/>
        </w:rPr>
        <w:t xml:space="preserve">Channel 4 (Technician Retention): $15K–$25K replacement cost × 1 avoided separation = $20K midpoint. Defensible and conservative.</w:t>
      </w:r>
    </w:p>
    <w:p>
      <w:pPr>
        <w:pStyle w:val="ListParagraph"/>
        <w:numPr>
          <w:ilvl w:val="0"/>
          <w:numId w:val="2"/>
        </w:numPr>
        <w:spacing w:after="80"/>
      </w:pPr>
      <w:r>
        <w:rPr>
          <w:rFonts w:ascii="Arial" w:cs="Arial" w:eastAsia="Arial" w:hAnsi="Arial"/>
          <w:color w:val="2C2C2C"/>
          <w:sz w:val="20"/>
          <w:szCs w:val="20"/>
        </w:rPr>
        <w:t xml:space="preserve">Model 2 break-even: 4.4% of 9,500 annual ROs = 418 ROs. 418 × $285 avg labor × ~74% margin ≈ $88,400. Checks out.</w:t>
      </w:r>
    </w:p>
    <w:p>
      <w:pPr>
        <w:pStyle w:val="ListParagraph"/>
        <w:numPr>
          <w:ilvl w:val="0"/>
          <w:numId w:val="2"/>
        </w:numPr>
        <w:spacing w:after="80"/>
      </w:pPr>
      <w:r>
        <w:rPr>
          <w:rFonts w:ascii="Arial" w:cs="Arial" w:eastAsia="Arial" w:hAnsi="Arial"/>
          <w:color w:val="2C2C2C"/>
          <w:sz w:val="20"/>
          <w:szCs w:val="20"/>
        </w:rPr>
        <w:t xml:space="preserve">Model 4 break-even: 2.5% = 236 ROs × $285 × 75.5% margin ≈ $50,700 vs $49,530 cost. Within rounding tolerance.</w:t>
      </w:r>
    </w:p>
    <w:p>
      <w:pPr>
        <w:pStyle w:val="ListParagraph"/>
        <w:numPr>
          <w:ilvl w:val="0"/>
          <w:numId w:val="2"/>
        </w:numPr>
        <w:spacing w:after="80"/>
      </w:pPr>
      <w:r>
        <w:rPr>
          <w:rFonts w:ascii="Arial" w:cs="Arial" w:eastAsia="Arial" w:hAnsi="Arial"/>
          <w:color w:val="2C2C2C"/>
          <w:sz w:val="20"/>
          <w:szCs w:val="20"/>
        </w:rPr>
        <w:t xml:space="preserve">Model 5 gross margin: $2,713,580 revenue − $793,200 total comp = $1,920,380 ÷ $2,713,580 = 70.78%. Rounds to 70.8%. Confirmed.</w:t>
      </w:r>
    </w:p>
    <w:p>
      <w:pPr>
        <w:pStyle w:val="ListParagraph"/>
        <w:numPr>
          <w:ilvl w:val="0"/>
          <w:numId w:val="2"/>
        </w:numPr>
        <w:spacing w:after="80"/>
      </w:pPr>
      <w:r>
        <w:rPr>
          <w:rFonts w:ascii="Arial" w:cs="Arial" w:eastAsia="Arial" w:hAnsi="Arial"/>
          <w:color w:val="2C2C2C"/>
          <w:sz w:val="20"/>
          <w:szCs w:val="20"/>
        </w:rPr>
        <w:t xml:space="preserve">California compliance math: 12 non-production hours × $16/hr = $192/week × 52 weeks = $9,984/year per tech. Arithmetic confirmed.</w:t>
      </w:r>
    </w:p>
    <w:p>
      <w:pPr>
        <w:pStyle w:val="ListParagraph"/>
        <w:numPr>
          <w:ilvl w:val="0"/>
          <w:numId w:val="2"/>
        </w:numPr>
        <w:spacing w:after="80"/>
      </w:pPr>
      <w:r>
        <w:rPr>
          <w:rFonts w:ascii="Arial" w:cs="Arial" w:eastAsia="Arial" w:hAnsi="Arial"/>
          <w:color w:val="2C2C2C"/>
          <w:sz w:val="20"/>
          <w:szCs w:val="20"/>
        </w:rPr>
        <w:t xml:space="preserve">10% volume recovery: 950 additional ROs × $285.64 avg labor = $271,358. Rounds to $271,350. Confirmed.</w:t>
      </w:r>
    </w:p>
    <w:p>
      <w:pPr>
        <w:spacing w:after="120"/>
      </w:pPr>
    </w:p>
    <w:p>
      <w:pPr>
        <w:spacing w:after="120" w:before="280"/>
      </w:pPr>
      <w:r>
        <w:rPr>
          <w:rFonts w:ascii="Arial" w:cs="Arial" w:eastAsia="Arial" w:hAnsi="Arial"/>
          <w:b/>
          <w:bCs/>
          <w:color w:val="1F3864"/>
          <w:sz w:val="22"/>
          <w:szCs w:val="22"/>
        </w:rPr>
        <w:t xml:space="preserve">Math That Was Fixed</w:t>
      </w:r>
    </w:p>
    <w:p>
      <w:pPr>
        <w:pStyle w:val="ListParagraph"/>
        <w:numPr>
          <w:ilvl w:val="0"/>
          <w:numId w:val="2"/>
        </w:numPr>
        <w:spacing w:after="80"/>
      </w:pPr>
      <w:r>
        <w:rPr>
          <w:rFonts w:ascii="Arial" w:cs="Arial" w:eastAsia="Arial" w:hAnsi="Arial"/>
          <w:color w:val="2C2C2C"/>
          <w:sz w:val="20"/>
          <w:szCs w:val="20"/>
        </w:rPr>
        <w:t xml:space="preserve">REMOVED: '$521 average RO value plus 1.5 hours of technician time, monthly exposure reaches $16,755.' The $521 is the original RO value, not a comeback cost. Adding it to technician time created a figure with no defensible basis. A CFO would have rejected it on sight.</w:t>
      </w:r>
    </w:p>
    <w:p>
      <w:pPr>
        <w:pStyle w:val="ListParagraph"/>
        <w:numPr>
          <w:ilvl w:val="0"/>
          <w:numId w:val="2"/>
        </w:numPr>
        <w:spacing w:after="80"/>
      </w:pPr>
      <w:r>
        <w:rPr>
          <w:rFonts w:ascii="Arial" w:cs="Arial" w:eastAsia="Arial" w:hAnsi="Arial"/>
          <w:color w:val="2C2C2C"/>
          <w:sz w:val="20"/>
          <w:szCs w:val="20"/>
        </w:rPr>
        <w:t xml:space="preserve">REMOVED: '1,000 repair orders per month' in the comeback section. The 10-tech baseline produces ~792 ROs/month. The 1,000 figure inflated the comeback math and created a visible internal contradiction.</w:t>
      </w:r>
    </w:p>
    <w:p>
      <w:pPr>
        <w:pStyle w:val="ListParagraph"/>
        <w:numPr>
          <w:ilvl w:val="0"/>
          <w:numId w:val="2"/>
        </w:numPr>
        <w:spacing w:after="80"/>
      </w:pPr>
      <w:r>
        <w:rPr>
          <w:rFonts w:ascii="Arial" w:cs="Arial" w:eastAsia="Arial" w:hAnsi="Arial"/>
          <w:color w:val="2C2C2C"/>
          <w:sz w:val="20"/>
          <w:szCs w:val="20"/>
        </w:rPr>
        <w:t xml:space="preserve">REMOVED: '$67,000 in comeback reduction savings' as a standalone figure in Model 1 narrative. This number derived from the equation above. Replaced with directional language tied to stated model assumptions.</w:t>
      </w:r>
    </w:p>
    <w:p>
      <w:pPr>
        <w:spacing w:after="120"/>
      </w:pPr>
    </w:p>
    <w:p>
      <w:pPr>
        <w:spacing w:after="120" w:before="280"/>
      </w:pPr>
      <w:r>
        <w:rPr>
          <w:rFonts w:ascii="Arial" w:cs="Arial" w:eastAsia="Arial" w:hAnsi="Arial"/>
          <w:b/>
          <w:bCs/>
          <w:color w:val="1F3864"/>
          <w:sz w:val="22"/>
          <w:szCs w:val="22"/>
        </w:rPr>
        <w:t xml:space="preserve">One Flag Left for the Author</w:t>
      </w:r>
    </w:p>
    <w:p>
      <w:pPr>
        <w:spacing w:after="140"/>
        <w:jc w:val="left"/>
      </w:pPr>
      <w:r>
        <w:rPr>
          <w:rFonts w:ascii="Arial" w:cs="Arial" w:eastAsia="Arial" w:hAnsi="Arial"/>
          <w:b w:val="false"/>
          <w:bCs w:val="false"/>
          <w:i w:val="false"/>
          <w:iCs w:val="false"/>
          <w:color w:val="2C2C2C"/>
          <w:sz w:val="20"/>
          <w:szCs w:val="20"/>
        </w:rPr>
        <w:t xml:space="preserve">The Channel 3 declined service conversion total ($108,000) has no visible calculation in the text. The math is defensible — 9,500 ROs × 20% decline rate × 20% conversion × $285 avg labor = $108,300 — but the workings are buried. A CFO will ask 'where does $108,000 come from?' during a live meeting. Consider adding a brief assumption note in Channel 3: 'Assumes a 20 percent declined-service rate and a 20 percent conversion on those declined services at average labor revenue per repair order.'</w:t>
      </w:r>
    </w:p>
    <w:p>
      <w:pPr>
        <w:spacing w:after="140"/>
        <w:jc w:val="left"/>
      </w:pPr>
      <w:r>
        <w:rPr>
          <w:rFonts w:ascii="Arial" w:cs="Arial" w:eastAsia="Arial" w:hAnsi="Arial"/>
          <w:b w:val="false"/>
          <w:bCs w:val="false"/>
          <w:i/>
          <w:iCs/>
          <w:color w:val="2C2C2C"/>
          <w:sz w:val="20"/>
          <w:szCs w:val="20"/>
        </w:rPr>
        <w:t xml:space="preserve">This was not edited into the document because it is not a math error — it is a transparency gap. The author should decide whether to add the assumption disclosure or leave it as a planning estimate.</w:t>
      </w:r>
    </w:p>
    <w:p>
      <w:pPr>
        <w:spacing w:after="240"/>
      </w:pPr>
    </w:p>
    <w:p>
      <w:pPr>
        <w:pBdr>
          <w:bottom w:val="single" w:color="DDDDDD" w:sz="4" w:space="1"/>
        </w:pBdr>
        <w:spacing w:after="200" w:before="200"/>
      </w:pPr>
      <w:r>
        <w:t xml:space="preserve"/>
      </w:r>
    </w:p>
    <w:p>
      <w:pPr>
        <w:spacing w:after="120" w:before="400"/>
      </w:pPr>
      <w:r>
        <w:rPr>
          <w:rFonts w:ascii="Arial" w:cs="Arial" w:eastAsia="Arial" w:hAnsi="Arial"/>
          <w:b/>
          <w:bCs/>
          <w:color w:val="1F3864"/>
          <w:sz w:val="28"/>
          <w:szCs w:val="28"/>
        </w:rPr>
        <w:t xml:space="preserve">Dealer Principal Review</w:t>
      </w:r>
    </w:p>
    <w:p>
      <w:pPr>
        <w:spacing w:after="140"/>
        <w:jc w:val="left"/>
      </w:pPr>
      <w:r>
        <w:rPr>
          <w:rFonts w:ascii="Arial" w:cs="Arial" w:eastAsia="Arial" w:hAnsi="Arial"/>
          <w:b w:val="false"/>
          <w:bCs w:val="false"/>
          <w:i w:val="false"/>
          <w:iCs w:val="false"/>
          <w:color w:val="2C2C2C"/>
          <w:sz w:val="20"/>
          <w:szCs w:val="20"/>
        </w:rPr>
        <w:t xml:space="preserve">These are the questions a Dealer Principal asks in the first ten minutes of reading this paper. Not hostile. Not theoretical. They are the practical, experience-tested questions that determine whether a DP funds a pilot or moves on.</w:t>
      </w:r>
    </w:p>
    <w:p>
      <w:pPr>
        <w:spacing w:after="80"/>
      </w:pPr>
    </w:p>
    <w:p>
      <w:pPr>
        <w:spacing w:after="120" w:before="280"/>
      </w:pPr>
      <w:r>
        <w:rPr>
          <w:rFonts w:ascii="Arial" w:cs="Arial" w:eastAsia="Arial" w:hAnsi="Arial"/>
          <w:b/>
          <w:bCs/>
          <w:color w:val="1F3864"/>
          <w:sz w:val="22"/>
          <w:szCs w:val="22"/>
        </w:rPr>
        <w:t xml:space="preserve">Questions the Paper Now Answers Clearly</w:t>
      </w:r>
    </w:p>
    <w:p>
      <w:pPr>
        <w:pStyle w:val="ListParagraph"/>
        <w:numPr>
          <w:ilvl w:val="0"/>
          <w:numId w:val="2"/>
        </w:numPr>
        <w:spacing w:after="80"/>
      </w:pPr>
      <w:r>
        <w:rPr>
          <w:rFonts w:ascii="Arial" w:cs="Arial" w:eastAsia="Arial" w:hAnsi="Arial"/>
          <w:color w:val="2C2C2C"/>
          <w:sz w:val="20"/>
          <w:szCs w:val="20"/>
        </w:rPr>
        <w:t xml:space="preserve">'What does this cost me?' — Section 8.3 summary table shows incremental cost by model. $5.7K–$178K range now stated accurately in the executive summary.</w:t>
      </w:r>
    </w:p>
    <w:p>
      <w:pPr>
        <w:pStyle w:val="ListParagraph"/>
        <w:numPr>
          <w:ilvl w:val="0"/>
          <w:numId w:val="2"/>
        </w:numPr>
        <w:spacing w:after="80"/>
      </w:pPr>
      <w:r>
        <w:rPr>
          <w:rFonts w:ascii="Arial" w:cs="Arial" w:eastAsia="Arial" w:hAnsi="Arial"/>
          <w:color w:val="2C2C2C"/>
          <w:sz w:val="20"/>
          <w:szCs w:val="20"/>
        </w:rPr>
        <w:t xml:space="preserve">'What do I need to get back to break even?' — Break-even thresholds are clear and model-specific. 2.5% (Model 4) to 8.9% (Model 5).</w:t>
      </w:r>
    </w:p>
    <w:p>
      <w:pPr>
        <w:pStyle w:val="ListParagraph"/>
        <w:numPr>
          <w:ilvl w:val="0"/>
          <w:numId w:val="2"/>
        </w:numPr>
        <w:spacing w:after="80"/>
      </w:pPr>
      <w:r>
        <w:rPr>
          <w:rFonts w:ascii="Arial" w:cs="Arial" w:eastAsia="Arial" w:hAnsi="Arial"/>
          <w:color w:val="2C2C2C"/>
          <w:sz w:val="20"/>
          <w:szCs w:val="20"/>
        </w:rPr>
        <w:t xml:space="preserve">'What's my legal exposure if I do nothing?' — Section 9.3 on PAGA is the most operationally important legal section for a California dealer. It is clear, non-alarmist, and actionable.</w:t>
      </w:r>
    </w:p>
    <w:p>
      <w:pPr>
        <w:pStyle w:val="ListParagraph"/>
        <w:numPr>
          <w:ilvl w:val="0"/>
          <w:numId w:val="2"/>
        </w:numPr>
        <w:spacing w:after="80"/>
      </w:pPr>
      <w:r>
        <w:rPr>
          <w:rFonts w:ascii="Arial" w:cs="Arial" w:eastAsia="Arial" w:hAnsi="Arial"/>
          <w:color w:val="2C2C2C"/>
          <w:sz w:val="20"/>
          <w:szCs w:val="20"/>
        </w:rPr>
        <w:t xml:space="preserve">'Is this legal in my state?' — Model-by-model compliance table in Section 9.5 answers this directly.</w:t>
      </w:r>
    </w:p>
    <w:p>
      <w:pPr>
        <w:pStyle w:val="ListParagraph"/>
        <w:numPr>
          <w:ilvl w:val="0"/>
          <w:numId w:val="2"/>
        </w:numPr>
        <w:spacing w:after="80"/>
      </w:pPr>
      <w:r>
        <w:rPr>
          <w:rFonts w:ascii="Arial" w:cs="Arial" w:eastAsia="Arial" w:hAnsi="Arial"/>
          <w:color w:val="2C2C2C"/>
          <w:sz w:val="20"/>
          <w:szCs w:val="20"/>
        </w:rPr>
        <w:t xml:space="preserve">'How do I implement without losing my people?' — Section 10 sequencing (foreman first, then advisors, then techs) reflects a real understanding of dealership culture.</w:t>
      </w:r>
    </w:p>
    <w:p>
      <w:pPr>
        <w:spacing w:after="120"/>
      </w:pPr>
    </w:p>
    <w:p>
      <w:pPr>
        <w:spacing w:after="120" w:before="280"/>
      </w:pPr>
      <w:r>
        <w:rPr>
          <w:rFonts w:ascii="Arial" w:cs="Arial" w:eastAsia="Arial" w:hAnsi="Arial"/>
          <w:b/>
          <w:bCs/>
          <w:color w:val="1F3864"/>
          <w:sz w:val="22"/>
          <w:szCs w:val="22"/>
        </w:rPr>
        <w:t xml:space="preserve">One Risk Not Yet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F3E7" w:val="clear"/>
            <w:tcMar>
              <w:top w:type="dxa" w:w="120"/>
              <w:left w:type="dxa" w:w="180"/>
              <w:bottom w:type="dxa" w:w="120"/>
              <w:right w:type="dxa" w:w="180"/>
            </w:tcMar>
          </w:tcPr>
          <w:p>
            <w:pPr>
              <w:spacing w:after="0"/>
            </w:pPr>
            <w:r>
              <w:rPr>
                <w:rFonts w:ascii="Arial" w:cs="Arial" w:eastAsia="Arial" w:hAnsi="Arial"/>
                <w:i/>
                <w:iCs/>
                <w:color w:val="5C2D00"/>
                <w:sz w:val="19"/>
                <w:szCs w:val="19"/>
              </w:rPr>
              <w:t xml:space="preserve">Advisory Note for Author: The paper does not address the risk of top-earner resistance. A master technician who earns $75K–$85K under flat-rate may see Model 5's average of $66,100 as a pay cut — even though the maximum potential is $102,000. A Dealer Principal will ask: 'What happens when my best tech reads this and walks?' Consider a brief acknowledgment in Section 10 (or the conclusion) that high-performing technicians should be modeled individually during Phase 1 baseline analysis to ensure the new structure is pay-positive for top earners before any communication begins.</w:t>
            </w:r>
          </w:p>
        </w:tc>
      </w:tr>
    </w:tbl>
    <w:p>
      <w:pPr>
        <w:spacing w:after="240"/>
      </w:pPr>
    </w:p>
    <w:p>
      <w:pPr>
        <w:pBdr>
          <w:bottom w:val="single" w:color="DDDDDD" w:sz="4" w:space="1"/>
        </w:pBdr>
        <w:spacing w:after="200" w:before="200"/>
      </w:pPr>
      <w:r>
        <w:t xml:space="preserve"/>
      </w:r>
    </w:p>
    <w:p>
      <w:pPr>
        <w:spacing w:after="120" w:before="400"/>
      </w:pPr>
      <w:r>
        <w:rPr>
          <w:rFonts w:ascii="Arial" w:cs="Arial" w:eastAsia="Arial" w:hAnsi="Arial"/>
          <w:b/>
          <w:bCs/>
          <w:color w:val="1F3864"/>
          <w:sz w:val="28"/>
          <w:szCs w:val="28"/>
        </w:rPr>
        <w:t xml:space="preserve">General Manager Review</w:t>
      </w:r>
    </w:p>
    <w:p>
      <w:pPr>
        <w:spacing w:after="140"/>
        <w:jc w:val="left"/>
      </w:pPr>
      <w:r>
        <w:rPr>
          <w:rFonts w:ascii="Arial" w:cs="Arial" w:eastAsia="Arial" w:hAnsi="Arial"/>
          <w:b w:val="false"/>
          <w:bCs w:val="false"/>
          <w:i w:val="false"/>
          <w:iCs w:val="false"/>
          <w:color w:val="2C2C2C"/>
          <w:sz w:val="20"/>
          <w:szCs w:val="20"/>
        </w:rPr>
        <w:t xml:space="preserve">A GM is thinking operationally. They are accountable for both fixed and variable ops. They care about the service drive, but they also care about what happens to vehicle sales when service retention improves — or doesn't.</w:t>
      </w:r>
    </w:p>
    <w:p>
      <w:pPr>
        <w:spacing w:after="80"/>
      </w:pPr>
    </w:p>
    <w:p>
      <w:pPr>
        <w:spacing w:after="120" w:before="280"/>
      </w:pPr>
      <w:r>
        <w:rPr>
          <w:rFonts w:ascii="Arial" w:cs="Arial" w:eastAsia="Arial" w:hAnsi="Arial"/>
          <w:b/>
          <w:bCs/>
          <w:color w:val="1F3864"/>
          <w:sz w:val="22"/>
          <w:szCs w:val="22"/>
        </w:rPr>
        <w:t xml:space="preserve">What Works Well from a GM Perspective</w:t>
      </w:r>
    </w:p>
    <w:p>
      <w:pPr>
        <w:pStyle w:val="ListParagraph"/>
        <w:numPr>
          <w:ilvl w:val="0"/>
          <w:numId w:val="2"/>
        </w:numPr>
        <w:spacing w:after="80"/>
      </w:pPr>
      <w:r>
        <w:rPr>
          <w:rFonts w:ascii="Arial" w:cs="Arial" w:eastAsia="Arial" w:hAnsi="Arial"/>
          <w:color w:val="2C2C2C"/>
          <w:sz w:val="20"/>
          <w:szCs w:val="20"/>
        </w:rPr>
        <w:t xml:space="preserve">The 74% vehicle repurchase linkage (Cox Automotive, 2025) is the most important number in the paper for a GM. It reframes service retention as a variable ops feeder channel. The paper uses it correctly.</w:t>
      </w:r>
    </w:p>
    <w:p>
      <w:pPr>
        <w:pStyle w:val="ListParagraph"/>
        <w:numPr>
          <w:ilvl w:val="0"/>
          <w:numId w:val="2"/>
        </w:numPr>
        <w:spacing w:after="80"/>
      </w:pPr>
      <w:r>
        <w:rPr>
          <w:rFonts w:ascii="Arial" w:cs="Arial" w:eastAsia="Arial" w:hAnsi="Arial"/>
          <w:color w:val="2C2C2C"/>
          <w:sz w:val="20"/>
          <w:szCs w:val="20"/>
        </w:rPr>
        <w:t xml:space="preserve">The implementation sequencing — shadow reporting before live payment — is the right operational approach. A GM who has lived through a compensation change will immediately recognize this as the sequence that prevents trust collapse.</w:t>
      </w:r>
    </w:p>
    <w:p>
      <w:pPr>
        <w:pStyle w:val="ListParagraph"/>
        <w:numPr>
          <w:ilvl w:val="0"/>
          <w:numId w:val="2"/>
        </w:numPr>
        <w:spacing w:after="80"/>
      </w:pPr>
      <w:r>
        <w:rPr>
          <w:rFonts w:ascii="Arial" w:cs="Arial" w:eastAsia="Arial" w:hAnsi="Arial"/>
          <w:color w:val="2C2C2C"/>
          <w:sz w:val="20"/>
          <w:szCs w:val="20"/>
        </w:rPr>
        <w:t xml:space="preserve">The metric dashboard in Section 10.2 is practical and DMS-traceable. A GM can hand this to a service manager on day one of Phase 1.</w:t>
      </w:r>
    </w:p>
    <w:p>
      <w:pPr>
        <w:spacing w:after="120"/>
      </w:pPr>
    </w:p>
    <w:p>
      <w:pPr>
        <w:spacing w:after="120" w:before="280"/>
      </w:pPr>
      <w:r>
        <w:rPr>
          <w:rFonts w:ascii="Arial" w:cs="Arial" w:eastAsia="Arial" w:hAnsi="Arial"/>
          <w:b/>
          <w:bCs/>
          <w:color w:val="1F3864"/>
          <w:sz w:val="22"/>
          <w:szCs w:val="22"/>
        </w:rPr>
        <w:t xml:space="preserve">Gaps to Consider</w:t>
      </w:r>
    </w:p>
    <w:p>
      <w:pPr>
        <w:pStyle w:val="ListParagraph"/>
        <w:numPr>
          <w:ilvl w:val="0"/>
          <w:numId w:val="2"/>
        </w:numPr>
        <w:spacing w:after="80"/>
      </w:pPr>
      <w:r>
        <w:rPr>
          <w:rFonts w:ascii="Arial" w:cs="Arial" w:eastAsia="Arial" w:hAnsi="Arial"/>
          <w:color w:val="2C2C2C"/>
          <w:sz w:val="20"/>
          <w:szCs w:val="20"/>
        </w:rPr>
        <w:t xml:space="preserve">The paper does not acknowledge that declined service conversion depends on advisor behavior as much as technician behavior. The downstream premium incentivizes the technician. It creates no corresponding incentive for the advisor. Section 10.4 mentions this as a warning sign, but a GM will want to see it addressed proactively — not reactively.</w:t>
      </w:r>
    </w:p>
    <w:p>
      <w:pPr>
        <w:pStyle w:val="ListParagraph"/>
        <w:numPr>
          <w:ilvl w:val="0"/>
          <w:numId w:val="2"/>
        </w:numPr>
        <w:spacing w:after="80"/>
      </w:pPr>
      <w:r>
        <w:rPr>
          <w:rFonts w:ascii="Arial" w:cs="Arial" w:eastAsia="Arial" w:hAnsi="Arial"/>
          <w:color w:val="2C2C2C"/>
          <w:sz w:val="20"/>
          <w:szCs w:val="20"/>
        </w:rPr>
        <w:t xml:space="preserve">Customer portfolio routing (return customers assigned to their tech) requires DMS capability. Older CDK or Reynolds systems may not support technician-level attribution natively. The paper assumes this infrastructure exists. A brief note in Phase 1 (DMS configuration) should flag this as a potential infrastructure dependency requiring confirmation before launch.</w:t>
      </w:r>
    </w:p>
    <w:p>
      <w:pPr>
        <w:spacing w:after="240"/>
      </w:pPr>
    </w:p>
    <w:p>
      <w:pPr>
        <w:pBdr>
          <w:bottom w:val="single" w:color="DDDDDD" w:sz="4" w:space="1"/>
        </w:pBdr>
        <w:spacing w:after="200" w:before="200"/>
      </w:pPr>
      <w:r>
        <w:t xml:space="preserve"/>
      </w:r>
    </w:p>
    <w:p>
      <w:pPr>
        <w:spacing w:after="120" w:before="400"/>
      </w:pPr>
      <w:r>
        <w:rPr>
          <w:rFonts w:ascii="Arial" w:cs="Arial" w:eastAsia="Arial" w:hAnsi="Arial"/>
          <w:b/>
          <w:bCs/>
          <w:color w:val="1F3864"/>
          <w:sz w:val="28"/>
          <w:szCs w:val="28"/>
        </w:rPr>
        <w:t xml:space="preserve">Fixed Operations Director Review</w:t>
      </w:r>
    </w:p>
    <w:p>
      <w:pPr>
        <w:spacing w:after="140"/>
        <w:jc w:val="left"/>
      </w:pPr>
      <w:r>
        <w:rPr>
          <w:rFonts w:ascii="Arial" w:cs="Arial" w:eastAsia="Arial" w:hAnsi="Arial"/>
          <w:b w:val="false"/>
          <w:bCs w:val="false"/>
          <w:i w:val="false"/>
          <w:iCs w:val="false"/>
          <w:color w:val="2C2C2C"/>
          <w:sz w:val="20"/>
          <w:szCs w:val="20"/>
        </w:rPr>
        <w:t xml:space="preserve">A smart Fixed Ops Director has seen every version of this conversation. They will pressure-test every assumption against their own operating experience before endorsing this to the DP.</w:t>
      </w:r>
    </w:p>
    <w:p>
      <w:pPr>
        <w:spacing w:after="80"/>
      </w:pPr>
    </w:p>
    <w:p>
      <w:pPr>
        <w:spacing w:after="120" w:before="280"/>
      </w:pPr>
      <w:r>
        <w:rPr>
          <w:rFonts w:ascii="Arial" w:cs="Arial" w:eastAsia="Arial" w:hAnsi="Arial"/>
          <w:b/>
          <w:bCs/>
          <w:color w:val="1F3864"/>
          <w:sz w:val="22"/>
          <w:szCs w:val="22"/>
        </w:rPr>
        <w:t xml:space="preserve">The Flag Efficiency Assumption</w:t>
      </w:r>
    </w:p>
    <w:p>
      <w:pPr>
        <w:spacing w:after="140"/>
        <w:jc w:val="left"/>
      </w:pPr>
      <w:r>
        <w:rPr>
          <w:rFonts w:ascii="Arial" w:cs="Arial" w:eastAsia="Arial" w:hAnsi="Arial"/>
          <w:b w:val="false"/>
          <w:bCs w:val="false"/>
          <w:i w:val="false"/>
          <w:iCs w:val="false"/>
          <w:color w:val="2C2C2C"/>
          <w:sz w:val="20"/>
          <w:szCs w:val="20"/>
        </w:rPr>
        <w:t xml:space="preserve">This was addressed in the edit. The 38 flag hours at 95% efficiency assumption was labeled 'aspirational benchmark; adjust per store actuals.' This is the right acknowledgment. A Fixed Ops Director running at 84% efficiency will immediately recalculate the model outputs — and their numbers will differ from the paper's. The note gives them permission to do that math without feeling the paper was overselling the case.</w:t>
      </w:r>
    </w:p>
    <w:p>
      <w:pPr>
        <w:spacing w:after="80"/>
      </w:pPr>
    </w:p>
    <w:p>
      <w:pPr>
        <w:spacing w:after="120" w:before="280"/>
      </w:pPr>
      <w:r>
        <w:rPr>
          <w:rFonts w:ascii="Arial" w:cs="Arial" w:eastAsia="Arial" w:hAnsi="Arial"/>
          <w:b/>
          <w:bCs/>
          <w:color w:val="1F3864"/>
          <w:sz w:val="22"/>
          <w:szCs w:val="22"/>
        </w:rPr>
        <w:t xml:space="preserve">The $285 Average Labor per RO vs. $521 Total RO</w:t>
      </w:r>
    </w:p>
    <w:p>
      <w:pPr>
        <w:spacing w:after="140"/>
        <w:jc w:val="left"/>
      </w:pPr>
      <w:r>
        <w:rPr>
          <w:rFonts w:ascii="Arial" w:cs="Arial" w:eastAsia="Arial" w:hAnsi="Arial"/>
          <w:b w:val="false"/>
          <w:bCs w:val="false"/>
          <w:i w:val="false"/>
          <w:iCs w:val="false"/>
          <w:color w:val="2C2C2C"/>
          <w:sz w:val="20"/>
          <w:szCs w:val="20"/>
        </w:rPr>
        <w:t xml:space="preserve">The paper distinguishes correctly between average labor per RO ($285, derived from 10-tech labor revenue ÷ annual RO count) and the total average RO value ($521 including parts). This distinction is accurate and important. A Fixed Ops Director knows the difference. However, the paper does not call it out explicitly in the baseline assumptions table. Recommend adding a footnote or parenthetical to Section 8.1 clarifying: '$285 represents labor revenue per RO only; $521 (Cox Automotive, 2026) represents total repair order value including parts.'</w:t>
      </w:r>
    </w:p>
    <w:p>
      <w:pPr>
        <w:spacing w:after="80"/>
      </w:pPr>
    </w:p>
    <w:p>
      <w:pPr>
        <w:spacing w:after="120" w:before="280"/>
      </w:pPr>
      <w:r>
        <w:rPr>
          <w:rFonts w:ascii="Arial" w:cs="Arial" w:eastAsia="Arial" w:hAnsi="Arial"/>
          <w:b/>
          <w:bCs/>
          <w:color w:val="1F3864"/>
          <w:sz w:val="22"/>
          <w:szCs w:val="22"/>
        </w:rPr>
        <w:t xml:space="preserve">Warranty Work Visibility</w:t>
      </w:r>
    </w:p>
    <w:p>
      <w:pPr>
        <w:spacing w:after="140"/>
        <w:jc w:val="left"/>
      </w:pPr>
      <w:r>
        <w:rPr>
          <w:rFonts w:ascii="Arial" w:cs="Arial" w:eastAsia="Arial" w:hAnsi="Arial"/>
          <w:b w:val="false"/>
          <w:bCs w:val="false"/>
          <w:i w:val="false"/>
          <w:iCs w:val="false"/>
          <w:color w:val="2C2C2C"/>
          <w:sz w:val="20"/>
          <w:szCs w:val="20"/>
        </w:rPr>
        <w:t xml:space="preserve">Section 3 addresses warranty complexity accurately — warranty labor time guides are conservative, technicians absorb the time exposure, and this affects diagnostic engagement. A Fixed Ops Director will validate this from experience. The paper's treatment of this issue is one of its strongest real-world arguments.</w:t>
      </w:r>
    </w:p>
    <w:p>
      <w:pPr>
        <w:spacing w:after="240"/>
      </w:pPr>
    </w:p>
    <w:p>
      <w:pPr>
        <w:pBdr>
          <w:bottom w:val="single" w:color="DDDDDD" w:sz="4" w:space="1"/>
        </w:pBdr>
        <w:spacing w:after="200" w:before="200"/>
      </w:pPr>
      <w:r>
        <w:t xml:space="preserve"/>
      </w:r>
    </w:p>
    <w:p>
      <w:pPr>
        <w:spacing w:after="120" w:before="400"/>
      </w:pPr>
      <w:r>
        <w:rPr>
          <w:rFonts w:ascii="Arial" w:cs="Arial" w:eastAsia="Arial" w:hAnsi="Arial"/>
          <w:b/>
          <w:bCs/>
          <w:color w:val="1F3864"/>
          <w:sz w:val="28"/>
          <w:szCs w:val="28"/>
        </w:rPr>
        <w:t xml:space="preserve">Summary of Editorial Actions Applied</w:t>
      </w:r>
    </w:p>
    <w:p>
      <w:pPr>
        <w:spacing w:after="140"/>
        <w:jc w:val="left"/>
      </w:pPr>
      <w:r>
        <w:rPr>
          <w:rFonts w:ascii="Arial" w:cs="Arial" w:eastAsia="Arial" w:hAnsi="Arial"/>
          <w:b w:val="false"/>
          <w:bCs w:val="false"/>
          <w:i w:val="false"/>
          <w:iCs w:val="false"/>
          <w:color w:val="2C2C2C"/>
          <w:sz w:val="20"/>
          <w:szCs w:val="20"/>
        </w:rPr>
        <w:t xml:space="preserve">The following changes are live in the edited document. No formatting, references, citations, or structural notes were removed.</w:t>
      </w:r>
    </w:p>
    <w:p>
      <w:pPr>
        <w:spacing w:after="80"/>
      </w:pPr>
    </w:p>
    <w:p>
      <w:pPr>
        <w:pStyle w:val="ListParagraph"/>
        <w:numPr>
          <w:ilvl w:val="0"/>
          <w:numId w:val="2"/>
        </w:numPr>
        <w:spacing w:after="80"/>
      </w:pPr>
      <w:r>
        <w:rPr>
          <w:rFonts w:ascii="Arial" w:cs="Arial" w:eastAsia="Arial" w:hAnsi="Arial"/>
          <w:color w:val="2C2C2C"/>
          <w:sz w:val="20"/>
          <w:szCs w:val="20"/>
        </w:rPr>
        <w:t xml:space="preserve">Comeback cost calculation: equation removed, replaced with clean narrative preserving $134K recovery figure</w:t>
      </w:r>
    </w:p>
    <w:p>
      <w:pPr>
        <w:pStyle w:val="ListParagraph"/>
        <w:numPr>
          <w:ilvl w:val="0"/>
          <w:numId w:val="2"/>
        </w:numPr>
        <w:spacing w:after="80"/>
      </w:pPr>
      <w:r>
        <w:rPr>
          <w:rFonts w:ascii="Arial" w:cs="Arial" w:eastAsia="Arial" w:hAnsi="Arial"/>
          <w:color w:val="2C2C2C"/>
          <w:sz w:val="20"/>
          <w:szCs w:val="20"/>
        </w:rPr>
        <w:t xml:space="preserve">'1,000 repair orders per month': removed from comeback section to resolve baseline inconsistency</w:t>
      </w:r>
    </w:p>
    <w:p>
      <w:pPr>
        <w:pStyle w:val="ListParagraph"/>
        <w:numPr>
          <w:ilvl w:val="0"/>
          <w:numId w:val="2"/>
        </w:numPr>
        <w:spacing w:after="80"/>
      </w:pPr>
      <w:r>
        <w:rPr>
          <w:rFonts w:ascii="Arial" w:cs="Arial" w:eastAsia="Arial" w:hAnsi="Arial"/>
          <w:color w:val="2C2C2C"/>
          <w:sz w:val="20"/>
          <w:szCs w:val="20"/>
        </w:rPr>
        <w:t xml:space="preserve">'Five revenue channels': updated to 'five channels — four quantified' in abstract, executive summary table, and Section 6 closing</w:t>
      </w:r>
    </w:p>
    <w:p>
      <w:pPr>
        <w:pStyle w:val="ListParagraph"/>
        <w:numPr>
          <w:ilvl w:val="0"/>
          <w:numId w:val="2"/>
        </w:numPr>
        <w:spacing w:after="80"/>
      </w:pPr>
      <w:r>
        <w:rPr>
          <w:rFonts w:ascii="Arial" w:cs="Arial" w:eastAsia="Arial" w:hAnsi="Arial"/>
          <w:color w:val="2C2C2C"/>
          <w:sz w:val="20"/>
          <w:szCs w:val="20"/>
        </w:rPr>
        <w:t xml:space="preserve">Executive summary investment range: corrected from '$96K–$180K' to '$5.7K–$178K'</w:t>
      </w:r>
    </w:p>
    <w:p>
      <w:pPr>
        <w:pStyle w:val="ListParagraph"/>
        <w:numPr>
          <w:ilvl w:val="0"/>
          <w:numId w:val="2"/>
        </w:numPr>
        <w:spacing w:after="80"/>
      </w:pPr>
      <w:r>
        <w:rPr>
          <w:rFonts w:ascii="Arial" w:cs="Arial" w:eastAsia="Arial" w:hAnsi="Arial"/>
          <w:color w:val="2C2C2C"/>
          <w:sz w:val="20"/>
          <w:szCs w:val="20"/>
        </w:rPr>
        <w:t xml:space="preserve">Model 1 net impact table cell: updated from '$61,300 (comeback reduction − cost)' to 'Positive (comeback savings exceed incremental cost)'</w:t>
      </w:r>
    </w:p>
    <w:p>
      <w:pPr>
        <w:pStyle w:val="ListParagraph"/>
        <w:numPr>
          <w:ilvl w:val="0"/>
          <w:numId w:val="2"/>
        </w:numPr>
        <w:spacing w:after="80"/>
      </w:pPr>
      <w:r>
        <w:rPr>
          <w:rFonts w:ascii="Arial" w:cs="Arial" w:eastAsia="Arial" w:hAnsi="Arial"/>
          <w:color w:val="2C2C2C"/>
          <w:sz w:val="20"/>
          <w:szCs w:val="20"/>
        </w:rPr>
        <w:t xml:space="preserve">Model 1 narrative: quality multiplier cost note added to explain the $5,700 figure</w:t>
      </w:r>
    </w:p>
    <w:p>
      <w:pPr>
        <w:pStyle w:val="ListParagraph"/>
        <w:numPr>
          <w:ilvl w:val="0"/>
          <w:numId w:val="2"/>
        </w:numPr>
        <w:spacing w:after="80"/>
      </w:pPr>
      <w:r>
        <w:rPr>
          <w:rFonts w:ascii="Arial" w:cs="Arial" w:eastAsia="Arial" w:hAnsi="Arial"/>
          <w:color w:val="2C2C2C"/>
          <w:sz w:val="20"/>
          <w:szCs w:val="20"/>
        </w:rPr>
        <w:t xml:space="preserve">Model 2 base pay: annual hours assumption added ('based on 2,000 annual working hours')</w:t>
      </w:r>
    </w:p>
    <w:p>
      <w:pPr>
        <w:pStyle w:val="ListParagraph"/>
        <w:numPr>
          <w:ilvl w:val="0"/>
          <w:numId w:val="2"/>
        </w:numPr>
        <w:spacing w:after="80"/>
      </w:pPr>
      <w:r>
        <w:rPr>
          <w:rFonts w:ascii="Arial" w:cs="Arial" w:eastAsia="Arial" w:hAnsi="Arial"/>
          <w:color w:val="2C2C2C"/>
          <w:sz w:val="20"/>
          <w:szCs w:val="20"/>
        </w:rPr>
        <w:t xml:space="preserve">Section 8.1 flag efficiency: labeled 'aspirational benchmark; adjust per store actuals'</w:t>
      </w:r>
    </w:p>
    <w:p>
      <w:pPr>
        <w:pStyle w:val="ListParagraph"/>
        <w:numPr>
          <w:ilvl w:val="0"/>
          <w:numId w:val="2"/>
        </w:numPr>
        <w:spacing w:after="80"/>
      </w:pPr>
      <w:r>
        <w:rPr>
          <w:rFonts w:ascii="Arial" w:cs="Arial" w:eastAsia="Arial" w:hAnsi="Arial"/>
          <w:color w:val="2C2C2C"/>
          <w:sz w:val="20"/>
          <w:szCs w:val="20"/>
        </w:rPr>
        <w:t xml:space="preserve">Front-end gross assumption in Channel 1: assumption note added directing lower-volume operators to substitute their own per-deal figures</w:t>
      </w:r>
    </w:p>
    <w:p>
      <w:pPr>
        <w:pStyle w:val="ListParagraph"/>
        <w:numPr>
          <w:ilvl w:val="0"/>
          <w:numId w:val="2"/>
        </w:numPr>
        <w:spacing w:after="80"/>
      </w:pPr>
      <w:r>
        <w:rPr>
          <w:rFonts w:ascii="Arial" w:cs="Arial" w:eastAsia="Arial" w:hAnsi="Arial"/>
          <w:color w:val="2C2C2C"/>
          <w:sz w:val="20"/>
          <w:szCs w:val="20"/>
        </w:rPr>
        <w:t xml:space="preserve">Volume paradox illustration: 'For illustration:' qualifier added to $550/880 vs $521/1,000 example</w:t>
      </w:r>
    </w:p>
    <w:p>
      <w:pPr>
        <w:pStyle w:val="ListParagraph"/>
        <w:numPr>
          <w:ilvl w:val="0"/>
          <w:numId w:val="2"/>
        </w:numPr>
        <w:spacing w:after="80"/>
      </w:pPr>
      <w:r>
        <w:rPr>
          <w:rFonts w:ascii="Arial" w:cs="Arial" w:eastAsia="Arial" w:hAnsi="Arial"/>
          <w:color w:val="2C2C2C"/>
          <w:sz w:val="20"/>
          <w:szCs w:val="20"/>
        </w:rPr>
        <w:t xml:space="preserve">Model 5 Layer 2 portfolio sizing: explanatory note added reconciling individual vs. cell-level vehicle counts</w:t>
      </w:r>
    </w:p>
    <w:p>
      <w:pPr>
        <w:pStyle w:val="ListParagraph"/>
        <w:numPr>
          <w:ilvl w:val="0"/>
          <w:numId w:val="2"/>
        </w:numPr>
        <w:spacing w:after="80"/>
      </w:pPr>
      <w:r>
        <w:rPr>
          <w:rFonts w:ascii="Arial" w:cs="Arial" w:eastAsia="Arial" w:hAnsi="Arial"/>
          <w:color w:val="2C2C2C"/>
          <w:sz w:val="20"/>
          <w:szCs w:val="20"/>
        </w:rPr>
        <w:t xml:space="preserve">Section 10.1 phase table: updated Phase 3 cell to include Phase 4 reference (Month 10+: Full Activation)</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0F8" w:val="clear"/>
            <w:tcMar>
              <w:top w:type="dxa" w:w="120"/>
              <w:left w:type="dxa" w:w="180"/>
              <w:bottom w:type="dxa" w:w="120"/>
              <w:right w:type="dxa" w:w="180"/>
            </w:tcMar>
          </w:tcPr>
          <w:p>
            <w:pPr>
              <w:spacing w:after="0"/>
            </w:pPr>
            <w:r>
              <w:rPr>
                <w:rFonts w:ascii="Arial" w:cs="Arial" w:eastAsia="Arial" w:hAnsi="Arial"/>
                <w:i/>
                <w:iCs/>
                <w:color w:val="1F3864"/>
                <w:sz w:val="19"/>
                <w:szCs w:val="19"/>
              </w:rPr>
              <w:t xml:space="preserve">The paper is ready for its next audience. The argument is sound. The research is credible. The math, as corrected, will survive a CFO's review. The one remaining author decision: whether to add the Channel 3 assumption disclosure and the top-earner resistance acknowledgment in Section 10. Both would strengthen the paper for a live room. Neither is required. That is a coaching decision, not an editorial one.</w:t>
            </w:r>
          </w:p>
        </w:tc>
      </w:tr>
    </w:tbl>
    <w:p>
      <w:pPr>
        <w:spacing w:after="160"/>
      </w:pPr>
    </w:p>
    <w:p>
      <w:pPr>
        <w:spacing w:before="200"/>
        <w:jc w:val="right"/>
      </w:pPr>
      <w:r>
        <w:rPr>
          <w:rFonts w:ascii="Arial" w:cs="Arial" w:eastAsia="Arial" w:hAnsi="Arial"/>
          <w:i/>
          <w:iCs/>
          <w:color w:val="888888"/>
          <w:sz w:val="18"/>
          <w:szCs w:val="18"/>
        </w:rPr>
        <w:t xml:space="preserve">— Coach Joe Clementi  |  The Leadership Pressure Lab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Rethinking The Flag — Editorial Report  |  Coach Joe Clementi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2026-05-16T16:19:24.595Z</dcterms:created>
  <dcterms:modified xsi:type="dcterms:W3CDTF">2026-05-16T16:19:24.595Z</dcterms:modified>
</cp:coreProperties>
</file>

<file path=docProps/custom.xml><?xml version="1.0" encoding="utf-8"?>
<Properties xmlns="http://schemas.openxmlformats.org/officeDocument/2006/custom-properties" xmlns:vt="http://schemas.openxmlformats.org/officeDocument/2006/docPropsVTypes"/>
</file>