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b/>
          <w:bCs/>
          <w:color w:val="E8663D"/>
          <w:sz w:val="28"/>
          <w:szCs w:val="28"/>
        </w:rPr>
        <w:t xml:space="preserve">🍁 MOMIJI IDE</w:t>
      </w:r>
    </w:p>
    <w:p>
      <w:pPr>
        <w:spacing w:after="120" w:before="0"/>
      </w:pPr>
      <w:r>
        <w:rPr>
          <w:rFonts w:ascii="Georgia" w:cs="Georgia" w:eastAsia="Georgia" w:hAnsi="Georgia"/>
          <w:b/>
          <w:bCs/>
          <w:color w:val="0D0F14"/>
          <w:sz w:val="40"/>
          <w:szCs w:val="40"/>
        </w:rPr>
        <w:t xml:space="preserve">Business Model &amp; Strategy Document</w:t>
      </w:r>
    </w:p>
    <w:p>
      <w:pPr>
        <w:spacing w:after="80"/>
      </w:pPr>
      <w:r>
        <w:rPr>
          <w:rFonts w:ascii="Calibri" w:cs="Calibri" w:eastAsia="Calibri" w:hAnsi="Calibri"/>
          <w:color w:val="6B7280"/>
          <w:sz w:val="22"/>
          <w:szCs w:val="22"/>
        </w:rPr>
        <w:t xml:space="preserve">Version 1.0  ·  2025</w:t>
      </w:r>
    </w:p>
    <w:p>
      <w:pPr>
        <w:pBdr>
          <w:bottom w:val="single" w:color="E8663D" w:sz="8"/>
        </w:pBdr>
        <w:spacing w:after="400"/>
      </w:pPr>
      <w:r>
        <w:t xml:space="preserve"/>
      </w:r>
    </w:p>
    <w:p>
      <w:pPr>
        <w:spacing w:after="80"/>
      </w:pPr>
      <w:r>
        <w:t xml:space="preserve"/>
      </w:r>
    </w:p>
    <w:p>
      <w:pPr>
        <w:pStyle w:val="Heading1"/>
        <w:spacing w:after="160" w:before="400"/>
      </w:pPr>
      <w:r>
        <w:rPr>
          <w:rFonts w:ascii="Georgia" w:cs="Georgia" w:eastAsia="Georgia" w:hAnsi="Georgia"/>
          <w:b/>
          <w:bCs/>
          <w:color w:val="E8663D"/>
          <w:sz w:val="32"/>
          <w:szCs w:val="32"/>
        </w:rPr>
        <w:t xml:space="preserve">1. Executive Summary</w:t>
      </w:r>
    </w:p>
    <w:p>
      <w:pPr>
        <w:spacing w:after="120"/>
      </w:pPr>
      <w:r>
        <w:rPr>
          <w:rFonts w:ascii="Calibri" w:cs="Calibri" w:eastAsia="Calibri" w:hAnsi="Calibri"/>
          <w:color w:val="1E293B"/>
          <w:sz w:val="22"/>
          <w:szCs w:val="22"/>
        </w:rPr>
        <w:t xml:space="preserve">Momiji IDE is an AI-native desktop code editor designed to serve the full spectrum of users — from children learning to code for the first time, to professional game developers and creative industry workers. Powered by Kitsune AI, Momiji combines three programming paradigms in a single application: Block (visual drag-and-drop), Flow (node-graph), and Code (Monaco editor).</w:t>
      </w:r>
    </w:p>
    <w:p>
      <w:pPr>
        <w:spacing w:after="120"/>
      </w:pPr>
      <w:r>
        <w:rPr>
          <w:rFonts w:ascii="Calibri" w:cs="Calibri" w:eastAsia="Calibri" w:hAnsi="Calibri"/>
          <w:color w:val="1E293B"/>
          <w:sz w:val="22"/>
          <w:szCs w:val="22"/>
        </w:rPr>
        <w:t xml:space="preserve">Built on Electron + React with Monaco as its core editor engine, Momiji IDE v1.2.0 is live, free, and available on Windows, macOS, and Linux. The product is currently in organic growth phase prior to introducing a monetization tier.</w:t>
      </w:r>
    </w:p>
    <w:p>
      <w:pPr>
        <w:spacing w:after="80"/>
      </w:pPr>
      <w:r>
        <w:t xml:space="preserve"/>
      </w:r>
    </w:p>
    <w:p>
      <w:pPr>
        <w:pStyle w:val="Heading1"/>
        <w:spacing w:after="160" w:before="400"/>
      </w:pPr>
      <w:r>
        <w:rPr>
          <w:rFonts w:ascii="Georgia" w:cs="Georgia" w:eastAsia="Georgia" w:hAnsi="Georgia"/>
          <w:b/>
          <w:bCs/>
          <w:color w:val="E8663D"/>
          <w:sz w:val="32"/>
          <w:szCs w:val="32"/>
        </w:rPr>
        <w:t xml:space="preserve">2. Product Overview</w:t>
      </w:r>
    </w:p>
    <w:p>
      <w:pPr>
        <w:pStyle w:val="Heading2"/>
        <w:spacing w:after="120" w:before="280"/>
      </w:pPr>
      <w:r>
        <w:rPr>
          <w:rFonts w:ascii="Calibri" w:cs="Calibri" w:eastAsia="Calibri" w:hAnsi="Calibri"/>
          <w:b/>
          <w:bCs/>
          <w:color w:val="1E293B"/>
          <w:sz w:val="26"/>
          <w:szCs w:val="26"/>
        </w:rPr>
        <w:t xml:space="preserve">2.1  Core Value Proposition</w:t>
      </w:r>
    </w:p>
    <w:p>
      <w:pPr>
        <w:spacing w:after="120"/>
      </w:pPr>
      <w:r>
        <w:rPr>
          <w:rFonts w:ascii="Calibri" w:cs="Calibri" w:eastAsia="Calibri" w:hAnsi="Calibri"/>
          <w:color w:val="1E293B"/>
          <w:sz w:val="22"/>
          <w:szCs w:val="22"/>
        </w:rPr>
        <w:t xml:space="preserve">"The AI-native IDE for everyone — from first-time coders to creative professionals."</w:t>
      </w:r>
    </w:p>
    <w:p>
      <w:pPr>
        <w:spacing w:after="120"/>
      </w:pPr>
      <w:r>
        <w:rPr>
          <w:rFonts w:ascii="Calibri" w:cs="Calibri" w:eastAsia="Calibri" w:hAnsi="Calibri"/>
          <w:color w:val="1E293B"/>
          <w:sz w:val="22"/>
          <w:szCs w:val="22"/>
        </w:rPr>
        <w:t xml:space="preserve">Momiji IDE eliminates the steep learning curve of traditional developer tools by offering three interaction modes that users can graduate between, guided by Kitsune AI at every step.</w:t>
      </w:r>
    </w:p>
    <w:p>
      <w:pPr>
        <w:spacing w:after="80"/>
      </w:pPr>
      <w:r>
        <w:t xml:space="preserve"/>
      </w:r>
    </w:p>
    <w:p>
      <w:pPr>
        <w:pStyle w:val="Heading2"/>
        <w:spacing w:after="120" w:before="280"/>
      </w:pPr>
      <w:r>
        <w:rPr>
          <w:rFonts w:ascii="Calibri" w:cs="Calibri" w:eastAsia="Calibri" w:hAnsi="Calibri"/>
          <w:b/>
          <w:bCs/>
          <w:color w:val="1E293B"/>
          <w:sz w:val="26"/>
          <w:szCs w:val="26"/>
        </w:rPr>
        <w:t xml:space="preserve">2.2  Three Programming Modes</w:t>
      </w:r>
    </w:p>
    <w:p>
      <w:pPr>
        <w:pStyle w:val="ListParagraph"/>
        <w:numPr>
          <w:ilvl w:val="0"/>
          <w:numId w:val="2"/>
        </w:numPr>
        <w:spacing w:after="80"/>
      </w:pPr>
      <w:r>
        <w:rPr>
          <w:rFonts w:ascii="Calibri" w:cs="Calibri" w:eastAsia="Calibri" w:hAnsi="Calibri"/>
          <w:color w:val="1E293B"/>
          <w:sz w:val="22"/>
          <w:szCs w:val="22"/>
        </w:rPr>
        <w:t xml:space="preserve">Block Mode — Blockly drag-and-drop interface for beginners, kids, and educators. No syntax required.</w:t>
      </w:r>
    </w:p>
    <w:p>
      <w:pPr>
        <w:pStyle w:val="ListParagraph"/>
        <w:numPr>
          <w:ilvl w:val="0"/>
          <w:numId w:val="2"/>
        </w:numPr>
        <w:spacing w:after="80"/>
      </w:pPr>
      <w:r>
        <w:rPr>
          <w:rFonts w:ascii="Calibri" w:cs="Calibri" w:eastAsia="Calibri" w:hAnsi="Calibri"/>
          <w:color w:val="1E293B"/>
          <w:sz w:val="22"/>
          <w:szCs w:val="22"/>
        </w:rPr>
        <w:t xml:space="preserve">Flow Mode — Visual node-graph editor for designers, animators, and game developers who think visually.</w:t>
      </w:r>
    </w:p>
    <w:p>
      <w:pPr>
        <w:pStyle w:val="ListParagraph"/>
        <w:numPr>
          <w:ilvl w:val="0"/>
          <w:numId w:val="2"/>
        </w:numPr>
        <w:spacing w:after="80"/>
      </w:pPr>
      <w:r>
        <w:rPr>
          <w:rFonts w:ascii="Calibri" w:cs="Calibri" w:eastAsia="Calibri" w:hAnsi="Calibri"/>
          <w:color w:val="1E293B"/>
          <w:sz w:val="22"/>
          <w:szCs w:val="22"/>
        </w:rPr>
        <w:t xml:space="preserve">Code Mode — Full Monaco editor (the VS Code engine) with IntelliSense, 50+ languages, multi-cursor support.</w:t>
      </w:r>
    </w:p>
    <w:p>
      <w:pPr>
        <w:spacing w:after="80"/>
      </w:pPr>
      <w:r>
        <w:t xml:space="preserve"/>
      </w:r>
    </w:p>
    <w:p>
      <w:pPr>
        <w:pStyle w:val="Heading2"/>
        <w:spacing w:after="120" w:before="280"/>
      </w:pPr>
      <w:r>
        <w:rPr>
          <w:rFonts w:ascii="Calibri" w:cs="Calibri" w:eastAsia="Calibri" w:hAnsi="Calibri"/>
          <w:b/>
          <w:bCs/>
          <w:color w:val="1E293B"/>
          <w:sz w:val="26"/>
          <w:szCs w:val="26"/>
        </w:rPr>
        <w:t xml:space="preserve">2.3  Kitsune AI</w:t>
      </w:r>
    </w:p>
    <w:p>
      <w:pPr>
        <w:spacing w:after="120"/>
      </w:pPr>
      <w:r>
        <w:rPr>
          <w:rFonts w:ascii="Calibri" w:cs="Calibri" w:eastAsia="Calibri" w:hAnsi="Calibri"/>
          <w:color w:val="1E293B"/>
          <w:sz w:val="22"/>
          <w:szCs w:val="22"/>
        </w:rPr>
        <w:t xml:space="preserve">Kitsune AI is the intelligent companion embedded throughout Momiji IDE. It operates as both a coding assistant and a natural language explainer, making it accessible to non-technical users while remaining powerful for professionals.</w:t>
      </w:r>
    </w:p>
    <w:p>
      <w:pPr>
        <w:pStyle w:val="ListParagraph"/>
        <w:numPr>
          <w:ilvl w:val="0"/>
          <w:numId w:val="2"/>
        </w:numPr>
        <w:spacing w:after="80"/>
      </w:pPr>
      <w:r>
        <w:rPr>
          <w:rFonts w:ascii="Calibri" w:cs="Calibri" w:eastAsia="Calibri" w:hAnsi="Calibri"/>
          <w:color w:val="1E293B"/>
          <w:sz w:val="22"/>
          <w:szCs w:val="22"/>
        </w:rPr>
        <w:t xml:space="preserve">8 AI provider support: Claude, Gemini, GPT-4o, Groq (free), OpenRouter, DeepSeek, Mistral, Ollama (local)</w:t>
      </w:r>
    </w:p>
    <w:p>
      <w:pPr>
        <w:pStyle w:val="ListParagraph"/>
        <w:numPr>
          <w:ilvl w:val="0"/>
          <w:numId w:val="2"/>
        </w:numPr>
        <w:spacing w:after="80"/>
      </w:pPr>
      <w:r>
        <w:rPr>
          <w:rFonts w:ascii="Calibri" w:cs="Calibri" w:eastAsia="Calibri" w:hAnsi="Calibri"/>
          <w:color w:val="1E293B"/>
          <w:sz w:val="22"/>
          <w:szCs w:val="22"/>
        </w:rPr>
        <w:t xml:space="preserve">7 built-in AI agents: Code Reviewer, Test Writer, Doc Writer, Security Auditor, Refactor Assistant, Bug Hunter, and Custom</w:t>
      </w:r>
    </w:p>
    <w:p>
      <w:pPr>
        <w:pStyle w:val="ListParagraph"/>
        <w:numPr>
          <w:ilvl w:val="0"/>
          <w:numId w:val="2"/>
        </w:numPr>
        <w:spacing w:after="80"/>
      </w:pPr>
      <w:r>
        <w:rPr>
          <w:rFonts w:ascii="Calibri" w:cs="Calibri" w:eastAsia="Calibri" w:hAnsi="Calibri"/>
          <w:color w:val="1E293B"/>
          <w:sz w:val="22"/>
          <w:szCs w:val="22"/>
        </w:rPr>
        <w:t xml:space="preserve">Vision support: paste screenshots for Kitsune to analyze UI, error messages, and diagrams</w:t>
      </w:r>
    </w:p>
    <w:p>
      <w:pPr>
        <w:pStyle w:val="ListParagraph"/>
        <w:numPr>
          <w:ilvl w:val="0"/>
          <w:numId w:val="2"/>
        </w:numPr>
        <w:spacing w:after="80"/>
      </w:pPr>
      <w:r>
        <w:rPr>
          <w:rFonts w:ascii="Calibri" w:cs="Calibri" w:eastAsia="Calibri" w:hAnsi="Calibri"/>
          <w:color w:val="1E293B"/>
          <w:sz w:val="22"/>
          <w:szCs w:val="22"/>
        </w:rPr>
        <w:t xml:space="preserve">Project Memory: Kitsune reads .momiji/kitsune-memory.md to maintain project context across sessions</w:t>
      </w:r>
    </w:p>
    <w:p>
      <w:pPr>
        <w:pStyle w:val="ListParagraph"/>
        <w:numPr>
          <w:ilvl w:val="0"/>
          <w:numId w:val="2"/>
        </w:numPr>
        <w:spacing w:after="80"/>
      </w:pPr>
      <w:r>
        <w:rPr>
          <w:rFonts w:ascii="Calibri" w:cs="Calibri" w:eastAsia="Calibri" w:hAnsi="Calibri"/>
          <w:color w:val="1E293B"/>
          <w:sz w:val="22"/>
          <w:szCs w:val="22"/>
        </w:rPr>
        <w:t xml:space="preserve">BYOK model: users bring their own API keys; keys are stored locally, never sent to Momiji servers</w:t>
      </w:r>
    </w:p>
    <w:p>
      <w:pPr>
        <w:spacing w:after="80"/>
      </w:pPr>
      <w:r>
        <w:t xml:space="preserve"/>
      </w:r>
    </w:p>
    <w:p>
      <w:pPr>
        <w:pStyle w:val="Heading2"/>
        <w:spacing w:after="120" w:before="280"/>
      </w:pPr>
      <w:r>
        <w:rPr>
          <w:rFonts w:ascii="Calibri" w:cs="Calibri" w:eastAsia="Calibri" w:hAnsi="Calibri"/>
          <w:b/>
          <w:bCs/>
          <w:color w:val="1E293B"/>
          <w:sz w:val="26"/>
          <w:szCs w:val="26"/>
        </w:rPr>
        <w:t xml:space="preserve">2.4  Additional Features</w:t>
      </w:r>
    </w:p>
    <w:p>
      <w:pPr>
        <w:pStyle w:val="ListParagraph"/>
        <w:numPr>
          <w:ilvl w:val="0"/>
          <w:numId w:val="2"/>
        </w:numPr>
        <w:spacing w:after="80"/>
      </w:pPr>
      <w:r>
        <w:rPr>
          <w:rFonts w:ascii="Calibri" w:cs="Calibri" w:eastAsia="Calibri" w:hAnsi="Calibri"/>
          <w:color w:val="1E293B"/>
          <w:sz w:val="22"/>
          <w:szCs w:val="22"/>
        </w:rPr>
        <w:t xml:space="preserve">Git integration with inline blame, staging, commit, and diff</w:t>
      </w:r>
    </w:p>
    <w:p>
      <w:pPr>
        <w:pStyle w:val="ListParagraph"/>
        <w:numPr>
          <w:ilvl w:val="0"/>
          <w:numId w:val="2"/>
        </w:numPr>
        <w:spacing w:after="80"/>
      </w:pPr>
      <w:r>
        <w:rPr>
          <w:rFonts w:ascii="Calibri" w:cs="Calibri" w:eastAsia="Calibri" w:hAnsi="Calibri"/>
          <w:color w:val="1E293B"/>
          <w:sz w:val="22"/>
          <w:szCs w:val="22"/>
        </w:rPr>
        <w:t xml:space="preserve">SQLite Explorer — browse and query databases without leaving the IDE</w:t>
      </w:r>
    </w:p>
    <w:p>
      <w:pPr>
        <w:pStyle w:val="ListParagraph"/>
        <w:numPr>
          <w:ilvl w:val="0"/>
          <w:numId w:val="2"/>
        </w:numPr>
        <w:spacing w:after="80"/>
      </w:pPr>
      <w:r>
        <w:rPr>
          <w:rFonts w:ascii="Calibri" w:cs="Calibri" w:eastAsia="Calibri" w:hAnsi="Calibri"/>
          <w:color w:val="1E293B"/>
          <w:sz w:val="22"/>
          <w:szCs w:val="22"/>
        </w:rPr>
        <w:t xml:space="preserve">HTTP Client, Canvas Playground, Regex Playground, Code Screenshot, Package Manager</w:t>
      </w:r>
    </w:p>
    <w:p>
      <w:pPr>
        <w:pStyle w:val="ListParagraph"/>
        <w:numPr>
          <w:ilvl w:val="0"/>
          <w:numId w:val="2"/>
        </w:numPr>
        <w:spacing w:after="80"/>
      </w:pPr>
      <w:r>
        <w:rPr>
          <w:rFonts w:ascii="Calibri" w:cs="Calibri" w:eastAsia="Calibri" w:hAnsi="Calibri"/>
          <w:color w:val="1E293B"/>
          <w:sz w:val="22"/>
          <w:szCs w:val="22"/>
        </w:rPr>
        <w:t xml:space="preserve">Universal file viewer: PDF, images, hex/binary formats</w:t>
      </w:r>
    </w:p>
    <w:p>
      <w:pPr>
        <w:pStyle w:val="ListParagraph"/>
        <w:numPr>
          <w:ilvl w:val="0"/>
          <w:numId w:val="2"/>
        </w:numPr>
        <w:spacing w:after="80"/>
      </w:pPr>
      <w:r>
        <w:rPr>
          <w:rFonts w:ascii="Calibri" w:cs="Calibri" w:eastAsia="Calibri" w:hAnsi="Calibri"/>
          <w:color w:val="1E293B"/>
          <w:sz w:val="22"/>
          <w:szCs w:val="22"/>
        </w:rPr>
        <w:t xml:space="preserve">Command palette (Ctrl+P) with fuzzy file search</w:t>
      </w:r>
    </w:p>
    <w:p>
      <w:pPr>
        <w:spacing w:after="80"/>
      </w:pPr>
      <w:r>
        <w:t xml:space="preserve"/>
      </w:r>
    </w:p>
    <w:p>
      <w:pPr>
        <w:pStyle w:val="Heading1"/>
        <w:spacing w:after="160" w:before="400"/>
      </w:pPr>
      <w:r>
        <w:rPr>
          <w:rFonts w:ascii="Georgia" w:cs="Georgia" w:eastAsia="Georgia" w:hAnsi="Georgia"/>
          <w:b/>
          <w:bCs/>
          <w:color w:val="E8663D"/>
          <w:sz w:val="32"/>
          <w:szCs w:val="32"/>
        </w:rPr>
        <w:t xml:space="preserve">3. Market Opportunity</w:t>
      </w:r>
    </w:p>
    <w:p>
      <w:pPr>
        <w:pStyle w:val="Heading2"/>
        <w:spacing w:after="120" w:before="280"/>
      </w:pPr>
      <w:r>
        <w:rPr>
          <w:rFonts w:ascii="Calibri" w:cs="Calibri" w:eastAsia="Calibri" w:hAnsi="Calibri"/>
          <w:b/>
          <w:bCs/>
          <w:color w:val="1E293B"/>
          <w:sz w:val="26"/>
          <w:szCs w:val="26"/>
        </w:rPr>
        <w:t xml:space="preserve">3.1  Target Segments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Segment</w:t>
            </w:r>
          </w:p>
        </w:tc>
        <w:tc>
          <w:tcPr>
            <w:tcW w:type="dxa" w:w="216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Est. Size</w:t>
            </w:r>
          </w:p>
        </w:tc>
        <w:tc>
          <w:tcPr>
            <w:tcW w:type="dxa" w:w="480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Students &amp; Beginners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2.1B globally</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Ages 10–25 learning to code in schools, bootcamps, or self-directed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Creative Professionals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850M globally</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Game developers, animators, UI/UX designers needing scripting &amp; automation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Non-Technical Builders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1.6B globally</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Business owners, researchers, and makers who want to automate workflows</w:t>
            </w:r>
          </w:p>
        </w:tc>
      </w:tr>
    </w:tbl>
    <w:p>
      <w:pPr>
        <w:spacing w:after="80"/>
      </w:pPr>
      <w:r>
        <w:t xml:space="preserve"/>
      </w:r>
    </w:p>
    <w:p>
      <w:pPr>
        <w:spacing w:after="120"/>
      </w:pPr>
      <w:r>
        <w:rPr>
          <w:rFonts w:ascii="Calibri" w:cs="Calibri" w:eastAsia="Calibri" w:hAnsi="Calibri"/>
          <w:b/>
          <w:bCs/>
          <w:color w:val="1E293B"/>
          <w:sz w:val="22"/>
          <w:szCs w:val="22"/>
        </w:rPr>
        <w:t xml:space="preserve">Total Addressable Market: $28B+ (developer tools) + $12B (coding ed-tech) = $40B+ TAM</w:t>
      </w:r>
    </w:p>
    <w:p>
      <w:pPr>
        <w:spacing w:after="80"/>
      </w:pPr>
      <w:r>
        <w:t xml:space="preserve"/>
      </w:r>
    </w:p>
    <w:p>
      <w:pPr>
        <w:pStyle w:val="Heading2"/>
        <w:spacing w:after="120" w:before="280"/>
      </w:pPr>
      <w:r>
        <w:rPr>
          <w:rFonts w:ascii="Calibri" w:cs="Calibri" w:eastAsia="Calibri" w:hAnsi="Calibri"/>
          <w:b/>
          <w:bCs/>
          <w:color w:val="1E293B"/>
          <w:sz w:val="26"/>
          <w:szCs w:val="26"/>
        </w:rPr>
        <w:t xml:space="preserve">3.2  Geographic Focus</w:t>
      </w:r>
    </w:p>
    <w:p>
      <w:pPr>
        <w:pStyle w:val="ListParagraph"/>
        <w:numPr>
          <w:ilvl w:val="0"/>
          <w:numId w:val="2"/>
        </w:numPr>
        <w:spacing w:after="80"/>
      </w:pPr>
      <w:r>
        <w:rPr>
          <w:rFonts w:ascii="Calibri" w:cs="Calibri" w:eastAsia="Calibri" w:hAnsi="Calibri"/>
          <w:color w:val="1E293B"/>
          <w:sz w:val="22"/>
          <w:szCs w:val="22"/>
        </w:rPr>
        <w:t xml:space="preserve">Phase 1 (Global English-first): GitHub, Product Hunt, Reddit, YouTube</w:t>
      </w:r>
    </w:p>
    <w:p>
      <w:pPr>
        <w:pStyle w:val="ListParagraph"/>
        <w:numPr>
          <w:ilvl w:val="0"/>
          <w:numId w:val="2"/>
        </w:numPr>
        <w:spacing w:after="80"/>
      </w:pPr>
      <w:r>
        <w:rPr>
          <w:rFonts w:ascii="Calibri" w:cs="Calibri" w:eastAsia="Calibri" w:hAnsi="Calibri"/>
          <w:color w:val="1E293B"/>
          <w:sz w:val="22"/>
          <w:szCs w:val="22"/>
        </w:rPr>
        <w:t xml:space="preserve">Phase 2 (SEA): Indonesia, Malaysia, Vietnam — massive untapped developer education market</w:t>
      </w:r>
    </w:p>
    <w:p>
      <w:pPr>
        <w:pStyle w:val="ListParagraph"/>
        <w:numPr>
          <w:ilvl w:val="0"/>
          <w:numId w:val="2"/>
        </w:numPr>
        <w:spacing w:after="80"/>
      </w:pPr>
      <w:r>
        <w:rPr>
          <w:rFonts w:ascii="Calibri" w:cs="Calibri" w:eastAsia="Calibri" w:hAnsi="Calibri"/>
          <w:color w:val="1E293B"/>
          <w:sz w:val="22"/>
          <w:szCs w:val="22"/>
        </w:rPr>
        <w:t xml:space="preserve">Phase 3 (Japan): Anime &amp; game development industry, creative coding community</w:t>
      </w:r>
    </w:p>
    <w:p>
      <w:pPr>
        <w:spacing w:after="80"/>
      </w:pPr>
      <w:r>
        <w:t xml:space="preserve"/>
      </w:r>
    </w:p>
    <w:p>
      <w:pPr>
        <w:pStyle w:val="Heading1"/>
        <w:spacing w:after="160" w:before="400"/>
      </w:pPr>
      <w:r>
        <w:rPr>
          <w:rFonts w:ascii="Georgia" w:cs="Georgia" w:eastAsia="Georgia" w:hAnsi="Georgia"/>
          <w:b/>
          <w:bCs/>
          <w:color w:val="E8663D"/>
          <w:sz w:val="32"/>
          <w:szCs w:val="32"/>
        </w:rPr>
        <w:t xml:space="preserve">4. Business Model</w:t>
      </w:r>
    </w:p>
    <w:p>
      <w:pPr>
        <w:pStyle w:val="Heading2"/>
        <w:spacing w:after="120" w:before="280"/>
      </w:pPr>
      <w:r>
        <w:rPr>
          <w:rFonts w:ascii="Calibri" w:cs="Calibri" w:eastAsia="Calibri" w:hAnsi="Calibri"/>
          <w:b/>
          <w:bCs/>
          <w:color w:val="1E293B"/>
          <w:sz w:val="26"/>
          <w:szCs w:val="26"/>
        </w:rPr>
        <w:t xml:space="preserve">4.1  Revenue Philosophy</w:t>
      </w:r>
    </w:p>
    <w:p>
      <w:pPr>
        <w:spacing w:after="120"/>
      </w:pPr>
      <w:r>
        <w:rPr>
          <w:rFonts w:ascii="Calibri" w:cs="Calibri" w:eastAsia="Calibri" w:hAnsi="Calibri"/>
          <w:color w:val="1E293B"/>
          <w:sz w:val="22"/>
          <w:szCs w:val="22"/>
        </w:rPr>
        <w:t xml:space="preserve">"Free to learn. Pay to power."</w:t>
      </w:r>
    </w:p>
    <w:p>
      <w:pPr>
        <w:spacing w:after="120"/>
      </w:pPr>
      <w:r>
        <w:rPr>
          <w:rFonts w:ascii="Calibri" w:cs="Calibri" w:eastAsia="Calibri" w:hAnsi="Calibri"/>
          <w:color w:val="1E293B"/>
          <w:sz w:val="22"/>
          <w:szCs w:val="22"/>
        </w:rPr>
        <w:t xml:space="preserve">Momiji IDE is and will remain free at its core. This drives organic growth, community trust, and viral adoption — especially in education. Monetization targets power users and organizations who need more AI capability, team features, or dedicated support.</w:t>
      </w:r>
    </w:p>
    <w:p>
      <w:pPr>
        <w:spacing w:after="80"/>
      </w:pPr>
      <w:r>
        <w:t xml:space="preserve"/>
      </w:r>
    </w:p>
    <w:p>
      <w:pPr>
        <w:pStyle w:val="Heading2"/>
        <w:spacing w:after="120" w:before="280"/>
      </w:pPr>
      <w:r>
        <w:rPr>
          <w:rFonts w:ascii="Calibri" w:cs="Calibri" w:eastAsia="Calibri" w:hAnsi="Calibri"/>
          <w:b/>
          <w:bCs/>
          <w:color w:val="1E293B"/>
          <w:sz w:val="26"/>
          <w:szCs w:val="26"/>
        </w:rPr>
        <w:t xml:space="preserve">4.2  Pricing Tiers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W w:type="dxa" w:w="14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Tier</w:t>
            </w:r>
          </w:p>
        </w:tc>
        <w:tc>
          <w:tcPr>
            <w:tcW w:type="dxa" w:w="14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Price</w:t>
            </w:r>
          </w:p>
        </w:tc>
        <w:tc>
          <w:tcPr>
            <w:tcW w:type="dxa" w:w="32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Features</w:t>
            </w:r>
          </w:p>
        </w:tc>
        <w:tc>
          <w:tcPr>
            <w:tcW w:type="dxa" w:w="32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 User</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bCs/>
                <w:color w:val="1E293B"/>
                <w:sz w:val="20"/>
                <w:szCs w:val="20"/>
              </w:rPr>
              <w:t xml:space="preserve">FREE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$0 forever</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Full IDE, Block+Flow+Code, Kitsune via Groq/Gemini free tier, 50 AI requests/day, Sandbox</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Students, hobbyists, learners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bCs/>
                <w:color w:val="E8663D"/>
                <w:sz w:val="20"/>
                <w:szCs w:val="20"/>
              </w:rPr>
              <w:t xml:space="preserve">PRO</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$9/month</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Everything in Free + Claude Haiku AI, unlimited requests, extended memory, cloud sync</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Freelancers, indie devs, indie game devs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bCs/>
                <w:color w:val="D97706"/>
                <w:sz w:val="20"/>
                <w:szCs w:val="20"/>
              </w:rPr>
              <w:t xml:space="preserve">STUDIO</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$24/seat/mo</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Everything in Pro + team workspace, custom Kitsune persona, admin dashboard, priority support</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Game studios, design agencies, creative teams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bCs/>
                <w:color w:val="0891B2"/>
                <w:sz w:val="20"/>
                <w:szCs w:val="20"/>
              </w:rPr>
              <w:t xml:space="preserve">EDU</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Custom</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Bulk licensing, teacher dashboard, student progress tracking, curriculum pathway, SLA support</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Schools, universities, coding bootcamps</w:t>
            </w:r>
          </w:p>
        </w:tc>
      </w:tr>
    </w:tbl>
    <w:p>
      <w:pPr>
        <w:spacing w:after="80"/>
      </w:pPr>
      <w:r>
        <w:t xml:space="preserve"/>
      </w:r>
    </w:p>
    <w:p>
      <w:pPr>
        <w:pStyle w:val="Heading2"/>
        <w:spacing w:after="120" w:before="280"/>
      </w:pPr>
      <w:r>
        <w:rPr>
          <w:rFonts w:ascii="Calibri" w:cs="Calibri" w:eastAsia="Calibri" w:hAnsi="Calibri"/>
          <w:b/>
          <w:bCs/>
          <w:color w:val="1E293B"/>
          <w:sz w:val="26"/>
          <w:szCs w:val="26"/>
        </w:rPr>
        <w:t xml:space="preserve">4.3  Revenue Projections (Conservative)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Milestone</w:t>
            </w:r>
          </w:p>
        </w:tc>
        <w:tc>
          <w:tcPr>
            <w:tcW w:type="dxa" w:w="23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Users</w:t>
            </w:r>
          </w:p>
        </w:tc>
        <w:tc>
          <w:tcPr>
            <w:tcW w:type="dxa" w:w="23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Paid Conv. Rate</w:t>
            </w:r>
          </w:p>
        </w:tc>
        <w:tc>
          <w:tcPr>
            <w:tcW w:type="dxa" w:w="23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Est. MRR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6 months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1,000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Pre-revenue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12 months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5,000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3–5%</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$1,350–$2,250</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18 months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20,000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5–7%</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$9,000–$12,600</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24 months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50,000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7–10%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$31,500–$45,000</w:t>
            </w:r>
          </w:p>
        </w:tc>
      </w:tr>
    </w:tbl>
    <w:p>
      <w:pPr>
        <w:spacing w:after="80"/>
      </w:pPr>
      <w:r>
        <w:t xml:space="preserve"/>
      </w:r>
    </w:p>
    <w:p>
      <w:pPr>
        <w:spacing w:after="120"/>
      </w:pPr>
      <w:r>
        <w:rPr>
          <w:rFonts w:ascii="Calibri" w:cs="Calibri" w:eastAsia="Calibri" w:hAnsi="Calibri"/>
          <w:color w:val="6B7280"/>
          <w:sz w:val="22"/>
          <w:szCs w:val="22"/>
        </w:rPr>
        <w:t xml:space="preserve">Note: Projections assume $9/month blended ARPU across Pro + Studio tiers. EDU contracts would add significant non-recurring revenue on top.</w:t>
      </w:r>
    </w:p>
    <w:p>
      <w:pPr>
        <w:spacing w:after="80"/>
      </w:pPr>
      <w:r>
        <w:t xml:space="preserve"/>
      </w:r>
    </w:p>
    <w:p>
      <w:pPr>
        <w:pStyle w:val="Heading1"/>
        <w:spacing w:after="160" w:before="400"/>
      </w:pPr>
      <w:r>
        <w:rPr>
          <w:rFonts w:ascii="Georgia" w:cs="Georgia" w:eastAsia="Georgia" w:hAnsi="Georgia"/>
          <w:b/>
          <w:bCs/>
          <w:color w:val="E8663D"/>
          <w:sz w:val="32"/>
          <w:szCs w:val="32"/>
        </w:rPr>
        <w:t xml:space="preserve">5. Go-to-Market Strategy</w:t>
      </w:r>
    </w:p>
    <w:p>
      <w:pPr>
        <w:pStyle w:val="Heading2"/>
        <w:spacing w:after="120" w:before="280"/>
      </w:pPr>
      <w:r>
        <w:rPr>
          <w:rFonts w:ascii="Calibri" w:cs="Calibri" w:eastAsia="Calibri" w:hAnsi="Calibri"/>
          <w:b/>
          <w:bCs/>
          <w:color w:val="1E293B"/>
          <w:sz w:val="26"/>
          <w:szCs w:val="26"/>
        </w:rPr>
        <w:t xml:space="preserve">Phase 1 — Organic Growth (0–6 months)</w:t>
      </w:r>
    </w:p>
    <w:p>
      <w:pPr>
        <w:pStyle w:val="ListParagraph"/>
        <w:numPr>
          <w:ilvl w:val="0"/>
          <w:numId w:val="2"/>
        </w:numPr>
        <w:spacing w:after="80"/>
      </w:pPr>
      <w:r>
        <w:rPr>
          <w:rFonts w:ascii="Calibri" w:cs="Calibri" w:eastAsia="Calibri" w:hAnsi="Calibri"/>
          <w:color w:val="1E293B"/>
          <w:sz w:val="22"/>
          <w:szCs w:val="22"/>
        </w:rPr>
        <w:t xml:space="preserve">GitHub: Optimize README, add demo GIFs, target 500+ stars</w:t>
      </w:r>
    </w:p>
    <w:p>
      <w:pPr>
        <w:pStyle w:val="ListParagraph"/>
        <w:numPr>
          <w:ilvl w:val="0"/>
          <w:numId w:val="2"/>
        </w:numPr>
        <w:spacing w:after="80"/>
      </w:pPr>
      <w:r>
        <w:rPr>
          <w:rFonts w:ascii="Calibri" w:cs="Calibri" w:eastAsia="Calibri" w:hAnsi="Calibri"/>
          <w:color w:val="1E293B"/>
          <w:sz w:val="22"/>
          <w:szCs w:val="22"/>
        </w:rPr>
        <w:t xml:space="preserve">Product Hunt launch — coordinate upvotes from network</w:t>
      </w:r>
    </w:p>
    <w:p>
      <w:pPr>
        <w:pStyle w:val="ListParagraph"/>
        <w:numPr>
          <w:ilvl w:val="0"/>
          <w:numId w:val="2"/>
        </w:numPr>
        <w:spacing w:after="80"/>
      </w:pPr>
      <w:r>
        <w:rPr>
          <w:rFonts w:ascii="Calibri" w:cs="Calibri" w:eastAsia="Calibri" w:hAnsi="Calibri"/>
          <w:color w:val="1E293B"/>
          <w:sz w:val="22"/>
          <w:szCs w:val="22"/>
        </w:rPr>
        <w:t xml:space="preserve">Reddit communities: r/learnprogramming, r/gamedev, r/webdev, r/vscode</w:t>
      </w:r>
    </w:p>
    <w:p>
      <w:pPr>
        <w:pStyle w:val="ListParagraph"/>
        <w:numPr>
          <w:ilvl w:val="0"/>
          <w:numId w:val="2"/>
        </w:numPr>
        <w:spacing w:after="80"/>
      </w:pPr>
      <w:r>
        <w:rPr>
          <w:rFonts w:ascii="Calibri" w:cs="Calibri" w:eastAsia="Calibri" w:hAnsi="Calibri"/>
          <w:color w:val="1E293B"/>
          <w:sz w:val="22"/>
          <w:szCs w:val="22"/>
        </w:rPr>
        <w:t xml:space="preserve">YouTube Shorts: 30–60 second demos of Kitsune AI doing impressive tasks</w:t>
      </w:r>
    </w:p>
    <w:p>
      <w:pPr>
        <w:pStyle w:val="ListParagraph"/>
        <w:numPr>
          <w:ilvl w:val="0"/>
          <w:numId w:val="2"/>
        </w:numPr>
        <w:spacing w:after="80"/>
      </w:pPr>
      <w:r>
        <w:rPr>
          <w:rFonts w:ascii="Calibri" w:cs="Calibri" w:eastAsia="Calibri" w:hAnsi="Calibri"/>
          <w:color w:val="1E293B"/>
          <w:sz w:val="22"/>
          <w:szCs w:val="22"/>
        </w:rPr>
        <w:t xml:space="preserve">Dev.to and Hashnode articles: "I built a Cursor alternative with Block coding"</w:t>
      </w:r>
    </w:p>
    <w:p>
      <w:pPr>
        <w:spacing w:after="80"/>
      </w:pPr>
      <w:r>
        <w:t xml:space="preserve"/>
      </w:r>
    </w:p>
    <w:p>
      <w:pPr>
        <w:pStyle w:val="Heading2"/>
        <w:spacing w:after="120" w:before="280"/>
      </w:pPr>
      <w:r>
        <w:rPr>
          <w:rFonts w:ascii="Calibri" w:cs="Calibri" w:eastAsia="Calibri" w:hAnsi="Calibri"/>
          <w:b/>
          <w:bCs/>
          <w:color w:val="1E293B"/>
          <w:sz w:val="26"/>
          <w:szCs w:val="26"/>
        </w:rPr>
        <w:t xml:space="preserve">Phase 2 — Community &amp; Education (6–12 months)</w:t>
      </w:r>
    </w:p>
    <w:p>
      <w:pPr>
        <w:pStyle w:val="ListParagraph"/>
        <w:numPr>
          <w:ilvl w:val="0"/>
          <w:numId w:val="2"/>
        </w:numPr>
        <w:spacing w:after="80"/>
      </w:pPr>
      <w:r>
        <w:rPr>
          <w:rFonts w:ascii="Calibri" w:cs="Calibri" w:eastAsia="Calibri" w:hAnsi="Calibri"/>
          <w:color w:val="1E293B"/>
          <w:sz w:val="22"/>
          <w:szCs w:val="22"/>
        </w:rPr>
        <w:t xml:space="preserve">Introduce Pro tier at 1,000+ active users threshold</w:t>
      </w:r>
    </w:p>
    <w:p>
      <w:pPr>
        <w:pStyle w:val="ListParagraph"/>
        <w:numPr>
          <w:ilvl w:val="0"/>
          <w:numId w:val="2"/>
        </w:numPr>
        <w:spacing w:after="80"/>
      </w:pPr>
      <w:r>
        <w:rPr>
          <w:rFonts w:ascii="Calibri" w:cs="Calibri" w:eastAsia="Calibri" w:hAnsi="Calibri"/>
          <w:color w:val="1E293B"/>
          <w:sz w:val="22"/>
          <w:szCs w:val="22"/>
        </w:rPr>
        <w:t xml:space="preserve">Partner with 2–3 coding bootcamps in Indonesia/Malaysia for EDU pilot</w:t>
      </w:r>
    </w:p>
    <w:p>
      <w:pPr>
        <w:pStyle w:val="ListParagraph"/>
        <w:numPr>
          <w:ilvl w:val="0"/>
          <w:numId w:val="2"/>
        </w:numPr>
        <w:spacing w:after="80"/>
      </w:pPr>
      <w:r>
        <w:rPr>
          <w:rFonts w:ascii="Calibri" w:cs="Calibri" w:eastAsia="Calibri" w:hAnsi="Calibri"/>
          <w:color w:val="1E293B"/>
          <w:sz w:val="22"/>
          <w:szCs w:val="22"/>
        </w:rPr>
        <w:t xml:space="preserve">Plugin/extension ecosystem — let community extend Momiji</w:t>
      </w:r>
    </w:p>
    <w:p>
      <w:pPr>
        <w:pStyle w:val="ListParagraph"/>
        <w:numPr>
          <w:ilvl w:val="0"/>
          <w:numId w:val="2"/>
        </w:numPr>
        <w:spacing w:after="80"/>
      </w:pPr>
      <w:r>
        <w:rPr>
          <w:rFonts w:ascii="Calibri" w:cs="Calibri" w:eastAsia="Calibri" w:hAnsi="Calibri"/>
          <w:color w:val="1E293B"/>
          <w:sz w:val="22"/>
          <w:szCs w:val="22"/>
        </w:rPr>
        <w:t xml:space="preserve">Discord community for Momiji users and creators</w:t>
      </w:r>
    </w:p>
    <w:p>
      <w:pPr>
        <w:pStyle w:val="ListParagraph"/>
        <w:numPr>
          <w:ilvl w:val="0"/>
          <w:numId w:val="2"/>
        </w:numPr>
        <w:spacing w:after="80"/>
      </w:pPr>
      <w:r>
        <w:rPr>
          <w:rFonts w:ascii="Calibri" w:cs="Calibri" w:eastAsia="Calibri" w:hAnsi="Calibri"/>
          <w:color w:val="1E293B"/>
          <w:sz w:val="22"/>
          <w:szCs w:val="22"/>
        </w:rPr>
        <w:t xml:space="preserve">"Powered by Kitsune" badge for community projects</w:t>
      </w:r>
    </w:p>
    <w:p>
      <w:pPr>
        <w:spacing w:after="80"/>
      </w:pPr>
      <w:r>
        <w:t xml:space="preserve"/>
      </w:r>
    </w:p>
    <w:p>
      <w:pPr>
        <w:pStyle w:val="Heading2"/>
        <w:spacing w:after="120" w:before="280"/>
      </w:pPr>
      <w:r>
        <w:rPr>
          <w:rFonts w:ascii="Calibri" w:cs="Calibri" w:eastAsia="Calibri" w:hAnsi="Calibri"/>
          <w:b/>
          <w:bCs/>
          <w:color w:val="1E293B"/>
          <w:sz w:val="26"/>
          <w:szCs w:val="26"/>
        </w:rPr>
        <w:t xml:space="preserve">Phase 3 — Enterprise &amp; Scale (12–24 months)</w:t>
      </w:r>
    </w:p>
    <w:p>
      <w:pPr>
        <w:pStyle w:val="ListParagraph"/>
        <w:numPr>
          <w:ilvl w:val="0"/>
          <w:numId w:val="2"/>
        </w:numPr>
        <w:spacing w:after="80"/>
      </w:pPr>
      <w:r>
        <w:rPr>
          <w:rFonts w:ascii="Calibri" w:cs="Calibri" w:eastAsia="Calibri" w:hAnsi="Calibri"/>
          <w:color w:val="1E293B"/>
          <w:sz w:val="22"/>
          <w:szCs w:val="22"/>
        </w:rPr>
        <w:t xml:space="preserve">Studio tier launch targeting game dev studios and creative agencies</w:t>
      </w:r>
    </w:p>
    <w:p>
      <w:pPr>
        <w:pStyle w:val="ListParagraph"/>
        <w:numPr>
          <w:ilvl w:val="0"/>
          <w:numId w:val="2"/>
        </w:numPr>
        <w:spacing w:after="80"/>
      </w:pPr>
      <w:r>
        <w:rPr>
          <w:rFonts w:ascii="Calibri" w:cs="Calibri" w:eastAsia="Calibri" w:hAnsi="Calibri"/>
          <w:color w:val="1E293B"/>
          <w:sz w:val="22"/>
          <w:szCs w:val="22"/>
        </w:rPr>
        <w:t xml:space="preserve">Kitsune API — allow third-party apps to embed Kitsune AI</w:t>
      </w:r>
    </w:p>
    <w:p>
      <w:pPr>
        <w:pStyle w:val="ListParagraph"/>
        <w:numPr>
          <w:ilvl w:val="0"/>
          <w:numId w:val="2"/>
        </w:numPr>
        <w:spacing w:after="80"/>
      </w:pPr>
      <w:r>
        <w:rPr>
          <w:rFonts w:ascii="Calibri" w:cs="Calibri" w:eastAsia="Calibri" w:hAnsi="Calibri"/>
          <w:color w:val="1E293B"/>
          <w:sz w:val="22"/>
          <w:szCs w:val="22"/>
        </w:rPr>
        <w:t xml:space="preserve">Japan market entry: game development, anime production, creative coding</w:t>
      </w:r>
    </w:p>
    <w:p>
      <w:pPr>
        <w:pStyle w:val="ListParagraph"/>
        <w:numPr>
          <w:ilvl w:val="0"/>
          <w:numId w:val="2"/>
        </w:numPr>
        <w:spacing w:after="80"/>
      </w:pPr>
      <w:r>
        <w:rPr>
          <w:rFonts w:ascii="Calibri" w:cs="Calibri" w:eastAsia="Calibri" w:hAnsi="Calibri"/>
          <w:color w:val="1E293B"/>
          <w:sz w:val="22"/>
          <w:szCs w:val="22"/>
        </w:rPr>
        <w:t xml:space="preserve">Enterprise &amp; corporate training licensing</w:t>
      </w:r>
    </w:p>
    <w:p>
      <w:pPr>
        <w:spacing w:after="80"/>
      </w:pPr>
      <w:r>
        <w:t xml:space="preserve"/>
      </w:r>
    </w:p>
    <w:p>
      <w:pPr>
        <w:pStyle w:val="Heading1"/>
        <w:spacing w:after="160" w:before="400"/>
      </w:pPr>
      <w:r>
        <w:rPr>
          <w:rFonts w:ascii="Georgia" w:cs="Georgia" w:eastAsia="Georgia" w:hAnsi="Georgia"/>
          <w:b/>
          <w:bCs/>
          <w:color w:val="E8663D"/>
          <w:sz w:val="32"/>
          <w:szCs w:val="32"/>
        </w:rPr>
        <w:t xml:space="preserve">6. Competitive Analysis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1200"/>
      </w:tblGrid>
      <w:tr>
        <w:tc>
          <w:tcPr>
            <w:tcW w:type="dxa" w:w="240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w:t>
            </w:r>
          </w:p>
        </w:tc>
        <w:tc>
          <w:tcPr>
            <w:tcW w:type="dxa" w:w="14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Momiji IDE</w:t>
            </w:r>
          </w:p>
        </w:tc>
        <w:tc>
          <w:tcPr>
            <w:tcW w:type="dxa" w:w="14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VS Code / Cursor</w:t>
            </w:r>
          </w:p>
        </w:tc>
        <w:tc>
          <w:tcPr>
            <w:tcW w:type="dxa" w:w="14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Replit</w:t>
            </w:r>
          </w:p>
        </w:tc>
        <w:tc>
          <w:tcPr>
            <w:tcW w:type="dxa" w:w="144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Scratch</w:t>
            </w:r>
          </w:p>
        </w:tc>
        <w:tc>
          <w:tcPr>
            <w:tcW w:type="dxa" w:w="120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Windsurf</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Block/Visual Coding</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Flow/Node Editor</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Pro Code Editor</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AI Built-in</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Multi-provider AI</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Local Offline AI</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Free Forever</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97706"/>
                <w:sz w:val="20"/>
                <w:szCs w:val="20"/>
              </w:rPr>
              <w:t xml:space="preserve">Partial</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Non-coder Friendly</w:t>
            </w:r>
          </w:p>
        </w:tc>
        <w:tc>
          <w:tcPr>
            <w:tcW w:type="dxa" w:w="14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059669"/>
                <w:sz w:val="20"/>
                <w:szCs w:val="20"/>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97706"/>
                <w:sz w:val="20"/>
                <w:szCs w:val="20"/>
              </w:rPr>
              <w:t xml:space="preserve">Partial</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9669"/>
                <w:sz w:val="20"/>
                <w:szCs w:val="20"/>
              </w:rPr>
              <w:t xml:space="preserv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val="false"/>
                <w:bCs w:val="false"/>
                <w:color w:val="9CA3AF"/>
                <w:sz w:val="20"/>
                <w:szCs w:val="20"/>
              </w:rPr>
              <w:t xml:space="preserve">✗</w:t>
            </w:r>
          </w:p>
        </w:tc>
      </w:tr>
    </w:tbl>
    <w:p>
      <w:pPr>
        <w:spacing w:after="80"/>
      </w:pPr>
      <w:r>
        <w:t xml:space="preserve"/>
      </w:r>
    </w:p>
    <w:p>
      <w:pPr>
        <w:spacing w:after="120"/>
      </w:pPr>
      <w:r>
        <w:rPr>
          <w:rFonts w:ascii="Calibri" w:cs="Calibri" w:eastAsia="Calibri" w:hAnsi="Calibri"/>
          <w:b/>
          <w:bCs/>
          <w:color w:val="1E293B"/>
          <w:sz w:val="22"/>
          <w:szCs w:val="22"/>
        </w:rPr>
        <w:t xml:space="preserve">Momiji IDE is the only product that serves the full spectrum from absolute beginner (Block) to professional developer (Code) within a single AI-native application.</w:t>
      </w:r>
    </w:p>
    <w:p>
      <w:pPr>
        <w:spacing w:after="80"/>
      </w:pPr>
      <w:r>
        <w:t xml:space="preserve"/>
      </w:r>
    </w:p>
    <w:p>
      <w:pPr>
        <w:pStyle w:val="Heading1"/>
        <w:spacing w:after="160" w:before="400"/>
      </w:pPr>
      <w:r>
        <w:rPr>
          <w:rFonts w:ascii="Georgia" w:cs="Georgia" w:eastAsia="Georgia" w:hAnsi="Georgia"/>
          <w:b/>
          <w:bCs/>
          <w:color w:val="E8663D"/>
          <w:sz w:val="32"/>
          <w:szCs w:val="32"/>
        </w:rPr>
        <w:t xml:space="preserve">7. Risk Analysis &amp; Mitigation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342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3420"/>
            <w:tcBorders>
              <w:top w:val="single" w:color="E5E7EB" w:sz="1"/>
              <w:left w:val="single" w:color="E5E7EB" w:sz="1"/>
              <w:bottom w:val="single" w:color="E5E7EB" w:sz="1"/>
              <w:right w:val="single" w:color="E5E7EB" w:sz="1"/>
            </w:tcBorders>
            <w:shd w:fill="0D0F1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252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1E293B"/>
                <w:sz w:val="20"/>
                <w:szCs w:val="20"/>
              </w:rPr>
              <w:t xml:space="preserve">AI Cost</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AI inference costs scale with users</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BYOK model eliminates server-side AI costs. Free tier uses Groq (free API)</w:t>
            </w:r>
          </w:p>
        </w:tc>
      </w:tr>
      <w:tr>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bCs/>
                <w:color w:val="1E293B"/>
                <w:sz w:val="20"/>
                <w:szCs w:val="20"/>
              </w:rPr>
              <w:t xml:space="preserve">Bi-directional Sync</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Block ↔ Code sync is technically complex</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Phased implementation; Block and Code can be independent modes initially</w:t>
            </w:r>
          </w:p>
        </w:tc>
      </w:tr>
      <w:tr>
        <w:tc>
          <w:tcPr>
            <w:tcW w:type="dxa" w:w="252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1E293B"/>
                <w:sz w:val="20"/>
                <w:szCs w:val="20"/>
              </w:rPr>
              <w:t xml:space="preserve">Electron Performance</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Heavy RAM/CPU for low-end devices</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Evaluate Tauri migration for v2; optimize startup time with lazy loading</w:t>
            </w:r>
          </w:p>
        </w:tc>
      </w:tr>
      <w:tr>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alibri" w:cs="Calibri" w:eastAsia="Calibri" w:hAnsi="Calibri"/>
                <w:b/>
                <w:bCs/>
                <w:color w:val="1E293B"/>
                <w:sz w:val="20"/>
                <w:szCs w:val="20"/>
              </w:rPr>
              <w:t xml:space="preserve">Big Tech Competition</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Microsoft/Google could add Block mode to VS Code / Colab</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Move fast; build community moat; focus on underserved non-dev users they ignore</w:t>
            </w:r>
          </w:p>
        </w:tc>
      </w:tr>
      <w:tr>
        <w:tc>
          <w:tcPr>
            <w:tcW w:type="dxa" w:w="252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r>
              <w:rPr>
                <w:rFonts w:ascii="Calibri" w:cs="Calibri" w:eastAsia="Calibri" w:hAnsi="Calibri"/>
                <w:b/>
                <w:bCs/>
                <w:color w:val="1E293B"/>
                <w:sz w:val="20"/>
                <w:szCs w:val="20"/>
              </w:rPr>
              <w:t xml:space="preserve">Monetization Timing</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Introducing paid tiers may alienate early community</w:t>
            </w:r>
          </w:p>
        </w:tc>
        <w:tc>
          <w:tcPr>
            <w:tcW w:type="dxa" w:w="34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Keep free tier genuinely useful; paid tiers add AI power, not gate core features</w:t>
            </w:r>
          </w:p>
        </w:tc>
      </w:tr>
    </w:tbl>
    <w:p>
      <w:pPr>
        <w:spacing w:after="80"/>
      </w:pPr>
      <w:r>
        <w:t xml:space="preserve"/>
      </w:r>
    </w:p>
    <w:p>
      <w:pPr>
        <w:pStyle w:val="Heading1"/>
        <w:spacing w:after="160" w:before="400"/>
      </w:pPr>
      <w:r>
        <w:rPr>
          <w:rFonts w:ascii="Georgia" w:cs="Georgia" w:eastAsia="Georgia" w:hAnsi="Georgia"/>
          <w:b/>
          <w:bCs/>
          <w:color w:val="E8663D"/>
          <w:sz w:val="32"/>
          <w:szCs w:val="32"/>
        </w:rPr>
        <w:t xml:space="preserve">8. Product Roadmap</w:t>
      </w:r>
    </w:p>
    <w:p>
      <w:pPr>
        <w:pStyle w:val="Heading2"/>
        <w:spacing w:after="120" w:before="280"/>
      </w:pPr>
      <w:r>
        <w:rPr>
          <w:rFonts w:ascii="Calibri" w:cs="Calibri" w:eastAsia="Calibri" w:hAnsi="Calibri"/>
          <w:b/>
          <w:bCs/>
          <w:color w:val="1E293B"/>
          <w:sz w:val="26"/>
          <w:szCs w:val="26"/>
        </w:rPr>
        <w:t xml:space="preserve">Q1–Q2 2025 (Now)</w:t>
      </w:r>
    </w:p>
    <w:p>
      <w:pPr>
        <w:pStyle w:val="ListParagraph"/>
        <w:numPr>
          <w:ilvl w:val="0"/>
          <w:numId w:val="2"/>
        </w:numPr>
        <w:spacing w:after="80"/>
      </w:pPr>
      <w:r>
        <w:rPr>
          <w:rFonts w:ascii="Calibri" w:cs="Calibri" w:eastAsia="Calibri" w:hAnsi="Calibri"/>
          <w:color w:val="1E293B"/>
          <w:sz w:val="22"/>
          <w:szCs w:val="22"/>
        </w:rPr>
        <w:t xml:space="preserve">v1.2.0 live — Block, Flow, Code, Kitsune AI, 8 providers</w:t>
      </w:r>
    </w:p>
    <w:p>
      <w:pPr>
        <w:pStyle w:val="ListParagraph"/>
        <w:numPr>
          <w:ilvl w:val="0"/>
          <w:numId w:val="2"/>
        </w:numPr>
        <w:spacing w:after="80"/>
      </w:pPr>
      <w:r>
        <w:rPr>
          <w:rFonts w:ascii="Calibri" w:cs="Calibri" w:eastAsia="Calibri" w:hAnsi="Calibri"/>
          <w:color w:val="1E293B"/>
          <w:sz w:val="22"/>
          <w:szCs w:val="22"/>
        </w:rPr>
        <w:t xml:space="preserve">Landing page &amp; GitHub open source release</w:t>
      </w:r>
    </w:p>
    <w:p>
      <w:pPr>
        <w:pStyle w:val="ListParagraph"/>
        <w:numPr>
          <w:ilvl w:val="0"/>
          <w:numId w:val="2"/>
        </w:numPr>
        <w:spacing w:after="80"/>
      </w:pPr>
      <w:r>
        <w:rPr>
          <w:rFonts w:ascii="Calibri" w:cs="Calibri" w:eastAsia="Calibri" w:hAnsi="Calibri"/>
          <w:color w:val="1E293B"/>
          <w:sz w:val="22"/>
          <w:szCs w:val="22"/>
        </w:rPr>
        <w:t xml:space="preserve">Community building: Discord, Reddit, YouTube</w:t>
      </w:r>
    </w:p>
    <w:p>
      <w:pPr>
        <w:spacing w:after="80"/>
      </w:pPr>
      <w:r>
        <w:t xml:space="preserve"/>
      </w:r>
    </w:p>
    <w:p>
      <w:pPr>
        <w:pStyle w:val="Heading2"/>
        <w:spacing w:after="120" w:before="280"/>
      </w:pPr>
      <w:r>
        <w:rPr>
          <w:rFonts w:ascii="Calibri" w:cs="Calibri" w:eastAsia="Calibri" w:hAnsi="Calibri"/>
          <w:b/>
          <w:bCs/>
          <w:color w:val="1E293B"/>
          <w:sz w:val="26"/>
          <w:szCs w:val="26"/>
        </w:rPr>
        <w:t xml:space="preserve">Q3 2025</w:t>
      </w:r>
    </w:p>
    <w:p>
      <w:pPr>
        <w:pStyle w:val="ListParagraph"/>
        <w:numPr>
          <w:ilvl w:val="0"/>
          <w:numId w:val="2"/>
        </w:numPr>
        <w:spacing w:after="80"/>
      </w:pPr>
      <w:r>
        <w:rPr>
          <w:rFonts w:ascii="Calibri" w:cs="Calibri" w:eastAsia="Calibri" w:hAnsi="Calibri"/>
          <w:color w:val="1E293B"/>
          <w:sz w:val="22"/>
          <w:szCs w:val="22"/>
        </w:rPr>
        <w:t xml:space="preserve">Demo video production &amp; Product Hunt launch</w:t>
      </w:r>
    </w:p>
    <w:p>
      <w:pPr>
        <w:pStyle w:val="ListParagraph"/>
        <w:numPr>
          <w:ilvl w:val="0"/>
          <w:numId w:val="2"/>
        </w:numPr>
        <w:spacing w:after="80"/>
      </w:pPr>
      <w:r>
        <w:rPr>
          <w:rFonts w:ascii="Calibri" w:cs="Calibri" w:eastAsia="Calibri" w:hAnsi="Calibri"/>
          <w:color w:val="1E293B"/>
          <w:sz w:val="22"/>
          <w:szCs w:val="22"/>
        </w:rPr>
        <w:t xml:space="preserve">Bi-directional Block ↔ Code sync (v1.3.0)</w:t>
      </w:r>
    </w:p>
    <w:p>
      <w:pPr>
        <w:pStyle w:val="ListParagraph"/>
        <w:numPr>
          <w:ilvl w:val="0"/>
          <w:numId w:val="2"/>
        </w:numPr>
        <w:spacing w:after="80"/>
      </w:pPr>
      <w:r>
        <w:rPr>
          <w:rFonts w:ascii="Calibri" w:cs="Calibri" w:eastAsia="Calibri" w:hAnsi="Calibri"/>
          <w:color w:val="1E293B"/>
          <w:sz w:val="22"/>
          <w:szCs w:val="22"/>
        </w:rPr>
        <w:t xml:space="preserve">Kitsune Memory v2: auto-detect tech stack, smarter context</w:t>
      </w:r>
    </w:p>
    <w:p>
      <w:pPr>
        <w:pStyle w:val="ListParagraph"/>
        <w:numPr>
          <w:ilvl w:val="0"/>
          <w:numId w:val="2"/>
        </w:numPr>
        <w:spacing w:after="80"/>
      </w:pPr>
      <w:r>
        <w:rPr>
          <w:rFonts w:ascii="Calibri" w:cs="Calibri" w:eastAsia="Calibri" w:hAnsi="Calibri"/>
          <w:color w:val="1E293B"/>
          <w:sz w:val="22"/>
          <w:szCs w:val="22"/>
        </w:rPr>
        <w:t xml:space="preserve">Mobile companion app (view &amp; Kitsune chat)</w:t>
      </w:r>
    </w:p>
    <w:p>
      <w:pPr>
        <w:spacing w:after="80"/>
      </w:pPr>
      <w:r>
        <w:t xml:space="preserve"/>
      </w:r>
    </w:p>
    <w:p>
      <w:pPr>
        <w:pStyle w:val="Heading2"/>
        <w:spacing w:after="120" w:before="280"/>
      </w:pPr>
      <w:r>
        <w:rPr>
          <w:rFonts w:ascii="Calibri" w:cs="Calibri" w:eastAsia="Calibri" w:hAnsi="Calibri"/>
          <w:b/>
          <w:bCs/>
          <w:color w:val="1E293B"/>
          <w:sz w:val="26"/>
          <w:szCs w:val="26"/>
        </w:rPr>
        <w:t xml:space="preserve">Q4 2025</w:t>
      </w:r>
    </w:p>
    <w:p>
      <w:pPr>
        <w:pStyle w:val="ListParagraph"/>
        <w:numPr>
          <w:ilvl w:val="0"/>
          <w:numId w:val="2"/>
        </w:numPr>
        <w:spacing w:after="80"/>
      </w:pPr>
      <w:r>
        <w:rPr>
          <w:rFonts w:ascii="Calibri" w:cs="Calibri" w:eastAsia="Calibri" w:hAnsi="Calibri"/>
          <w:color w:val="1E293B"/>
          <w:sz w:val="22"/>
          <w:szCs w:val="22"/>
        </w:rPr>
        <w:t xml:space="preserve">Pro tier launch (targeting 1,000+ active users threshold)</w:t>
      </w:r>
    </w:p>
    <w:p>
      <w:pPr>
        <w:pStyle w:val="ListParagraph"/>
        <w:numPr>
          <w:ilvl w:val="0"/>
          <w:numId w:val="2"/>
        </w:numPr>
        <w:spacing w:after="80"/>
      </w:pPr>
      <w:r>
        <w:rPr>
          <w:rFonts w:ascii="Calibri" w:cs="Calibri" w:eastAsia="Calibri" w:hAnsi="Calibri"/>
          <w:color w:val="1E293B"/>
          <w:sz w:val="22"/>
          <w:szCs w:val="22"/>
        </w:rPr>
        <w:t xml:space="preserve">Plugin/extension API public beta</w:t>
      </w:r>
    </w:p>
    <w:p>
      <w:pPr>
        <w:pStyle w:val="ListParagraph"/>
        <w:numPr>
          <w:ilvl w:val="0"/>
          <w:numId w:val="2"/>
        </w:numPr>
        <w:spacing w:after="80"/>
      </w:pPr>
      <w:r>
        <w:rPr>
          <w:rFonts w:ascii="Calibri" w:cs="Calibri" w:eastAsia="Calibri" w:hAnsi="Calibri"/>
          <w:color w:val="1E293B"/>
          <w:sz w:val="22"/>
          <w:szCs w:val="22"/>
        </w:rPr>
        <w:t xml:space="preserve">EDU pilot with first partner schools</w:t>
      </w:r>
    </w:p>
    <w:p>
      <w:pPr>
        <w:spacing w:after="80"/>
      </w:pPr>
      <w:r>
        <w:t xml:space="preserve"/>
      </w:r>
    </w:p>
    <w:p>
      <w:pPr>
        <w:pStyle w:val="Heading2"/>
        <w:spacing w:after="120" w:before="280"/>
      </w:pPr>
      <w:r>
        <w:rPr>
          <w:rFonts w:ascii="Calibri" w:cs="Calibri" w:eastAsia="Calibri" w:hAnsi="Calibri"/>
          <w:b/>
          <w:bCs/>
          <w:color w:val="1E293B"/>
          <w:sz w:val="26"/>
          <w:szCs w:val="26"/>
        </w:rPr>
        <w:t xml:space="preserve">2026</w:t>
      </w:r>
    </w:p>
    <w:p>
      <w:pPr>
        <w:pStyle w:val="ListParagraph"/>
        <w:numPr>
          <w:ilvl w:val="0"/>
          <w:numId w:val="2"/>
        </w:numPr>
        <w:spacing w:after="80"/>
      </w:pPr>
      <w:r>
        <w:rPr>
          <w:rFonts w:ascii="Calibri" w:cs="Calibri" w:eastAsia="Calibri" w:hAnsi="Calibri"/>
          <w:color w:val="1E293B"/>
          <w:sz w:val="22"/>
          <w:szCs w:val="22"/>
        </w:rPr>
        <w:t xml:space="preserve">Studio tier &amp; team features</w:t>
      </w:r>
    </w:p>
    <w:p>
      <w:pPr>
        <w:pStyle w:val="ListParagraph"/>
        <w:numPr>
          <w:ilvl w:val="0"/>
          <w:numId w:val="2"/>
        </w:numPr>
        <w:spacing w:after="80"/>
      </w:pPr>
      <w:r>
        <w:rPr>
          <w:rFonts w:ascii="Calibri" w:cs="Calibri" w:eastAsia="Calibri" w:hAnsi="Calibri"/>
          <w:color w:val="1E293B"/>
          <w:sz w:val="22"/>
          <w:szCs w:val="22"/>
        </w:rPr>
        <w:t xml:space="preserve">Kitsune API for third-party integration</w:t>
      </w:r>
    </w:p>
    <w:p>
      <w:pPr>
        <w:pStyle w:val="ListParagraph"/>
        <w:numPr>
          <w:ilvl w:val="0"/>
          <w:numId w:val="2"/>
        </w:numPr>
        <w:spacing w:after="80"/>
      </w:pPr>
      <w:r>
        <w:rPr>
          <w:rFonts w:ascii="Calibri" w:cs="Calibri" w:eastAsia="Calibri" w:hAnsi="Calibri"/>
          <w:color w:val="1E293B"/>
          <w:sz w:val="22"/>
          <w:szCs w:val="22"/>
        </w:rPr>
        <w:t xml:space="preserve">Japan market entry</w:t>
      </w:r>
    </w:p>
    <w:p>
      <w:pPr>
        <w:pStyle w:val="ListParagraph"/>
        <w:numPr>
          <w:ilvl w:val="0"/>
          <w:numId w:val="2"/>
        </w:numPr>
        <w:spacing w:after="80"/>
      </w:pPr>
      <w:r>
        <w:rPr>
          <w:rFonts w:ascii="Calibri" w:cs="Calibri" w:eastAsia="Calibri" w:hAnsi="Calibri"/>
          <w:color w:val="1E293B"/>
          <w:sz w:val="22"/>
          <w:szCs w:val="22"/>
        </w:rPr>
        <w:t xml:space="preserve">Series A fundraising if traction confirms</w:t>
      </w:r>
    </w:p>
    <w:p>
      <w:pPr>
        <w:spacing w:after="80"/>
      </w:pPr>
      <w:r>
        <w:t xml:space="preserve"/>
      </w:r>
    </w:p>
    <w:p>
      <w:pPr>
        <w:pStyle w:val="Heading1"/>
        <w:spacing w:after="160" w:before="400"/>
      </w:pPr>
      <w:r>
        <w:rPr>
          <w:rFonts w:ascii="Georgia" w:cs="Georgia" w:eastAsia="Georgia" w:hAnsi="Georgia"/>
          <w:b/>
          <w:bCs/>
          <w:color w:val="E8663D"/>
          <w:sz w:val="32"/>
          <w:szCs w:val="32"/>
        </w:rPr>
        <w:t xml:space="preserve">9. Founding Team</w:t>
      </w:r>
    </w:p>
    <w:p>
      <w:pPr>
        <w:spacing w:after="120"/>
      </w:pPr>
      <w:r>
        <w:rPr>
          <w:rFonts w:ascii="Calibri" w:cs="Calibri" w:eastAsia="Calibri" w:hAnsi="Calibri"/>
          <w:color w:val="1E293B"/>
          <w:sz w:val="22"/>
          <w:szCs w:val="22"/>
        </w:rPr>
        <w:t xml:space="preserve">Momiji IDE was designed and built solo by a Senior R&amp;D Engineer with 8+ years of experience in mechatronics, software development, and AI-integrated systems. The product was developed using Claude Code and demonstrates the potential of AI-assisted solo development to produce production-grade, cross-platform software.</w:t>
      </w:r>
    </w:p>
    <w:p>
      <w:pPr>
        <w:spacing w:after="80"/>
      </w:pPr>
      <w:r>
        <w:t xml:space="preserve"/>
      </w:r>
    </w:p>
    <w:p>
      <w:pPr>
        <w:pStyle w:val="ListParagraph"/>
        <w:numPr>
          <w:ilvl w:val="0"/>
          <w:numId w:val="2"/>
        </w:numPr>
        <w:spacing w:after="80"/>
      </w:pPr>
      <w:r>
        <w:rPr>
          <w:rFonts w:ascii="Calibri" w:cs="Calibri" w:eastAsia="Calibri" w:hAnsi="Calibri"/>
          <w:color w:val="1E293B"/>
          <w:sz w:val="22"/>
          <w:szCs w:val="22"/>
        </w:rPr>
        <w:t xml:space="preserve">Engineering: Full-stack Electron/React development, AI integration, UX design</w:t>
      </w:r>
    </w:p>
    <w:p>
      <w:pPr>
        <w:pStyle w:val="ListParagraph"/>
        <w:numPr>
          <w:ilvl w:val="0"/>
          <w:numId w:val="2"/>
        </w:numPr>
        <w:spacing w:after="80"/>
      </w:pPr>
      <w:r>
        <w:rPr>
          <w:rFonts w:ascii="Calibri" w:cs="Calibri" w:eastAsia="Calibri" w:hAnsi="Calibri"/>
          <w:color w:val="1E293B"/>
          <w:sz w:val="22"/>
          <w:szCs w:val="22"/>
        </w:rPr>
        <w:t xml:space="preserve">Domain expertise: Precision sensing, robotics, control systems — enabling strong technical product instincts</w:t>
      </w:r>
    </w:p>
    <w:p>
      <w:pPr>
        <w:pStyle w:val="ListParagraph"/>
        <w:numPr>
          <w:ilvl w:val="0"/>
          <w:numId w:val="2"/>
        </w:numPr>
        <w:spacing w:after="80"/>
      </w:pPr>
      <w:r>
        <w:rPr>
          <w:rFonts w:ascii="Calibri" w:cs="Calibri" w:eastAsia="Calibri" w:hAnsi="Calibri"/>
          <w:color w:val="1E293B"/>
          <w:sz w:val="22"/>
          <w:szCs w:val="22"/>
        </w:rPr>
        <w:t xml:space="preserve">International background: Indonesia + Japan — dual market insight for SEA and Japanese creative industries</w:t>
      </w:r>
    </w:p>
    <w:p>
      <w:pPr>
        <w:spacing w:after="80"/>
      </w:pPr>
      <w:r>
        <w:t xml:space="preserve"/>
      </w:r>
    </w:p>
    <w:p>
      <w:pPr>
        <w:spacing w:after="120"/>
      </w:pPr>
      <w:r>
        <w:rPr>
          <w:rFonts w:ascii="Calibri" w:cs="Calibri" w:eastAsia="Calibri" w:hAnsi="Calibri"/>
          <w:b/>
          <w:bCs/>
          <w:color w:val="1E293B"/>
          <w:sz w:val="22"/>
          <w:szCs w:val="22"/>
        </w:rPr>
        <w:t xml:space="preserve">Hiring plan with seed funding: 2 full-stack engineers + 1 growth/marketing lead.</w:t>
      </w:r>
    </w:p>
    <w:p>
      <w:pPr>
        <w:spacing w:after="80"/>
      </w:pPr>
      <w:r>
        <w:t xml:space="preserve"/>
      </w:r>
    </w:p>
    <w:p>
      <w:pPr>
        <w:pStyle w:val="Heading1"/>
        <w:spacing w:after="160" w:before="400"/>
      </w:pPr>
      <w:r>
        <w:rPr>
          <w:rFonts w:ascii="Georgia" w:cs="Georgia" w:eastAsia="Georgia" w:hAnsi="Georgia"/>
          <w:b/>
          <w:bCs/>
          <w:color w:val="E8663D"/>
          <w:sz w:val="32"/>
          <w:szCs w:val="32"/>
        </w:rPr>
        <w:t xml:space="preserve">10. Summary</w:t>
      </w:r>
    </w:p>
    <w:p>
      <w:pPr>
        <w:spacing w:after="120"/>
      </w:pPr>
      <w:r>
        <w:rPr>
          <w:rFonts w:ascii="Calibri" w:cs="Calibri" w:eastAsia="Calibri" w:hAnsi="Calibri"/>
          <w:color w:val="1E293B"/>
          <w:sz w:val="22"/>
          <w:szCs w:val="22"/>
        </w:rPr>
        <w:t xml:space="preserve">Momiji IDE addresses a genuine gap in the market: there is no single AI-native development environment that serves the full learning journey from visual blocks to professional code. The BYOK model eliminates server-side AI cost risk. The freemium structure enables viral organic growth before monetization. The global creative and education markets represent a massive, underserved opportunity.</w:t>
      </w:r>
    </w:p>
    <w:p>
      <w:pPr>
        <w:spacing w:after="80"/>
      </w:pPr>
      <w:r>
        <w:t xml:space="preserve"/>
      </w:r>
    </w:p>
    <w:p>
      <w:pPr>
        <w:spacing w:after="120"/>
      </w:pPr>
      <w:r>
        <w:rPr>
          <w:rFonts w:ascii="Calibri" w:cs="Calibri" w:eastAsia="Calibri" w:hAnsi="Calibri"/>
          <w:color w:val="1E293B"/>
          <w:sz w:val="22"/>
          <w:szCs w:val="22"/>
        </w:rPr>
        <w:t xml:space="preserve">We are seeking seed-stage partnership to scale Kitsune AI infrastructure, launch EDU partnerships, and reach 50,000 active users within 12 months.</w:t>
      </w:r>
    </w:p>
    <w:p>
      <w:pPr>
        <w:spacing w:after="80"/>
      </w:pPr>
      <w:r>
        <w:t xml:space="preserve"/>
      </w:r>
    </w:p>
    <w:p>
      <w:pPr>
        <w:pBdr>
          <w:top w:val="single" w:color="E8663D" w:sz="6"/>
        </w:pBdr>
        <w:spacing w:after="120" w:before="200"/>
      </w:pPr>
      <w:r>
        <w:rPr>
          <w:rFonts w:ascii="Consolas" w:cs="Consolas" w:eastAsia="Consolas" w:hAnsi="Consolas"/>
          <w:b/>
          <w:bCs/>
          <w:color w:val="E8663D"/>
          <w:sz w:val="22"/>
          <w:szCs w:val="22"/>
        </w:rPr>
        <w:t xml:space="preserve">🍁  momiji-ide.github.io/momiji-ide   ·   github.com/momiji-ide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2"/>
      <w:szCs w:val="32"/>
    </w:rPr>
  </w:style>
  <w:style w:type="paragraph" w:styleId="Heading2">
    <w:name w:val="Heading 2"/>
    <w:basedOn w:val="Normal"/>
    <w:next w:val="Normal"/>
    <w:qFormat/>
    <w:pPr>
      <w:spacing w:after="12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2026-05-19T03:59:06.349Z</dcterms:created>
  <dcterms:modified xsi:type="dcterms:W3CDTF">2026-05-19T03:59:06.349Z</dcterms:modified>
</cp:coreProperties>
</file>

<file path=docProps/custom.xml><?xml version="1.0" encoding="utf-8"?>
<Properties xmlns="http://schemas.openxmlformats.org/officeDocument/2006/custom-properties" xmlns:vt="http://schemas.openxmlformats.org/officeDocument/2006/docPropsVTypes"/>
</file>