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2A7D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378EE0B1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F4EB3A0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94DEC5A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D70E97A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3FB9AA50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50C7935B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 w:themeColor="text1"/>
          <w:sz w:val="27"/>
          <w:szCs w:val="27"/>
        </w:rPr>
      </w:pPr>
    </w:p>
    <w:p w14:paraId="136CF12A" w14:textId="7777777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</w:p>
    <w:p w14:paraId="556C8956" w14:textId="77777777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</w:p>
    <w:p w14:paraId="3FDD811C" w14:textId="77777777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</w:p>
    <w:p w14:paraId="2FAED2FC" w14:textId="77777777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</w:p>
    <w:p w14:paraId="60E0CFC8" w14:textId="77777777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</w:p>
    <w:p w14:paraId="2B901B60" w14:textId="7777777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</w:p>
    <w:p w14:paraId="5277050B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3B0968AA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3010A49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9F48C22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5B0A057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403CE9E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11A7944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FAACE76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6BF7DE2" w14:textId="77777777" w:rsidR="00003A64" w:rsidRDefault="00003A64" w:rsidP="00003A64"/>
    <w:p w14:paraId="7B4CED16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513068B7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92E1AC2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8C55BFF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1666FF1C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85594DD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563CA4E5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F8ED163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5503A7E4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84CC972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4D8D84F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DEF0387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 w:themeColor="text1"/>
          <w:sz w:val="27"/>
          <w:szCs w:val="27"/>
        </w:rPr>
      </w:pPr>
    </w:p>
    <w:p w14:paraId="256707B2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C9EED3C" w14:textId="7777777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</w:p>
    <w:p w14:paraId="78001220" w14:textId="7777777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</w:p>
    <w:p w14:paraId="35C45514" w14:textId="77777777" w:rsidR="00003A64" w:rsidRDefault="00003A64" w:rsidP="00003A64">
      <w:pPr>
        <w:spacing w:after="240" w:line="360" w:lineRule="auto"/>
      </w:pPr>
    </w:p>
    <w:p w14:paraId="4800B90E" w14:textId="7777777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</w:p>
    <w:p w14:paraId="5EC8314A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74171652" w14:textId="77777777" w:rsidR="00003A64" w:rsidRDefault="00003A64" w:rsidP="00003A64">
      <w:pPr>
        <w:spacing w:before="240" w:after="240" w:line="360" w:lineRule="auto"/>
      </w:pPr>
      <w:r w:rsidRPr="5F6AF6E1">
        <w:rPr>
          <w:rFonts w:ascii="Calibri" w:eastAsia="Calibri" w:hAnsi="Calibri" w:cs="Calibri"/>
          <w:color w:val="000000" w:themeColor="text1"/>
        </w:rPr>
        <w:t>‌</w:t>
      </w:r>
    </w:p>
    <w:p w14:paraId="34C03FFA" w14:textId="77777777" w:rsidR="00003A64" w:rsidRDefault="00003A64" w:rsidP="00003A64">
      <w:pPr>
        <w:spacing w:before="240" w:after="240" w:line="360" w:lineRule="auto"/>
      </w:pPr>
      <w:r w:rsidRPr="5F6AF6E1">
        <w:rPr>
          <w:rFonts w:ascii="Calibri" w:eastAsia="Calibri" w:hAnsi="Calibri" w:cs="Calibri"/>
          <w:color w:val="000000" w:themeColor="text1"/>
        </w:rPr>
        <w:t>‌</w:t>
      </w:r>
    </w:p>
    <w:p w14:paraId="4E631AC8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4B075701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73A18DDD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411251C6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069E5FEB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53A37718" w14:textId="77777777" w:rsidR="00003A64" w:rsidRDefault="00003A64" w:rsidP="00003A6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51603078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Babbar, T.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Understanding the Difference Between Linear and Logistic Regression Models</w:t>
      </w:r>
      <w:r>
        <w:rPr>
          <w:rFonts w:ascii="Calibri" w:hAnsi="Calibri" w:cs="Calibri"/>
          <w:color w:val="000000"/>
          <w:sz w:val="27"/>
          <w:szCs w:val="27"/>
        </w:rPr>
        <w:t xml:space="preserve">. [online] Alliedoffsets.com. Available at: </w:t>
      </w:r>
      <w:hyperlink r:id="rId5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https://blog.alliedoffsets.com/understanding-the-difference-between-linear-and-logistic-regression-models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01 March 2026]</w:t>
      </w:r>
    </w:p>
    <w:p w14:paraId="4244E820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B29DA07" w14:textId="1290F0C0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Buhl, N.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Logistic Regression: Definition, Use Cases, Implementation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encord.com. Available at: </w:t>
      </w:r>
      <w:hyperlink r:id="rId6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https://encord.com/blog/what-is-logistic-regression/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26 February 2026]</w:t>
      </w:r>
    </w:p>
    <w:p w14:paraId="0BF7FBF8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24BD4D5" w14:textId="77777777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Flachaire, E., Sullivan </w:t>
      </w:r>
      <w:proofErr w:type="spellStart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Hué</w:t>
      </w:r>
      <w:proofErr w:type="spellEnd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, Laurent, S. and Gilles </w:t>
      </w:r>
      <w:proofErr w:type="spellStart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Hacheme</w:t>
      </w:r>
      <w:proofErr w:type="spellEnd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(2023). Interpretable Machine Learning Using Partial Linear Models*. </w:t>
      </w:r>
      <w:r w:rsidRPr="5F6AF6E1">
        <w:rPr>
          <w:rFonts w:ascii="Calibri" w:eastAsia="Calibri" w:hAnsi="Calibri" w:cs="Calibri"/>
          <w:i/>
          <w:iCs/>
          <w:color w:val="000000" w:themeColor="text1"/>
          <w:sz w:val="27"/>
          <w:szCs w:val="27"/>
        </w:rPr>
        <w:t>Oxford Bulletin of Economics and Statistics</w:t>
      </w:r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, 86(3), pp.519–540. </w:t>
      </w:r>
      <w:proofErr w:type="spellStart"/>
      <w:proofErr w:type="gramStart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doi:https</w:t>
      </w:r>
      <w:proofErr w:type="spellEnd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://doi.org/10.1111/obes.12592</w:t>
      </w:r>
      <w:proofErr w:type="gramEnd"/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.</w:t>
      </w:r>
      <w:r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[accessed 4</w:t>
      </w:r>
      <w:r w:rsidRPr="00F47F89">
        <w:rPr>
          <w:rFonts w:ascii="Calibri" w:eastAsia="Calibri" w:hAnsi="Calibri" w:cs="Calibri"/>
          <w:color w:val="000000" w:themeColor="text1"/>
          <w:sz w:val="27"/>
          <w:szCs w:val="27"/>
          <w:vertAlign w:val="superscript"/>
        </w:rPr>
        <w:t>th</w:t>
      </w:r>
      <w:r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March 2026] </w:t>
      </w:r>
    </w:p>
    <w:p w14:paraId="681EFD77" w14:textId="77777777" w:rsidR="00003A64" w:rsidRDefault="00003A64" w:rsidP="00003A64">
      <w:pPr>
        <w:spacing w:line="360" w:lineRule="auto"/>
      </w:pPr>
    </w:p>
    <w:p w14:paraId="07EEB6A5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proofErr w:type="spellStart"/>
      <w:r>
        <w:rPr>
          <w:rFonts w:ascii="Calibri" w:hAnsi="Calibri" w:cs="Calibri"/>
          <w:color w:val="000000"/>
          <w:sz w:val="27"/>
          <w:szCs w:val="27"/>
        </w:rPr>
        <w:t>FlyRank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. (2025).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Using K-Means Clustering for Healthcare Analytics</w:t>
      </w:r>
      <w:r>
        <w:rPr>
          <w:rFonts w:ascii="Calibri" w:hAnsi="Calibri" w:cs="Calibri"/>
          <w:color w:val="000000"/>
          <w:sz w:val="27"/>
          <w:szCs w:val="27"/>
        </w:rPr>
        <w:t>. [online] Available at: https://flyrank.zendesk.com/hc/en-us/articles/26277544687634-Using-K-Means-Clustering-for-Healthcare-Analytics [Accessed 23</w:t>
      </w:r>
      <w:r w:rsidRPr="00FE63D4">
        <w:rPr>
          <w:rFonts w:ascii="Calibri" w:hAnsi="Calibri" w:cs="Calibri"/>
          <w:color w:val="000000"/>
          <w:sz w:val="27"/>
          <w:szCs w:val="27"/>
          <w:vertAlign w:val="superscript"/>
        </w:rPr>
        <w:t>rd</w:t>
      </w:r>
      <w:r>
        <w:rPr>
          <w:rFonts w:ascii="Calibri" w:hAnsi="Calibri" w:cs="Calibri"/>
          <w:color w:val="000000"/>
          <w:sz w:val="27"/>
          <w:szCs w:val="27"/>
        </w:rPr>
        <w:t xml:space="preserve"> March 2026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] .</w:t>
      </w:r>
      <w:proofErr w:type="gramEnd"/>
    </w:p>
    <w:p w14:paraId="6BE18772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6160066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Google for Developers. (2024).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Advantages and disadvantages of k-means</w:t>
      </w:r>
      <w:r>
        <w:rPr>
          <w:rFonts w:ascii="Calibri" w:hAnsi="Calibri" w:cs="Calibri"/>
          <w:color w:val="000000"/>
          <w:sz w:val="27"/>
          <w:szCs w:val="27"/>
        </w:rPr>
        <w:t xml:space="preserve">. [online] Available at: </w:t>
      </w:r>
      <w:hyperlink r:id="rId7" w:history="1">
        <w:r w:rsidRPr="00FB1A35">
          <w:rPr>
            <w:rStyle w:val="Hyperlink"/>
            <w:rFonts w:ascii="Calibri" w:hAnsi="Calibri" w:cs="Calibri"/>
            <w:sz w:val="27"/>
            <w:szCs w:val="27"/>
          </w:rPr>
          <w:t>https://developers.google.com/machine-learning/clustering/kmeans/advantages-disadvantages</w:t>
        </w:r>
      </w:hyperlink>
      <w:r>
        <w:rPr>
          <w:rFonts w:ascii="Calibri" w:hAnsi="Calibri" w:cs="Calibri"/>
          <w:color w:val="000000"/>
          <w:sz w:val="27"/>
          <w:szCs w:val="27"/>
        </w:rPr>
        <w:t>.  [accessed 23</w:t>
      </w:r>
      <w:r w:rsidRPr="00FE63D4">
        <w:rPr>
          <w:rFonts w:ascii="Calibri" w:hAnsi="Calibri" w:cs="Calibri"/>
          <w:color w:val="000000"/>
          <w:sz w:val="27"/>
          <w:szCs w:val="27"/>
          <w:vertAlign w:val="superscript"/>
        </w:rPr>
        <w:t>rd</w:t>
      </w:r>
      <w:r>
        <w:rPr>
          <w:rFonts w:ascii="Calibri" w:hAnsi="Calibri" w:cs="Calibri"/>
          <w:color w:val="000000"/>
          <w:sz w:val="27"/>
          <w:szCs w:val="27"/>
        </w:rPr>
        <w:t xml:space="preserve"> March 2026]</w:t>
      </w:r>
    </w:p>
    <w:p w14:paraId="23C8DAED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522057FC" w14:textId="77777777" w:rsidR="00003A64" w:rsidRDefault="00003A64" w:rsidP="00003A64">
      <w:pPr>
        <w:spacing w:after="240" w:line="360" w:lineRule="auto"/>
      </w:pPr>
      <w:r w:rsidRPr="3EC30162">
        <w:rPr>
          <w:rFonts w:ascii="Times New Roman" w:eastAsia="Times New Roman" w:hAnsi="Times New Roman" w:cs="Times New Roman"/>
        </w:rPr>
        <w:t xml:space="preserve">Inside Learning Machines (2023). </w:t>
      </w:r>
      <w:r w:rsidRPr="3EC30162">
        <w:rPr>
          <w:rFonts w:ascii="Times New Roman" w:eastAsia="Times New Roman" w:hAnsi="Times New Roman" w:cs="Times New Roman"/>
          <w:i/>
          <w:iCs/>
        </w:rPr>
        <w:t>8 Key Advantages and Disadvantages of Decision Trees - inside Learning Machines</w:t>
      </w:r>
      <w:r w:rsidRPr="3EC30162">
        <w:rPr>
          <w:rFonts w:ascii="Times New Roman" w:eastAsia="Times New Roman" w:hAnsi="Times New Roman" w:cs="Times New Roman"/>
        </w:rPr>
        <w:t xml:space="preserve">. [online] Inside Learning Machines. Available at: </w:t>
      </w:r>
      <w:hyperlink r:id="rId8">
        <w:r w:rsidRPr="3EC30162">
          <w:rPr>
            <w:rStyle w:val="Hyperlink"/>
            <w:rFonts w:ascii="Times New Roman" w:eastAsia="Times New Roman" w:hAnsi="Times New Roman" w:cs="Times New Roman"/>
          </w:rPr>
          <w:t>https://insidelearningmachines.com/advantages_and_disadvantages_of_decision_trees/</w:t>
        </w:r>
      </w:hyperlink>
      <w:r w:rsidRPr="3EC30162">
        <w:rPr>
          <w:rFonts w:ascii="Times New Roman" w:eastAsia="Times New Roman" w:hAnsi="Times New Roman" w:cs="Times New Roman"/>
        </w:rPr>
        <w:t>. [Accessed: 16 March 2026]</w:t>
      </w:r>
    </w:p>
    <w:p w14:paraId="140A4329" w14:textId="3C176740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Jain, O.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Logistic Regression: A Comprehensive Introduction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Medium. Available at: </w:t>
      </w:r>
      <w:hyperlink r:id="rId9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https://osheenjain.medium.com/unlock-the-power-of-logistic-regression-a-comprehensive-introductio</w:t>
        </w:r>
        <w:r w:rsidRPr="00BF1833">
          <w:rPr>
            <w:rStyle w:val="Hyperlink"/>
            <w:rFonts w:ascii="Calibri" w:hAnsi="Calibri" w:cs="Calibri"/>
            <w:sz w:val="27"/>
            <w:szCs w:val="27"/>
          </w:rPr>
          <w:t>n</w:t>
        </w:r>
        <w:r w:rsidRPr="00BF1833">
          <w:rPr>
            <w:rStyle w:val="Hyperlink"/>
            <w:rFonts w:ascii="Calibri" w:hAnsi="Calibri" w:cs="Calibri"/>
            <w:sz w:val="27"/>
            <w:szCs w:val="27"/>
          </w:rPr>
          <w:t>-e0e8ba98917d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25 February 2026]</w:t>
      </w:r>
    </w:p>
    <w:p w14:paraId="72A4FAC0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4B6BC46" w14:textId="77777777" w:rsidR="00003A64" w:rsidRDefault="00003A64" w:rsidP="00003A64">
      <w:pPr>
        <w:spacing w:after="240" w:line="360" w:lineRule="auto"/>
      </w:pPr>
      <w:proofErr w:type="spellStart"/>
      <w:r w:rsidRPr="3EC30162">
        <w:rPr>
          <w:rFonts w:ascii="Times New Roman" w:eastAsia="Times New Roman" w:hAnsi="Times New Roman" w:cs="Times New Roman"/>
        </w:rPr>
        <w:t>LabXchange</w:t>
      </w:r>
      <w:proofErr w:type="spellEnd"/>
      <w:r w:rsidRPr="3EC30162">
        <w:rPr>
          <w:rFonts w:ascii="Times New Roman" w:eastAsia="Times New Roman" w:hAnsi="Times New Roman" w:cs="Times New Roman"/>
        </w:rPr>
        <w:t xml:space="preserve"> (2021). </w:t>
      </w:r>
      <w:proofErr w:type="spellStart"/>
      <w:r w:rsidRPr="3EC30162">
        <w:rPr>
          <w:rFonts w:ascii="Times New Roman" w:eastAsia="Times New Roman" w:hAnsi="Times New Roman" w:cs="Times New Roman"/>
          <w:i/>
          <w:iCs/>
        </w:rPr>
        <w:t>LabXchange</w:t>
      </w:r>
      <w:proofErr w:type="spellEnd"/>
      <w:r w:rsidRPr="3EC30162">
        <w:rPr>
          <w:rFonts w:ascii="Times New Roman" w:eastAsia="Times New Roman" w:hAnsi="Times New Roman" w:cs="Times New Roman"/>
        </w:rPr>
        <w:t xml:space="preserve">. [online] </w:t>
      </w:r>
      <w:hyperlink r:id="rId10">
        <w:r w:rsidRPr="3EC30162">
          <w:rPr>
            <w:rStyle w:val="Hyperlink"/>
            <w:rFonts w:ascii="Times New Roman" w:eastAsia="Times New Roman" w:hAnsi="Times New Roman" w:cs="Times New Roman"/>
          </w:rPr>
          <w:t>www.labxchange.org</w:t>
        </w:r>
      </w:hyperlink>
      <w:r w:rsidRPr="3EC30162">
        <w:rPr>
          <w:rFonts w:ascii="Times New Roman" w:eastAsia="Times New Roman" w:hAnsi="Times New Roman" w:cs="Times New Roman"/>
        </w:rPr>
        <w:t xml:space="preserve">. Available at: </w:t>
      </w:r>
      <w:hyperlink r:id="rId11">
        <w:r w:rsidRPr="3EC30162">
          <w:rPr>
            <w:rStyle w:val="Hyperlink"/>
            <w:rFonts w:ascii="Times New Roman" w:eastAsia="Times New Roman" w:hAnsi="Times New Roman" w:cs="Times New Roman"/>
          </w:rPr>
          <w:t>https://www.labxchange.org/library/items/lb:LabXchange:10d3270e:html:1</w:t>
        </w:r>
      </w:hyperlink>
      <w:r w:rsidRPr="3EC30162">
        <w:rPr>
          <w:rFonts w:ascii="Times New Roman" w:eastAsia="Times New Roman" w:hAnsi="Times New Roman" w:cs="Times New Roman"/>
        </w:rPr>
        <w:t>. [Accessed: 4 March 2026]</w:t>
      </w:r>
    </w:p>
    <w:p w14:paraId="1CE217CB" w14:textId="010082C3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Macro (2024).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Understanding Multicollinearity in Regression Analysis: An In-Depth Exploration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Medium. Available at: </w:t>
      </w:r>
      <w:hyperlink r:id="rId12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https://medium.com/@jangdaehan1/understanding-multicollinearity-in-regression-analysis-an-in-depth-exploration-61dd14c445da</w:t>
        </w:r>
      </w:hyperlink>
      <w:r>
        <w:rPr>
          <w:rFonts w:ascii="Calibri" w:hAnsi="Calibri" w:cs="Calibri"/>
          <w:color w:val="000000"/>
          <w:sz w:val="27"/>
          <w:szCs w:val="27"/>
        </w:rPr>
        <w:t>.[ accessed 01 March 2026]</w:t>
      </w:r>
    </w:p>
    <w:p w14:paraId="01C7A80D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A157FF9" w14:textId="5DCE5148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Medium (2023). 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 xml:space="preserve">Why is Data Understanding </w:t>
      </w:r>
      <w:proofErr w:type="gramStart"/>
      <w:r>
        <w:rPr>
          <w:rFonts w:ascii="Calibri" w:hAnsi="Calibri" w:cs="Calibri"/>
          <w:i/>
          <w:iCs/>
          <w:color w:val="000000"/>
          <w:sz w:val="27"/>
          <w:szCs w:val="27"/>
        </w:rPr>
        <w:t>is</w:t>
      </w:r>
      <w:proofErr w:type="gramEnd"/>
      <w:r>
        <w:rPr>
          <w:rFonts w:ascii="Calibri" w:hAnsi="Calibri" w:cs="Calibri"/>
          <w:i/>
          <w:iCs/>
          <w:color w:val="000000"/>
          <w:sz w:val="27"/>
          <w:szCs w:val="27"/>
        </w:rPr>
        <w:t xml:space="preserve"> Crucial Steps in Data Analytics. </w:t>
      </w:r>
      <w:r>
        <w:rPr>
          <w:rFonts w:ascii="Calibri" w:hAnsi="Calibri" w:cs="Calibri"/>
          <w:color w:val="000000"/>
          <w:sz w:val="27"/>
          <w:szCs w:val="27"/>
        </w:rPr>
        <w:t xml:space="preserve">Available from: </w:t>
      </w:r>
      <w:hyperlink r:id="rId13" w:history="1">
        <w:r w:rsidRPr="00BE6E69">
          <w:rPr>
            <w:rStyle w:val="Hyperlink"/>
            <w:rFonts w:ascii="Calibri" w:hAnsi="Calibri" w:cs="Calibri"/>
            <w:sz w:val="27"/>
            <w:szCs w:val="27"/>
          </w:rPr>
          <w:t>https://medium.com/@onurcoskun1983/why-is-data-understanding-is-crucial-step-in-data-analytics-c41a898792be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 [Accessed 18 March 2026].</w:t>
      </w:r>
    </w:p>
    <w:p w14:paraId="4048D28A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E040C1D" w14:textId="1E46CCFD" w:rsidR="00003A64" w:rsidRDefault="00003A64" w:rsidP="00003A64">
      <w:pPr>
        <w:spacing w:line="360" w:lineRule="auto"/>
        <w:rPr>
          <w:rFonts w:ascii="Calibri" w:eastAsia="Calibri" w:hAnsi="Calibri" w:cs="Calibri"/>
          <w:color w:val="000000" w:themeColor="text1"/>
          <w:sz w:val="27"/>
          <w:szCs w:val="27"/>
        </w:rPr>
      </w:pPr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NHS England (2022). </w:t>
      </w:r>
      <w:r w:rsidRPr="5F6AF6E1">
        <w:rPr>
          <w:rFonts w:ascii="Calibri" w:eastAsia="Calibri" w:hAnsi="Calibri" w:cs="Calibri"/>
          <w:i/>
          <w:iCs/>
          <w:color w:val="000000" w:themeColor="text1"/>
          <w:sz w:val="27"/>
          <w:szCs w:val="27"/>
        </w:rPr>
        <w:t>NHS England» Did Not Attends (DNAs)</w:t>
      </w:r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. [online] </w:t>
      </w:r>
      <w:hyperlink r:id="rId14">
        <w:r w:rsidRPr="5F6AF6E1">
          <w:rPr>
            <w:rStyle w:val="Hyperlink"/>
            <w:rFonts w:ascii="Calibri" w:eastAsia="Calibri" w:hAnsi="Calibri" w:cs="Calibri"/>
            <w:sz w:val="27"/>
            <w:szCs w:val="27"/>
          </w:rPr>
          <w:t>www.england.nhs.uk</w:t>
        </w:r>
      </w:hyperlink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. Available at: </w:t>
      </w:r>
      <w:hyperlink r:id="rId15">
        <w:r w:rsidRPr="5F6AF6E1">
          <w:rPr>
            <w:rStyle w:val="Hyperlink"/>
            <w:rFonts w:ascii="Calibri" w:eastAsia="Calibri" w:hAnsi="Calibri" w:cs="Calibri"/>
            <w:sz w:val="27"/>
            <w:szCs w:val="27"/>
          </w:rPr>
          <w:t>https://www.england.nhs.uk/outpatient-transformation-programme/did-not-attends-dnas/</w:t>
        </w:r>
      </w:hyperlink>
      <w:r w:rsidRPr="5F6AF6E1">
        <w:rPr>
          <w:rFonts w:ascii="Calibri" w:eastAsia="Calibri" w:hAnsi="Calibri" w:cs="Calibri"/>
          <w:color w:val="000000" w:themeColor="text1"/>
          <w:sz w:val="27"/>
          <w:szCs w:val="27"/>
        </w:rPr>
        <w:t>.</w:t>
      </w:r>
      <w:r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[accessed 20</w:t>
      </w:r>
      <w:r w:rsidRPr="00504B4A">
        <w:rPr>
          <w:rFonts w:ascii="Calibri" w:eastAsia="Calibri" w:hAnsi="Calibri" w:cs="Calibri"/>
          <w:color w:val="000000" w:themeColor="text1"/>
          <w:sz w:val="27"/>
          <w:szCs w:val="27"/>
          <w:vertAlign w:val="superscript"/>
        </w:rPr>
        <w:t>th</w:t>
      </w:r>
      <w:r>
        <w:rPr>
          <w:rFonts w:ascii="Calibri" w:eastAsia="Calibri" w:hAnsi="Calibri" w:cs="Calibri"/>
          <w:color w:val="000000" w:themeColor="text1"/>
          <w:sz w:val="27"/>
          <w:szCs w:val="27"/>
        </w:rPr>
        <w:t xml:space="preserve"> March 2026]</w:t>
      </w:r>
    </w:p>
    <w:p w14:paraId="2FF4A6C5" w14:textId="77777777" w:rsidR="00003A64" w:rsidRDefault="00003A64" w:rsidP="00003A64">
      <w:pPr>
        <w:spacing w:line="360" w:lineRule="auto"/>
      </w:pPr>
    </w:p>
    <w:p w14:paraId="2C51A83A" w14:textId="34746D59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proofErr w:type="spellStart"/>
      <w:r>
        <w:rPr>
          <w:rFonts w:ascii="Calibri" w:hAnsi="Calibri" w:cs="Calibri"/>
          <w:color w:val="000000"/>
          <w:sz w:val="27"/>
          <w:szCs w:val="27"/>
        </w:rPr>
        <w:t>Stumpfe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, S.F. and Shongwe, S.C. (2026). Comparative Analysis and Optimisation of Machine Learning Models for Regression and Classification on Structured Tabular Datasets.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Mathematics</w:t>
      </w:r>
      <w:r>
        <w:rPr>
          <w:rFonts w:ascii="Calibri" w:hAnsi="Calibri" w:cs="Calibri"/>
          <w:color w:val="000000"/>
          <w:sz w:val="27"/>
          <w:szCs w:val="27"/>
        </w:rPr>
        <w:t xml:space="preserve">, 14(3), p.473.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doi:https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://doi.org/10.3390/math14030473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 [accessed 1</w:t>
      </w:r>
      <w:r w:rsidRPr="00504B4A">
        <w:rPr>
          <w:rFonts w:ascii="Calibri" w:hAnsi="Calibri" w:cs="Calibri"/>
          <w:color w:val="000000"/>
          <w:sz w:val="27"/>
          <w:szCs w:val="27"/>
          <w:vertAlign w:val="superscript"/>
        </w:rPr>
        <w:t>st</w:t>
      </w:r>
      <w:r>
        <w:rPr>
          <w:rFonts w:ascii="Calibri" w:hAnsi="Calibri" w:cs="Calibri"/>
          <w:color w:val="000000"/>
          <w:sz w:val="27"/>
          <w:szCs w:val="27"/>
        </w:rPr>
        <w:t xml:space="preserve"> March 2026]</w:t>
      </w:r>
    </w:p>
    <w:p w14:paraId="59C698F5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83498B1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proofErr w:type="spellStart"/>
      <w:r>
        <w:rPr>
          <w:rFonts w:ascii="Calibri" w:hAnsi="Calibri" w:cs="Calibri"/>
          <w:color w:val="000000"/>
          <w:sz w:val="27"/>
          <w:szCs w:val="27"/>
        </w:rPr>
        <w:t>Unimrkt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The Importance of Data Cleaning</w:t>
      </w:r>
      <w:r>
        <w:rPr>
          <w:rFonts w:ascii="Calibri" w:hAnsi="Calibri" w:cs="Calibri"/>
          <w:color w:val="000000"/>
          <w:sz w:val="27"/>
          <w:szCs w:val="27"/>
        </w:rPr>
        <w:t xml:space="preserve">. [online]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Unimrkt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 xml:space="preserve"> Research. Available at: </w:t>
      </w:r>
      <w:hyperlink r:id="rId16" w:history="1">
        <w:r w:rsidRPr="00FB1A35">
          <w:rPr>
            <w:rStyle w:val="Hyperlink"/>
            <w:rFonts w:ascii="Calibri" w:hAnsi="Calibri" w:cs="Calibri"/>
            <w:sz w:val="27"/>
            <w:szCs w:val="27"/>
          </w:rPr>
          <w:t>https://www.unimrkt.com/blog/the-importance-of-data-cleaning.php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18</w:t>
      </w:r>
      <w:r w:rsidRPr="00F11AEF">
        <w:rPr>
          <w:rFonts w:ascii="Calibri" w:hAnsi="Calibri" w:cs="Calibri"/>
          <w:color w:val="000000"/>
          <w:sz w:val="27"/>
          <w:szCs w:val="27"/>
          <w:vertAlign w:val="superscript"/>
        </w:rPr>
        <w:t>th</w:t>
      </w:r>
      <w:r>
        <w:rPr>
          <w:rFonts w:ascii="Calibri" w:hAnsi="Calibri" w:cs="Calibri"/>
          <w:color w:val="000000"/>
          <w:sz w:val="27"/>
          <w:szCs w:val="27"/>
        </w:rPr>
        <w:t xml:space="preserve"> March 2026]</w:t>
      </w:r>
    </w:p>
    <w:p w14:paraId="627AE7AD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219FFF21" w14:textId="77777777" w:rsidR="00003A64" w:rsidRDefault="00003A64" w:rsidP="00003A6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E7EEA88" w14:textId="154D9237" w:rsidR="00003A64" w:rsidRDefault="00003A64" w:rsidP="00003A64">
      <w:pPr>
        <w:spacing w:after="240" w:line="360" w:lineRule="auto"/>
        <w:rPr>
          <w:rFonts w:ascii="Times New Roman" w:eastAsia="Times New Roman" w:hAnsi="Times New Roman" w:cs="Times New Roman"/>
        </w:rPr>
      </w:pPr>
      <w:r w:rsidRPr="3EC30162">
        <w:rPr>
          <w:rFonts w:ascii="Times New Roman" w:eastAsia="Times New Roman" w:hAnsi="Times New Roman" w:cs="Times New Roman"/>
        </w:rPr>
        <w:t xml:space="preserve">Yi, M. (2025). </w:t>
      </w:r>
      <w:r w:rsidRPr="3EC30162">
        <w:rPr>
          <w:rFonts w:ascii="Times New Roman" w:eastAsia="Times New Roman" w:hAnsi="Times New Roman" w:cs="Times New Roman"/>
          <w:i/>
          <w:iCs/>
        </w:rPr>
        <w:t>A Complete Guide to Box Plots</w:t>
      </w:r>
      <w:r w:rsidRPr="3EC30162">
        <w:rPr>
          <w:rFonts w:ascii="Times New Roman" w:eastAsia="Times New Roman" w:hAnsi="Times New Roman" w:cs="Times New Roman"/>
        </w:rPr>
        <w:t xml:space="preserve">. [online] Atlassian. Available at: </w:t>
      </w:r>
      <w:hyperlink r:id="rId17">
        <w:r w:rsidRPr="3EC30162">
          <w:rPr>
            <w:rStyle w:val="Hyperlink"/>
            <w:rFonts w:ascii="Times New Roman" w:eastAsia="Times New Roman" w:hAnsi="Times New Roman" w:cs="Times New Roman"/>
          </w:rPr>
          <w:t>https://www.atlassian.com/data/charts/box-plot-complete</w:t>
        </w:r>
        <w:r w:rsidRPr="3EC30162">
          <w:rPr>
            <w:rStyle w:val="Hyperlink"/>
            <w:rFonts w:ascii="Times New Roman" w:eastAsia="Times New Roman" w:hAnsi="Times New Roman" w:cs="Times New Roman"/>
          </w:rPr>
          <w:t>-</w:t>
        </w:r>
        <w:r w:rsidRPr="3EC30162">
          <w:rPr>
            <w:rStyle w:val="Hyperlink"/>
            <w:rFonts w:ascii="Times New Roman" w:eastAsia="Times New Roman" w:hAnsi="Times New Roman" w:cs="Times New Roman"/>
          </w:rPr>
          <w:t>guide</w:t>
        </w:r>
      </w:hyperlink>
      <w:r w:rsidRPr="3EC30162">
        <w:rPr>
          <w:rFonts w:ascii="Times New Roman" w:eastAsia="Times New Roman" w:hAnsi="Times New Roman" w:cs="Times New Roman"/>
        </w:rPr>
        <w:t>. [Accessed: 3 March 2026]</w:t>
      </w:r>
    </w:p>
    <w:p w14:paraId="58635D26" w14:textId="77777777" w:rsidR="00194BDB" w:rsidRDefault="00194BDB" w:rsidP="3EC30162">
      <w:pPr>
        <w:spacing w:after="240" w:line="360" w:lineRule="auto"/>
      </w:pPr>
    </w:p>
    <w:sectPr w:rsidR="00194BDB" w:rsidSect="0000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1D"/>
    <w:rsid w:val="00003A64"/>
    <w:rsid w:val="00067ADA"/>
    <w:rsid w:val="000B05AA"/>
    <w:rsid w:val="000C5E1D"/>
    <w:rsid w:val="00194BDB"/>
    <w:rsid w:val="001A5096"/>
    <w:rsid w:val="002841E3"/>
    <w:rsid w:val="002A162B"/>
    <w:rsid w:val="002A540F"/>
    <w:rsid w:val="003320BF"/>
    <w:rsid w:val="00337DB0"/>
    <w:rsid w:val="00364686"/>
    <w:rsid w:val="003A26FF"/>
    <w:rsid w:val="003D0BA5"/>
    <w:rsid w:val="0046136A"/>
    <w:rsid w:val="00472802"/>
    <w:rsid w:val="004F5A09"/>
    <w:rsid w:val="00504B4A"/>
    <w:rsid w:val="00571B9B"/>
    <w:rsid w:val="00644981"/>
    <w:rsid w:val="006578B1"/>
    <w:rsid w:val="006A57EC"/>
    <w:rsid w:val="006B540D"/>
    <w:rsid w:val="0073538D"/>
    <w:rsid w:val="00750811"/>
    <w:rsid w:val="008D682C"/>
    <w:rsid w:val="0098670C"/>
    <w:rsid w:val="009D434D"/>
    <w:rsid w:val="00A14D06"/>
    <w:rsid w:val="00AB0A0C"/>
    <w:rsid w:val="00B42DFC"/>
    <w:rsid w:val="00B52977"/>
    <w:rsid w:val="00B63601"/>
    <w:rsid w:val="00B872A4"/>
    <w:rsid w:val="00BB27FD"/>
    <w:rsid w:val="00CE7FE4"/>
    <w:rsid w:val="00E25ED8"/>
    <w:rsid w:val="00E40A97"/>
    <w:rsid w:val="00E54CBE"/>
    <w:rsid w:val="00E5793A"/>
    <w:rsid w:val="00EE7BC5"/>
    <w:rsid w:val="00F11AEF"/>
    <w:rsid w:val="00F47F89"/>
    <w:rsid w:val="00F83DC5"/>
    <w:rsid w:val="00FE63D4"/>
    <w:rsid w:val="0274A268"/>
    <w:rsid w:val="02E45403"/>
    <w:rsid w:val="27F136A0"/>
    <w:rsid w:val="297E63E2"/>
    <w:rsid w:val="2C45BA0D"/>
    <w:rsid w:val="3304BE41"/>
    <w:rsid w:val="3EC30162"/>
    <w:rsid w:val="405AD88F"/>
    <w:rsid w:val="44AA08BE"/>
    <w:rsid w:val="48BA60A7"/>
    <w:rsid w:val="520FADE0"/>
    <w:rsid w:val="5F6AF6E1"/>
    <w:rsid w:val="651B992C"/>
    <w:rsid w:val="65692C06"/>
    <w:rsid w:val="7D9DA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57E5"/>
  <w15:chartTrackingRefBased/>
  <w15:docId w15:val="{605791AA-67DC-4EE8-82A1-AD431F8F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A64"/>
  </w:style>
  <w:style w:type="paragraph" w:styleId="Heading1">
    <w:name w:val="heading 1"/>
    <w:basedOn w:val="Normal"/>
    <w:next w:val="Normal"/>
    <w:link w:val="Heading1Char"/>
    <w:uiPriority w:val="9"/>
    <w:qFormat/>
    <w:rsid w:val="000C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7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B27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7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4B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elearningmachines.com/advantages_and_disadvantages_of_decision_trees/" TargetMode="External"/><Relationship Id="rId13" Type="http://schemas.openxmlformats.org/officeDocument/2006/relationships/hyperlink" Target="https://medium.com/@onurcoskun1983/why-is-data-understanding-is-crucial-step-in-data-analytics-c41a898792b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chine-learning/clustering/kmeans/advantages-disadvantages" TargetMode="External"/><Relationship Id="rId12" Type="http://schemas.openxmlformats.org/officeDocument/2006/relationships/hyperlink" Target="https://medium.com/@jangdaehan1/understanding-multicollinearity-in-regression-analysis-an-in-depth-exploration-61dd14c445da" TargetMode="External"/><Relationship Id="rId17" Type="http://schemas.openxmlformats.org/officeDocument/2006/relationships/hyperlink" Target="https://www.atlassian.com/data/charts/box-plot-complete-gui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nimrkt.com/blog/the-importance-of-data-cleaning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cord.com/blog/what-is-logistic-regression/" TargetMode="External"/><Relationship Id="rId11" Type="http://schemas.openxmlformats.org/officeDocument/2006/relationships/hyperlink" Target="https://www.labxchange.org/library/items/lb:LabXchange:10d3270e:html:1" TargetMode="External"/><Relationship Id="rId5" Type="http://schemas.openxmlformats.org/officeDocument/2006/relationships/hyperlink" Target="https://blog.alliedoffsets.com/understanding-the-difference-between-linear-and-logistic-regression-models" TargetMode="External"/><Relationship Id="rId15" Type="http://schemas.openxmlformats.org/officeDocument/2006/relationships/hyperlink" Target="https://www.england.nhs.uk/outpatient-transformation-programme/did-not-attends-dnas/" TargetMode="External"/><Relationship Id="rId10" Type="http://schemas.openxmlformats.org/officeDocument/2006/relationships/hyperlink" Target="https://www.labxchange.or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sheenjain.medium.com/unlock-the-power-of-logistic-regression-a-comprehensive-introduction-e0e8ba98917d" TargetMode="External"/><Relationship Id="rId14" Type="http://schemas.openxmlformats.org/officeDocument/2006/relationships/hyperlink" Target="https://www.england.nhs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668</Words>
  <Characters>3811</Characters>
  <Application>Microsoft Office Word</Application>
  <DocSecurity>4</DocSecurity>
  <Lines>31</Lines>
  <Paragraphs>8</Paragraphs>
  <ScaleCrop>false</ScaleCrop>
  <Company/>
  <LinksUpToDate>false</LinksUpToDate>
  <CharactersWithSpaces>4471</CharactersWithSpaces>
  <SharedDoc>false</SharedDoc>
  <HLinks>
    <vt:vector size="78" baseType="variant">
      <vt:variant>
        <vt:i4>524376</vt:i4>
      </vt:variant>
      <vt:variant>
        <vt:i4>36</vt:i4>
      </vt:variant>
      <vt:variant>
        <vt:i4>0</vt:i4>
      </vt:variant>
      <vt:variant>
        <vt:i4>5</vt:i4>
      </vt:variant>
      <vt:variant>
        <vt:lpwstr>https://www.atlassian.com/data/charts/box-plot-complete-guide</vt:lpwstr>
      </vt:variant>
      <vt:variant>
        <vt:lpwstr/>
      </vt:variant>
      <vt:variant>
        <vt:i4>4718668</vt:i4>
      </vt:variant>
      <vt:variant>
        <vt:i4>33</vt:i4>
      </vt:variant>
      <vt:variant>
        <vt:i4>0</vt:i4>
      </vt:variant>
      <vt:variant>
        <vt:i4>5</vt:i4>
      </vt:variant>
      <vt:variant>
        <vt:lpwstr>https://www.unimrkt.com/blog/the-importance-of-data-cleaning.php</vt:lpwstr>
      </vt:variant>
      <vt:variant>
        <vt:lpwstr/>
      </vt:variant>
      <vt:variant>
        <vt:i4>4456519</vt:i4>
      </vt:variant>
      <vt:variant>
        <vt:i4>30</vt:i4>
      </vt:variant>
      <vt:variant>
        <vt:i4>0</vt:i4>
      </vt:variant>
      <vt:variant>
        <vt:i4>5</vt:i4>
      </vt:variant>
      <vt:variant>
        <vt:lpwstr>https://www.england.nhs.uk/outpatient-transformation-programme/did-not-attends-dnas/</vt:lpwstr>
      </vt:variant>
      <vt:variant>
        <vt:lpwstr/>
      </vt:variant>
      <vt:variant>
        <vt:i4>2555951</vt:i4>
      </vt:variant>
      <vt:variant>
        <vt:i4>27</vt:i4>
      </vt:variant>
      <vt:variant>
        <vt:i4>0</vt:i4>
      </vt:variant>
      <vt:variant>
        <vt:i4>5</vt:i4>
      </vt:variant>
      <vt:variant>
        <vt:lpwstr>https://www.england.nhs.uk/</vt:lpwstr>
      </vt:variant>
      <vt:variant>
        <vt:lpwstr/>
      </vt:variant>
      <vt:variant>
        <vt:i4>4980839</vt:i4>
      </vt:variant>
      <vt:variant>
        <vt:i4>24</vt:i4>
      </vt:variant>
      <vt:variant>
        <vt:i4>0</vt:i4>
      </vt:variant>
      <vt:variant>
        <vt:i4>5</vt:i4>
      </vt:variant>
      <vt:variant>
        <vt:lpwstr>https://medium.com/@onurcoskun1983/why-is-data-understanding-is-crucial-step-in-data-analytics-c41a898792be</vt:lpwstr>
      </vt:variant>
      <vt:variant>
        <vt:lpwstr/>
      </vt:variant>
      <vt:variant>
        <vt:i4>5767224</vt:i4>
      </vt:variant>
      <vt:variant>
        <vt:i4>21</vt:i4>
      </vt:variant>
      <vt:variant>
        <vt:i4>0</vt:i4>
      </vt:variant>
      <vt:variant>
        <vt:i4>5</vt:i4>
      </vt:variant>
      <vt:variant>
        <vt:lpwstr>https://medium.com/@jangdaehan1/understanding-multicollinearity-in-regression-analysis-an-in-depth-exploration-61dd14c445da</vt:lpwstr>
      </vt:variant>
      <vt:variant>
        <vt:lpwstr/>
      </vt:variant>
      <vt:variant>
        <vt:i4>3866741</vt:i4>
      </vt:variant>
      <vt:variant>
        <vt:i4>18</vt:i4>
      </vt:variant>
      <vt:variant>
        <vt:i4>0</vt:i4>
      </vt:variant>
      <vt:variant>
        <vt:i4>5</vt:i4>
      </vt:variant>
      <vt:variant>
        <vt:lpwstr>https://www.labxchange.org/library/items/lb:LabXchange:10d3270e:html:1</vt:lpwstr>
      </vt:variant>
      <vt:variant>
        <vt:lpwstr/>
      </vt:variant>
      <vt:variant>
        <vt:i4>3801207</vt:i4>
      </vt:variant>
      <vt:variant>
        <vt:i4>15</vt:i4>
      </vt:variant>
      <vt:variant>
        <vt:i4>0</vt:i4>
      </vt:variant>
      <vt:variant>
        <vt:i4>5</vt:i4>
      </vt:variant>
      <vt:variant>
        <vt:lpwstr>https://www.labxchange.org/</vt:lpwstr>
      </vt:variant>
      <vt:variant>
        <vt:lpwstr/>
      </vt:variant>
      <vt:variant>
        <vt:i4>3866666</vt:i4>
      </vt:variant>
      <vt:variant>
        <vt:i4>12</vt:i4>
      </vt:variant>
      <vt:variant>
        <vt:i4>0</vt:i4>
      </vt:variant>
      <vt:variant>
        <vt:i4>5</vt:i4>
      </vt:variant>
      <vt:variant>
        <vt:lpwstr>https://osheenjain.medium.com/unlock-the-power-of-logistic-regression-a-comprehensive-introduction-e0e8ba98917d</vt:lpwstr>
      </vt:variant>
      <vt:variant>
        <vt:lpwstr/>
      </vt:variant>
      <vt:variant>
        <vt:i4>3276820</vt:i4>
      </vt:variant>
      <vt:variant>
        <vt:i4>9</vt:i4>
      </vt:variant>
      <vt:variant>
        <vt:i4>0</vt:i4>
      </vt:variant>
      <vt:variant>
        <vt:i4>5</vt:i4>
      </vt:variant>
      <vt:variant>
        <vt:lpwstr>https://insidelearningmachines.com/advantages_and_disadvantages_of_decision_trees/</vt:lpwstr>
      </vt:variant>
      <vt:variant>
        <vt:lpwstr/>
      </vt:variant>
      <vt:variant>
        <vt:i4>5963790</vt:i4>
      </vt:variant>
      <vt:variant>
        <vt:i4>6</vt:i4>
      </vt:variant>
      <vt:variant>
        <vt:i4>0</vt:i4>
      </vt:variant>
      <vt:variant>
        <vt:i4>5</vt:i4>
      </vt:variant>
      <vt:variant>
        <vt:lpwstr>https://developers.google.com/machine-learning/clustering/kmeans/advantages-disadvantages</vt:lpwstr>
      </vt:variant>
      <vt:variant>
        <vt:lpwstr/>
      </vt:variant>
      <vt:variant>
        <vt:i4>5374022</vt:i4>
      </vt:variant>
      <vt:variant>
        <vt:i4>3</vt:i4>
      </vt:variant>
      <vt:variant>
        <vt:i4>0</vt:i4>
      </vt:variant>
      <vt:variant>
        <vt:i4>5</vt:i4>
      </vt:variant>
      <vt:variant>
        <vt:lpwstr>https://encord.com/blog/what-is-logistic-regression/</vt:lpwstr>
      </vt:variant>
      <vt:variant>
        <vt:lpwstr/>
      </vt:variant>
      <vt:variant>
        <vt:i4>5374026</vt:i4>
      </vt:variant>
      <vt:variant>
        <vt:i4>0</vt:i4>
      </vt:variant>
      <vt:variant>
        <vt:i4>0</vt:i4>
      </vt:variant>
      <vt:variant>
        <vt:i4>5</vt:i4>
      </vt:variant>
      <vt:variant>
        <vt:lpwstr>https://blog.alliedoffsets.com/understanding-the-difference-between-linear-and-logistic-regression-models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Cordero (Student)</dc:creator>
  <cp:keywords/>
  <dc:description/>
  <cp:lastModifiedBy>Jasper Cordero (Student)</cp:lastModifiedBy>
  <cp:revision>31</cp:revision>
  <dcterms:created xsi:type="dcterms:W3CDTF">2026-03-17T17:15:00Z</dcterms:created>
  <dcterms:modified xsi:type="dcterms:W3CDTF">2026-03-28T00:04:00Z</dcterms:modified>
</cp:coreProperties>
</file>