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F90F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思考题1</w:t>
      </w:r>
    </w:p>
    <w:p w14:paraId="4F8F6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296285"/>
            <wp:effectExtent l="0" t="0" r="2540" b="8890"/>
            <wp:docPr id="1" name="图片 1" descr="elbow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lbow_curv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E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最优k为6 </w:t>
      </w:r>
    </w:p>
    <w:p w14:paraId="15AEC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原因：k=2下降最快，k=4 下降变缓，k=6以后曲线接近平直。K=6 时已能区分花瓣主体结构完整；K=4 时花瓣还糊成一片，K=8 以后肉眼改善不明显。</w:t>
      </w:r>
    </w:p>
    <w:p w14:paraId="5DB0D83B">
      <w:pPr>
        <w:rPr>
          <w:rFonts w:hint="eastAsia"/>
          <w:lang w:val="en-US" w:eastAsia="zh-CN"/>
        </w:rPr>
      </w:pPr>
    </w:p>
    <w:p w14:paraId="2778FF7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思考题2</w:t>
      </w:r>
    </w:p>
    <w:p w14:paraId="7129A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看用途：缩略图 / 图标取小 K（2~8），电商 / 社交图取中 K（8~16），印刷 / 专业修图取大 K（30+）。</w:t>
      </w:r>
    </w:p>
    <w:p w14:paraId="5FCD5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看成本：带宽或存储紧张（移动端、海量缩略图）偏向小 K；本地高清展示可放宽。</w:t>
      </w:r>
    </w:p>
    <w:p w14:paraId="548A5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看人眼：K 太小时背景、花瓣等大面积色块会出现明显 "色带断层"，这时就该加 K；高频纹理（草地、毛发）对 K 不敏感，不必加</w:t>
      </w:r>
    </w:p>
    <w:p w14:paraId="7E8EAFB2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D2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2026-10-11T12:17:38Z</dcterms:created>
  <dc:creator>Administrator</dc:creator>
  <cp:lastModifiedBy>u</cp:lastModifiedBy>
  <dcterms:modified xsi:type="dcterms:W3CDTF">2026-10-11T12:29:10Z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eyJoZGlkIjoiY2YwNGQ1M2RkZGI4MWY4M2YzMTJjOTY4YWM5NGYyOTMiLCJ1c2VySWQiOiIxNjM4MzE4NTEyIn0=</vt:lpwstr>
  </property>
  <property fmtid="{D5CDD505-2E9C-101B-9397-08002B2CF9AE}" pid="4" name="ICV">
    <vt:lpwstr>CFCA2B51FB064ECC934CD83728A804E1_12</vt:lpwstr>
  </property>
</Properties>
</file>