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erif CJK SC" w:hAnsi="Noto Serif CJK SC" w:eastAsia="Noto Serif CJK SC"/>
          <w:b/>
          <w:color w:val="14324A"/>
          <w:sz w:val="60"/>
        </w:rPr>
        <w:t>SDIT Pentest Agent 终极目标产品需求规格说明书</w:t>
      </w:r>
    </w:p>
    <w:p>
      <w:pPr>
        <w:jc w:val="center"/>
      </w:pPr>
      <w:r>
        <w:rPr>
          <w:rFonts w:ascii="Noto Sans CJK SC" w:hAnsi="Noto Sans CJK SC" w:eastAsia="Noto Sans CJK SC"/>
          <w:color w:val="148A8A"/>
          <w:sz w:val="30"/>
        </w:rPr>
        <w:t>Product Requirements Document · 面向授权教学与靶场的自主网络安全智能体</w:t>
      </w:r>
    </w:p>
    <w:p/>
    <w:tbl>
      <w:tblPr>
        <w:tblW w:type="auto" w:w="0"/>
        <w:jc w:val="center"/>
        <w:tblLayout w:type="fixed"/>
        <w:tblLook w:firstColumn="1" w:firstRow="1" w:lastColumn="0" w:lastRow="0" w:noHBand="0" w:noVBand="1" w:val="04A0"/>
      </w:tblPr>
      <w:tblGrid>
        <w:gridCol w:w="4901"/>
        <w:gridCol w:w="4901"/>
      </w:tblGrid>
      <w:tr>
        <w:tc>
          <w:tcPr>
            <w:tcW w:type="dxa" w:w="2381"/>
            <w:tcMar>
              <w:top w:w="130" w:type="dxa"/>
              <w:start w:w="160" w:type="dxa"/>
              <w:bottom w:w="130" w:type="dxa"/>
              <w:end w:w="160" w:type="dxa"/>
            </w:tcMar>
            <w:vAlign w:val="center"/>
            <w:tcBorders>
              <w:top w:val="single" w:sz="6" w:color="B6C4CC"/>
              <w:left w:val="single" w:sz="6" w:color="B6C4CC"/>
              <w:bottom w:val="single" w:sz="6" w:color="B6C4CC"/>
              <w:right w:val="single" w:sz="6" w:color="B6C4CC"/>
            </w:tcBorders>
            <w:shd w:fill="EAF3F7"/>
          </w:tcPr>
          <w:p>
            <w:pPr>
              <w:jc w:val="left"/>
            </w:pPr>
            <w:r>
              <w:rPr>
                <w:rFonts w:ascii="Noto Sans CJK SC" w:hAnsi="Noto Sans CJK SC" w:eastAsia="Noto Sans CJK SC"/>
                <w:b/>
                <w:sz w:val="20"/>
              </w:rPr>
              <w:t>项目</w:t>
            </w:r>
          </w:p>
        </w:tc>
        <w:tc>
          <w:tcPr>
            <w:tcW w:type="dxa" w:w="5102"/>
            <w:tcMar>
              <w:top w:w="130" w:type="dxa"/>
              <w:start w:w="160" w:type="dxa"/>
              <w:bottom w:w="130" w:type="dxa"/>
              <w:end w:w="160" w:type="dxa"/>
            </w:tcMar>
            <w:vAlign w:val="center"/>
            <w:tcBorders>
              <w:top w:val="single" w:sz="6" w:color="B6C4CC"/>
              <w:left w:val="single" w:sz="6" w:color="B6C4CC"/>
              <w:bottom w:val="single" w:sz="6" w:color="B6C4CC"/>
              <w:right w:val="single" w:sz="6" w:color="B6C4CC"/>
            </w:tcBorders>
          </w:tcPr>
          <w:p>
            <w:pPr>
              <w:jc w:val="left"/>
            </w:pPr>
            <w:r>
              <w:rPr>
                <w:rFonts w:ascii="Noto Sans CJK SC" w:hAnsi="Noto Sans CJK SC" w:eastAsia="Noto Sans CJK SC"/>
                <w:sz w:val="20"/>
              </w:rPr>
              <w:t>SDIT Pentest Agent / agent-new</w:t>
            </w:r>
          </w:p>
        </w:tc>
        <w:trPr>
          <w:tblHeader/>
        </w:trPr>
      </w:tr>
      <w:tr>
        <w:tc>
          <w:tcPr>
            <w:tcW w:type="dxa" w:w="2381"/>
            <w:tcMar>
              <w:top w:w="130" w:type="dxa"/>
              <w:start w:w="160" w:type="dxa"/>
              <w:bottom w:w="130" w:type="dxa"/>
              <w:end w:w="160" w:type="dxa"/>
            </w:tcMar>
            <w:vAlign w:val="center"/>
            <w:tcBorders>
              <w:top w:val="single" w:sz="6" w:color="B6C4CC"/>
              <w:left w:val="single" w:sz="6" w:color="B6C4CC"/>
              <w:bottom w:val="single" w:sz="6" w:color="B6C4CC"/>
              <w:right w:val="single" w:sz="6" w:color="B6C4CC"/>
            </w:tcBorders>
            <w:shd w:fill="EAF3F7"/>
          </w:tcPr>
          <w:p>
            <w:pPr>
              <w:jc w:val="left"/>
            </w:pPr>
            <w:r>
              <w:rPr>
                <w:rFonts w:ascii="Noto Sans CJK SC" w:hAnsi="Noto Sans CJK SC" w:eastAsia="Noto Sans CJK SC"/>
                <w:b/>
                <w:sz w:val="20"/>
              </w:rPr>
              <w:t>版本</w:t>
            </w:r>
          </w:p>
        </w:tc>
        <w:tc>
          <w:tcPr>
            <w:tcW w:type="dxa" w:w="5102"/>
            <w:tcMar>
              <w:top w:w="130" w:type="dxa"/>
              <w:start w:w="160" w:type="dxa"/>
              <w:bottom w:w="130" w:type="dxa"/>
              <w:end w:w="160" w:type="dxa"/>
            </w:tcMar>
            <w:vAlign w:val="center"/>
            <w:tcBorders>
              <w:top w:val="single" w:sz="6" w:color="B6C4CC"/>
              <w:left w:val="single" w:sz="6" w:color="B6C4CC"/>
              <w:bottom w:val="single" w:sz="6" w:color="B6C4CC"/>
              <w:right w:val="single" w:sz="6" w:color="B6C4CC"/>
            </w:tcBorders>
          </w:tcPr>
          <w:p>
            <w:pPr>
              <w:jc w:val="left"/>
            </w:pPr>
            <w:r>
              <w:rPr>
                <w:rFonts w:ascii="Noto Sans CJK SC" w:hAnsi="Noto Sans CJK SC" w:eastAsia="Noto Sans CJK SC"/>
                <w:sz w:val="20"/>
              </w:rPr>
              <w:t>V1.0</w:t>
            </w:r>
          </w:p>
        </w:tc>
      </w:tr>
      <w:tr>
        <w:tc>
          <w:tcPr>
            <w:tcW w:type="dxa" w:w="2381"/>
            <w:tcMar>
              <w:top w:w="130" w:type="dxa"/>
              <w:start w:w="160" w:type="dxa"/>
              <w:bottom w:w="130" w:type="dxa"/>
              <w:end w:w="160" w:type="dxa"/>
            </w:tcMar>
            <w:vAlign w:val="center"/>
            <w:tcBorders>
              <w:top w:val="single" w:sz="6" w:color="B6C4CC"/>
              <w:left w:val="single" w:sz="6" w:color="B6C4CC"/>
              <w:bottom w:val="single" w:sz="6" w:color="B6C4CC"/>
              <w:right w:val="single" w:sz="6" w:color="B6C4CC"/>
            </w:tcBorders>
            <w:shd w:fill="EAF3F7"/>
          </w:tcPr>
          <w:p>
            <w:pPr>
              <w:jc w:val="left"/>
            </w:pPr>
            <w:r>
              <w:rPr>
                <w:rFonts w:ascii="Noto Sans CJK SC" w:hAnsi="Noto Sans CJK SC" w:eastAsia="Noto Sans CJK SC"/>
                <w:b/>
                <w:sz w:val="20"/>
              </w:rPr>
              <w:t>日期</w:t>
            </w:r>
          </w:p>
        </w:tc>
        <w:tc>
          <w:tcPr>
            <w:tcW w:type="dxa" w:w="5102"/>
            <w:tcMar>
              <w:top w:w="130" w:type="dxa"/>
              <w:start w:w="160" w:type="dxa"/>
              <w:bottom w:w="130" w:type="dxa"/>
              <w:end w:w="160" w:type="dxa"/>
            </w:tcMar>
            <w:vAlign w:val="center"/>
            <w:tcBorders>
              <w:top w:val="single" w:sz="6" w:color="B6C4CC"/>
              <w:left w:val="single" w:sz="6" w:color="B6C4CC"/>
              <w:bottom w:val="single" w:sz="6" w:color="B6C4CC"/>
              <w:right w:val="single" w:sz="6" w:color="B6C4CC"/>
            </w:tcBorders>
          </w:tcPr>
          <w:p>
            <w:pPr>
              <w:jc w:val="left"/>
            </w:pPr>
            <w:r>
              <w:rPr>
                <w:rFonts w:ascii="Noto Sans CJK SC" w:hAnsi="Noto Sans CJK SC" w:eastAsia="Noto Sans CJK SC"/>
                <w:sz w:val="20"/>
              </w:rPr>
              <w:t>2026年7月18日</w:t>
            </w:r>
          </w:p>
        </w:tc>
      </w:tr>
      <w:tr>
        <w:tc>
          <w:tcPr>
            <w:tcW w:type="dxa" w:w="2381"/>
            <w:tcMar>
              <w:top w:w="130" w:type="dxa"/>
              <w:start w:w="160" w:type="dxa"/>
              <w:bottom w:w="130" w:type="dxa"/>
              <w:end w:w="160" w:type="dxa"/>
            </w:tcMar>
            <w:vAlign w:val="center"/>
            <w:tcBorders>
              <w:top w:val="single" w:sz="6" w:color="B6C4CC"/>
              <w:left w:val="single" w:sz="6" w:color="B6C4CC"/>
              <w:bottom w:val="single" w:sz="6" w:color="B6C4CC"/>
              <w:right w:val="single" w:sz="6" w:color="B6C4CC"/>
            </w:tcBorders>
            <w:shd w:fill="EAF3F7"/>
          </w:tcPr>
          <w:p>
            <w:pPr>
              <w:jc w:val="left"/>
            </w:pPr>
            <w:r>
              <w:rPr>
                <w:rFonts w:ascii="Noto Sans CJK SC" w:hAnsi="Noto Sans CJK SC" w:eastAsia="Noto Sans CJK SC"/>
                <w:b/>
                <w:sz w:val="20"/>
              </w:rPr>
              <w:t>审查说明</w:t>
            </w:r>
          </w:p>
        </w:tc>
        <w:tc>
          <w:tcPr>
            <w:tcW w:type="dxa" w:w="5102"/>
            <w:tcMar>
              <w:top w:w="130" w:type="dxa"/>
              <w:start w:w="160" w:type="dxa"/>
              <w:bottom w:w="130" w:type="dxa"/>
              <w:end w:w="160" w:type="dxa"/>
            </w:tcMar>
            <w:vAlign w:val="center"/>
            <w:tcBorders>
              <w:top w:val="single" w:sz="6" w:color="B6C4CC"/>
              <w:left w:val="single" w:sz="6" w:color="B6C4CC"/>
              <w:bottom w:val="single" w:sz="6" w:color="B6C4CC"/>
              <w:right w:val="single" w:sz="6" w:color="B6C4CC"/>
            </w:tcBorders>
          </w:tcPr>
          <w:p>
            <w:pPr>
              <w:jc w:val="left"/>
            </w:pPr>
            <w:r>
              <w:rPr>
                <w:rFonts w:ascii="Noto Sans CJK SC" w:hAnsi="Noto Sans CJK SC" w:eastAsia="Noto Sans CJK SC"/>
                <w:sz w:val="20"/>
              </w:rPr>
              <w:t>基于 agent-new master 分支的静态审查与产品目标推演</w:t>
            </w:r>
          </w:p>
        </w:tc>
      </w:tr>
    </w:tbl>
    <w:p/>
    <w:tbl>
      <w:tblPr>
        <w:tblW w:type="auto" w:w="0"/>
        <w:jc w:val="center"/>
        <w:tblLook w:firstColumn="1" w:firstRow="1" w:lastColumn="0" w:lastRow="0" w:noHBand="0" w:noVBand="1" w:val="04A0"/>
      </w:tblPr>
      <w:tblGrid>
        <w:gridCol w:w="9802"/>
      </w:tblGrid>
      <w:tr>
        <w:tc>
          <w:tcPr>
            <w:tcW w:type="dxa" w:w="9802"/>
            <w:shd w:fill="14324A"/>
            <w:tcMar>
              <w:top w:w="280" w:type="dxa"/>
              <w:start w:w="300" w:type="dxa"/>
              <w:bottom w:w="280" w:type="dxa"/>
              <w:end w:w="300" w:type="dxa"/>
            </w:tcMar>
          </w:tcPr>
          <w:p>
            <w:pPr>
              <w:jc w:val="center"/>
            </w:pPr>
            <w:r>
              <w:rPr>
                <w:rFonts w:ascii="Noto Sans CJK SC" w:hAnsi="Noto Sans CJK SC" w:eastAsia="Noto Sans CJK SC"/>
                <w:b/>
                <w:color w:val="FFFFFF"/>
                <w:sz w:val="26"/>
              </w:rPr>
              <w:t>愿景：让授权渗透从“模型会调用工具”进化为“系统能自主完成、可靠证明、清晰解释并持续学习”。</w:t>
            </w:r>
          </w:p>
        </w:tc>
        <w:trPr>
          <w:tblHeader/>
        </w:trPr>
      </w:tr>
    </w:tbl>
    <w:p/>
    <w:p>
      <w:pPr>
        <w:pStyle w:val="Small"/>
        <w:jc w:val="center"/>
      </w:pPr>
      <w:r>
        <w:t>文档用途：产品立项、技术设计、研发排期、测试验收、风险评审和阶段复盘。</w:t>
      </w:r>
    </w:p>
    <w:p>
      <w:r>
        <w:br w:type="page"/>
      </w:r>
    </w:p>
    <w:p>
      <w:pPr>
        <w:pStyle w:val="Heading1"/>
      </w:pPr>
      <w:r>
        <w:t>文档控制</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24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版本</w:t>
            </w:r>
          </w:p>
        </w:tc>
        <w:tc>
          <w:tcPr>
            <w:tcW w:type="dxa" w:w="170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日期</w:t>
            </w:r>
          </w:p>
        </w:tc>
        <w:tc>
          <w:tcPr>
            <w:tcW w:type="dxa" w:w="136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状态</w:t>
            </w:r>
          </w:p>
        </w:tc>
        <w:tc>
          <w:tcPr>
            <w:tcW w:type="dxa" w:w="510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变更说明</w:t>
            </w:r>
          </w:p>
        </w:tc>
      </w:tr>
      <w:tr>
        <w:tc>
          <w:tcPr>
            <w:tcW w:type="dxa" w:w="124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V1.0</w:t>
            </w:r>
          </w:p>
        </w:tc>
        <w:tc>
          <w:tcPr>
            <w:tcW w:type="dxa" w:w="170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2026-07-18</w:t>
            </w:r>
          </w:p>
        </w:tc>
        <w:tc>
          <w:tcPr>
            <w:tcW w:type="dxa" w:w="136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评审稿</w:t>
            </w:r>
          </w:p>
        </w:tc>
        <w:tc>
          <w:tcPr>
            <w:tcW w:type="dxa" w:w="510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基于当前仓库进展建立终极目标、需求基线与改善路线。</w:t>
            </w:r>
          </w:p>
        </w:tc>
      </w:tr>
    </w:tbl>
    <w:p>
      <w:pPr>
        <w:spacing w:after="0"/>
      </w:pPr>
    </w:p>
    <w:tbl>
      <w:tblPr>
        <w:tblW w:type="auto" w:w="0"/>
        <w:jc w:val="center"/>
        <w:tblLook w:firstColumn="1" w:firstRow="1" w:lastColumn="0" w:lastRow="0" w:noHBand="0" w:noVBand="1" w:val="04A0"/>
      </w:tblPr>
      <w:tblGrid>
        <w:gridCol w:w="9802"/>
      </w:tblGrid>
      <w:tr>
        <w:tc>
          <w:tcPr>
            <w:tcW w:type="dxa" w:w="9802"/>
            <w:shd w:fill="EAF3F7"/>
            <w:tcMar>
              <w:top w:w="150" w:type="dxa"/>
              <w:start w:w="180" w:type="dxa"/>
              <w:bottom w:w="150" w:type="dxa"/>
              <w:end w:w="180" w:type="dxa"/>
            </w:tcMar>
            <w:tcBorders>
              <w:top w:val="single" w:sz="3" w:color="EAF3F7"/>
              <w:left w:val="single" w:sz="22" w:color="1F5E8C"/>
              <w:bottom w:val="single" w:sz="3" w:color="EAF3F7"/>
              <w:right w:val="single" w:sz="3" w:color="EAF3F7"/>
            </w:tcBorders>
          </w:tcPr>
          <w:p>
            <w:r>
              <w:rPr>
                <w:b/>
                <w:color w:val="1F5E8C"/>
              </w:rPr>
              <w:t>使用规则：</w:t>
            </w:r>
            <w:r>
              <w:t>本文件中的“完成”必须同时满足代码合入、自动化测试通过、基准指标达标和证据可复现。仅有模块、接口或演示截图，不视为产品能力完成。</w:t>
            </w:r>
          </w:p>
        </w:tc>
        <w:trPr>
          <w:tblHeader/>
        </w:trPr>
      </w:tr>
    </w:tbl>
    <w:p>
      <w:pPr>
        <w:spacing w:after="0"/>
      </w:pPr>
    </w:p>
    <w:p>
      <w:pPr>
        <w:pStyle w:val="Heading1"/>
      </w:pPr>
      <w:r>
        <w:t>目录</w:t>
      </w:r>
    </w:p>
    <w:tbl>
      <w:tblPr>
        <w:tblW w:type="auto" w:w="0"/>
        <w:jc w:val="center"/>
        <w:tblLayout w:type="fixed"/>
        <w:tblLook w:firstColumn="1" w:firstRow="1" w:lastColumn="0" w:lastRow="0" w:noHBand="0" w:noVBand="1" w:val="04A0"/>
      </w:tblPr>
      <w:tblGrid>
        <w:gridCol w:w="4901"/>
        <w:gridCol w:w="4901"/>
      </w:tblGrid>
      <w:tr>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1. 执行摘要</w:t>
            </w:r>
          </w:p>
        </w:tc>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10. 非功能性需求</w:t>
            </w:r>
          </w:p>
        </w:tc>
        <w:trPr>
          <w:tblHeader/>
        </w:trPr>
      </w:tr>
      <w:tr>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2. 产品背景与现状基线</w:t>
            </w:r>
          </w:p>
        </w:tc>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11. 安全、隐私与治理要求</w:t>
            </w:r>
          </w:p>
        </w:tc>
      </w:tr>
      <w:tr>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3. 产品愿景、终极目标与北极星指标</w:t>
            </w:r>
          </w:p>
        </w:tc>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12. 指标体系与验收方案</w:t>
            </w:r>
          </w:p>
        </w:tc>
      </w:tr>
      <w:tr>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4. 用户、角色与核心场景</w:t>
            </w:r>
          </w:p>
        </w:tc>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13. 发布范围与版本策略</w:t>
            </w:r>
          </w:p>
        </w:tc>
      </w:tr>
      <w:tr>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5. 产品边界、安全原则与非目标</w:t>
            </w:r>
          </w:p>
        </w:tc>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14. 依赖、假设与风险</w:t>
            </w:r>
          </w:p>
        </w:tc>
      </w:tr>
      <w:tr>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6. 端到端产品流程</w:t>
            </w:r>
          </w:p>
        </w:tc>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15. 需求追踪矩阵</w:t>
            </w:r>
          </w:p>
        </w:tc>
      </w:tr>
      <w:tr>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7. 能力成熟度与状态定义</w:t>
            </w:r>
          </w:p>
        </w:tc>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附录A. 术语表</w:t>
            </w:r>
          </w:p>
        </w:tc>
      </w:tr>
      <w:tr>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8. 详细功能需求</w:t>
            </w:r>
          </w:p>
        </w:tc>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附录B. 现状依据与参考资料</w:t>
            </w:r>
          </w:p>
        </w:tc>
      </w:tr>
      <w:tr>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t>9. 数据、证据与知识模型</w:t>
            </w:r>
          </w:p>
        </w:tc>
        <w:tc>
          <w:tcPr>
            <w:tcW w:type="dxa" w:w="4592"/>
            <w:tcMar>
              <w:top w:w="35" w:type="dxa"/>
              <w:start w:w="90" w:type="dxa"/>
              <w:bottom w:w="35" w:type="dxa"/>
              <w:end w:w="90" w:type="dxa"/>
            </w:tcMar>
            <w:tcBorders>
              <w:top w:val="nil"/>
              <w:left w:val="nil"/>
              <w:bottom w:val="nil"/>
              <w:right w:val="nil"/>
            </w:tcBorders>
          </w:tcPr>
          <w:p>
            <w:pPr>
              <w:spacing w:after="0" w:line="240" w:lineRule="auto"/>
            </w:pPr>
            <w:r>
              <w:rPr>
                <w:rFonts w:ascii="Noto Sans CJK SC" w:hAnsi="Noto Sans CJK SC" w:eastAsia="Noto Sans CJK SC"/>
                <w:color w:val="1F5E8C"/>
                <w:sz w:val="17"/>
              </w:rPr>
            </w:r>
          </w:p>
        </w:tc>
      </w:tr>
    </w:tbl>
    <w:p>
      <w:r>
        <w:br w:type="page"/>
      </w:r>
    </w:p>
    <w:p>
      <w:pPr>
        <w:pStyle w:val="Heading1"/>
      </w:pPr>
      <w:r>
        <w:t>1. 执行摘要</w:t>
      </w:r>
    </w:p>
    <w:p>
      <w:pPr/>
      <w:r>
        <w:t>SDIT Pentest Agent 的终极产品形态，是一个面向明确授权范围的网络安全智能体：用户提供目标或允许系统在指定网段内发现目标，系统自主完成资产识别、攻击面建模、候选路径规划、工具执行、结果验证、失败恢复、会话管理、证据沉淀、教学化报告和经验进化。它的核心价值不是“自动跑工具”，而是把渗透测试中最依赖专家判断的部分——选择、验证、换路、解释和复盘——转化为可审计的软件能力。</w:t>
      </w:r>
    </w:p>
    <w:p>
      <w:pPr/>
      <w:r>
        <w:t>当前项目已经具备 Vue 3/TypeScript 前端、FastAPI 后端、八阶段状态机、Planner、Executor、Critic、Reflection、Skill Engine、Experience Store、在线情报和报告模块，说明产品骨架已经成型。然而，现阶段最重要的矛盾是：功能模块的完成度明显高于端到端结果的可靠度。仓库中的多轮靶场记录仍显示严格验证成功率偏低、疑似成功与真实成功混杂、现代 Web 目标覆盖不足，以及直接利用、Done Gate、会话验证和报告教育性仍需强化。[S1][S2][S6][S7]</w:t>
      </w:r>
    </w:p>
    <w:tbl>
      <w:tblPr>
        <w:tblW w:type="auto" w:w="0"/>
        <w:jc w:val="center"/>
        <w:tblLook w:firstColumn="1" w:firstRow="1" w:lastColumn="0" w:lastRow="0" w:noHBand="0" w:noVBand="1" w:val="04A0"/>
      </w:tblPr>
      <w:tblGrid>
        <w:gridCol w:w="9802"/>
      </w:tblGrid>
      <w:tr>
        <w:tc>
          <w:tcPr>
            <w:tcW w:type="dxa" w:w="9802"/>
            <w:shd w:fill="E9F5F1"/>
            <w:tcMar>
              <w:top w:w="150" w:type="dxa"/>
              <w:start w:w="180" w:type="dxa"/>
              <w:bottom w:w="150" w:type="dxa"/>
              <w:end w:w="180" w:type="dxa"/>
            </w:tcMar>
            <w:tcBorders>
              <w:top w:val="single" w:sz="3" w:color="E9F5F1"/>
              <w:left w:val="single" w:sz="22" w:color="2E7D5B"/>
              <w:bottom w:val="single" w:sz="3" w:color="E9F5F1"/>
              <w:right w:val="single" w:sz="3" w:color="E9F5F1"/>
            </w:tcBorders>
          </w:tcPr>
          <w:p>
            <w:r>
              <w:rPr>
                <w:b/>
                <w:color w:val="2E7D5B"/>
              </w:rPr>
              <w:t>产品决策：</w:t>
            </w:r>
            <w:r>
              <w:t>未来所有路线选择都应围绕一个北极星问题：面对一个开发者未见过、但在授权范围内的 Linux 目标，系统能否自主完成任务，并以可复现证据证明结论？</w:t>
            </w:r>
          </w:p>
        </w:tc>
        <w:trPr>
          <w:tblHeader/>
        </w:trPr>
      </w:tr>
    </w:tbl>
    <w:p>
      <w:pPr>
        <w:spacing w:after="0"/>
      </w:pPr>
    </w:p>
    <w:p>
      <w:pPr>
        <w:jc w:val="center"/>
      </w:pPr>
      <w:r>
        <w:drawing>
          <wp:inline xmlns:a="http://schemas.openxmlformats.org/drawingml/2006/main" xmlns:pic="http://schemas.openxmlformats.org/drawingml/2006/picture">
            <wp:extent cx="5832000" cy="3402000"/>
            <wp:docPr id="1" name="Picture 1" descr="Image: image1.png"/>
            <wp:cNvGraphicFramePr>
              <a:graphicFrameLocks noChangeAspect="1"/>
            </wp:cNvGraphicFramePr>
            <a:graphic>
              <a:graphicData uri="http://schemas.openxmlformats.org/drawingml/2006/picture">
                <pic:pic>
                  <pic:nvPicPr>
                    <pic:cNvPr id="0" name="vision_loop.png"/>
                    <pic:cNvPicPr/>
                  </pic:nvPicPr>
                  <pic:blipFill>
                    <a:blip r:embed="rId11"/>
                    <a:stretch>
                      <a:fillRect/>
                    </a:stretch>
                  </pic:blipFill>
                  <pic:spPr>
                    <a:xfrm>
                      <a:off x="0" y="0"/>
                      <a:ext cx="5832000" cy="3402000"/>
                    </a:xfrm>
                    <a:prstGeom prst="rect"/>
                  </pic:spPr>
                </pic:pic>
              </a:graphicData>
            </a:graphic>
          </wp:inline>
        </w:drawing>
      </w:r>
    </w:p>
    <w:p>
      <w:pPr>
        <w:pStyle w:val="CaptionCustom"/>
      </w:pPr>
      <w:r>
        <w:t>图1 终极产品闭环</w:t>
      </w:r>
    </w:p>
    <w:p>
      <w:pPr>
        <w:pStyle w:val="Heading2"/>
      </w:pPr>
      <w:r>
        <w:t>1.1 本文档解决的问题</w:t>
      </w:r>
    </w:p>
    <w:p>
      <w:pPr>
        <w:pStyle w:val="ListBullet"/>
      </w:pPr>
      <w:r>
        <w:t>统一产品团队、Agent 研发、前后端、安全、测试和教学内容团队对“终极目标”的理解。</w:t>
      </w:r>
    </w:p>
    <w:p>
      <w:pPr>
        <w:pStyle w:val="ListBullet"/>
      </w:pPr>
      <w:r>
        <w:t>把愿景拆成可实现、可测试、可分期交付的产品需求，而不是继续以工具数量或 Skill 数量衡量进展。</w:t>
      </w:r>
    </w:p>
    <w:p>
      <w:pPr>
        <w:pStyle w:val="ListBullet"/>
      </w:pPr>
      <w:r>
        <w:t>建立“发现、怀疑、尝试、验证、会话、权限、证据完整”分层状态，消除疑似成功冒充真实成功的问题。</w:t>
      </w:r>
    </w:p>
    <w:p>
      <w:pPr>
        <w:pStyle w:val="ListBullet"/>
      </w:pPr>
      <w:r>
        <w:t>定义安全授权、作用域校验、审计、凭据保护和高风险动作门禁，确保自主性不会越过安全边界。</w:t>
      </w:r>
    </w:p>
    <w:p>
      <w:pPr>
        <w:pStyle w:val="ListBullet"/>
      </w:pPr>
      <w:r>
        <w:t>建立隐藏基准集和回归门禁，防止系统只对 Metasploitable2 或固定靶机产生过拟合。</w:t>
      </w:r>
    </w:p>
    <w:p>
      <w:pPr>
        <w:pStyle w:val="Heading2"/>
      </w:pPr>
      <w:r>
        <w:t>1.2 核心结论</w:t>
      </w:r>
    </w:p>
    <w:tbl>
      <w:tblPr>
        <w:tblW w:type="auto" w:w="0"/>
        <w:jc w:val="center"/>
        <w:tblLayout w:type="fixed"/>
        <w:tblLook w:firstColumn="1" w:firstRow="1" w:lastColumn="0" w:lastRow="0" w:noHBand="0" w:noVBand="1" w:val="04A0"/>
      </w:tblPr>
      <w:tblGrid>
        <w:gridCol w:w="3267"/>
        <w:gridCol w:w="3267"/>
        <w:gridCol w:w="3267"/>
      </w:tblGrid>
      <w:tr>
        <w:trPr>
          <w:tblHeader w:val="true"/>
        </w:trPr>
        <w:tc>
          <w:tcPr>
            <w:tcW w:type="dxa" w:w="102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编号</w:t>
            </w:r>
          </w:p>
        </w:tc>
        <w:tc>
          <w:tcPr>
            <w:tcW w:type="dxa" w:w="2835"/>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结论</w:t>
            </w:r>
          </w:p>
        </w:tc>
        <w:tc>
          <w:tcPr>
            <w:tcW w:type="dxa" w:w="5556"/>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产品含义</w:t>
            </w:r>
          </w:p>
        </w:tc>
      </w:tr>
      <w:tr>
        <w:tc>
          <w:tcPr>
            <w:tcW w:type="dxa" w:w="102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C-01</w:t>
            </w:r>
          </w:p>
        </w:tc>
        <w:tc>
          <w:tcPr>
            <w:tcW w:type="dxa" w:w="283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真值先于能力扩张</w:t>
            </w:r>
          </w:p>
        </w:tc>
        <w:tc>
          <w:tcPr>
            <w:tcW w:type="dxa" w:w="5556"/>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先完成证据模型、Success Judge、Done Gate 和会话验证，再扩展更多漏洞模块。</w:t>
            </w:r>
          </w:p>
        </w:tc>
      </w:tr>
      <w:tr>
        <w:tc>
          <w:tcPr>
            <w:tcW w:type="dxa" w:w="102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C-02</w:t>
            </w:r>
          </w:p>
        </w:tc>
        <w:tc>
          <w:tcPr>
            <w:tcW w:type="dxa" w:w="283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自主性必须受政策约束</w:t>
            </w:r>
          </w:p>
        </w:tc>
        <w:tc>
          <w:tcPr>
            <w:tcW w:type="dxa" w:w="5556"/>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LLM 可以提出动作，但不能绕过目标白名单、危险动作策略、限速和终止开关。</w:t>
            </w:r>
          </w:p>
        </w:tc>
      </w:tr>
      <w:tr>
        <w:tc>
          <w:tcPr>
            <w:tcW w:type="dxa" w:w="102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C-03</w:t>
            </w:r>
          </w:p>
        </w:tc>
        <w:tc>
          <w:tcPr>
            <w:tcW w:type="dxa" w:w="283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泛化优先于靶机成功率</w:t>
            </w:r>
          </w:p>
        </w:tc>
        <w:tc>
          <w:tcPr>
            <w:tcW w:type="dxa" w:w="5556"/>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不以目标特判、硬编码凭据或固定命令堆叠换取单靶机 100%。</w:t>
            </w:r>
          </w:p>
        </w:tc>
      </w:tr>
      <w:tr>
        <w:tc>
          <w:tcPr>
            <w:tcW w:type="dxa" w:w="102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C-04</w:t>
            </w:r>
          </w:p>
        </w:tc>
        <w:tc>
          <w:tcPr>
            <w:tcW w:type="dxa" w:w="283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学习必须先评测后晋级</w:t>
            </w:r>
          </w:p>
        </w:tc>
        <w:tc>
          <w:tcPr>
            <w:tcW w:type="dxa" w:w="5556"/>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反思生成的 Skill 只能进入草稿区，经沙箱、回归和来源检查后才能生效。</w:t>
            </w:r>
          </w:p>
        </w:tc>
      </w:tr>
      <w:tr>
        <w:tc>
          <w:tcPr>
            <w:tcW w:type="dxa" w:w="102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C-05</w:t>
            </w:r>
          </w:p>
        </w:tc>
        <w:tc>
          <w:tcPr>
            <w:tcW w:type="dxa" w:w="283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报告是产品，不是日志导出</w:t>
            </w:r>
          </w:p>
        </w:tc>
        <w:tc>
          <w:tcPr>
            <w:tcW w:type="dxa" w:w="5556"/>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报告必须解释为什么做、为什么信、为什么失败、下一步为何改变，并给出防御视角。</w:t>
            </w:r>
          </w:p>
        </w:tc>
      </w:tr>
    </w:tbl>
    <w:p>
      <w:pPr>
        <w:spacing w:after="0"/>
      </w:pPr>
    </w:p>
    <w:p>
      <w:pPr>
        <w:pStyle w:val="Heading1"/>
      </w:pPr>
      <w:r>
        <w:t>2. 产品背景与现状基线</w:t>
      </w:r>
    </w:p>
    <w:p>
      <w:pPr>
        <w:pStyle w:val="Heading2"/>
      </w:pPr>
      <w:r>
        <w:t>2.1 当前定位</w:t>
      </w:r>
    </w:p>
    <w:p>
      <w:pPr/>
      <w:r>
        <w:t>项目现有文档将目标定义为“面向教学场景的全自动 Linux 渗透 AI Agent”：用户输入目标 IP 后无需持续确认，系统完成扫描、利用、验证、复盘和 Markdown/HTML 报告。当前明确聚焦 Linux 教学靶场和常见服务，不把 Windows 域、复杂内网横向、EDR 对抗或现实世界未经授权扫描作为近期范围。[S1][S3]</w:t>
      </w:r>
    </w:p>
    <w:p>
      <w:pPr>
        <w:pStyle w:val="Heading2"/>
      </w:pPr>
      <w:r>
        <w:t>2.2 已具备的产品资产</w:t>
      </w:r>
    </w:p>
    <w:tbl>
      <w:tblPr>
        <w:tblW w:type="auto" w:w="0"/>
        <w:jc w:val="center"/>
        <w:tblLayout w:type="fixed"/>
        <w:tblLook w:firstColumn="1" w:firstRow="1" w:lastColumn="0" w:lastRow="0" w:noHBand="0" w:noVBand="1" w:val="04A0"/>
      </w:tblPr>
      <w:tblGrid>
        <w:gridCol w:w="3267"/>
        <w:gridCol w:w="3267"/>
        <w:gridCol w:w="3267"/>
      </w:tblGrid>
      <w:tr>
        <w:trPr>
          <w:tblHeader w:val="true"/>
        </w:trPr>
        <w:tc>
          <w:tcPr>
            <w:tcW w:type="dxa" w:w="136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能力域</w:t>
            </w:r>
          </w:p>
        </w:tc>
        <w:tc>
          <w:tcPr>
            <w:tcW w:type="dxa" w:w="3969"/>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当前资产</w:t>
            </w:r>
          </w:p>
        </w:tc>
        <w:tc>
          <w:tcPr>
            <w:tcW w:type="dxa" w:w="408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价值判断</w:t>
            </w:r>
          </w:p>
        </w:tc>
      </w:tr>
      <w:tr>
        <w:tc>
          <w:tcPr>
            <w:tcW w:type="dxa" w:w="136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交互层</w:t>
            </w:r>
          </w:p>
        </w:tc>
        <w:tc>
          <w:tcPr>
            <w:tcW w:type="dxa" w:w="396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Vue 3、TypeScript、Vite、终端与桌面能力</w:t>
            </w:r>
          </w:p>
        </w:tc>
        <w:tc>
          <w:tcPr>
            <w:tcW w:type="dxa" w:w="408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已具备形成桌面安全工作台的基础，但主入口仍偏单体。</w:t>
            </w:r>
          </w:p>
        </w:tc>
      </w:tr>
      <w:tr>
        <w:tc>
          <w:tcPr>
            <w:tcW w:type="dxa" w:w="136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服务层</w:t>
            </w:r>
          </w:p>
        </w:tc>
        <w:tc>
          <w:tcPr>
            <w:tcW w:type="dxa" w:w="396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FastAPI、SSH/SFTP、模型配置、WebSocket</w:t>
            </w:r>
          </w:p>
        </w:tc>
        <w:tc>
          <w:tcPr>
            <w:tcW w:type="dxa" w:w="408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接口覆盖较完整，需要补齐会话鉴权、Origin 校验和凭据治理。</w:t>
            </w:r>
          </w:p>
        </w:tc>
      </w:tr>
      <w:tr>
        <w:tc>
          <w:tcPr>
            <w:tcW w:type="dxa" w:w="136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Agent 核心</w:t>
            </w:r>
          </w:p>
        </w:tc>
        <w:tc>
          <w:tcPr>
            <w:tcW w:type="dxa" w:w="396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八阶段状态机、Planner、Executor、State、Critic、Reflection</w:t>
            </w:r>
          </w:p>
        </w:tc>
        <w:tc>
          <w:tcPr>
            <w:tcW w:type="dxa" w:w="408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闭环骨架完整，是项目最有价值的资产。</w:t>
            </w:r>
          </w:p>
        </w:tc>
      </w:tr>
      <w:tr>
        <w:tc>
          <w:tcPr>
            <w:tcW w:type="dxa" w:w="136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执行能力</w:t>
            </w:r>
          </w:p>
        </w:tc>
        <w:tc>
          <w:tcPr>
            <w:tcW w:type="dxa" w:w="396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工具注册、回退、协议适配器、Python Exploit 隔离、直接利用</w:t>
            </w:r>
          </w:p>
        </w:tc>
        <w:tc>
          <w:tcPr>
            <w:tcW w:type="dxa" w:w="408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覆盖广但稳定性和证据一致性仍需系统验证。</w:t>
            </w:r>
          </w:p>
        </w:tc>
      </w:tr>
      <w:tr>
        <w:tc>
          <w:tcPr>
            <w:tcW w:type="dxa" w:w="136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知识系统</w:t>
            </w:r>
          </w:p>
        </w:tc>
        <w:tc>
          <w:tcPr>
            <w:tcW w:type="dxa" w:w="396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Skill Engine、在线情报、Experience Store、生命周期</w:t>
            </w:r>
          </w:p>
        </w:tc>
        <w:tc>
          <w:tcPr>
            <w:tcW w:type="dxa" w:w="408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具备自进化雏形，缺少强制沙箱评测、来源可信度和防投毒门禁。</w:t>
            </w:r>
          </w:p>
        </w:tc>
      </w:tr>
      <w:tr>
        <w:tc>
          <w:tcPr>
            <w:tcW w:type="dxa" w:w="136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测试与交付</w:t>
            </w:r>
          </w:p>
        </w:tc>
        <w:tc>
          <w:tcPr>
            <w:tcW w:type="dxa" w:w="396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后端测试、前端测试、CI、Benchmark Gate、发布工作流</w:t>
            </w:r>
          </w:p>
        </w:tc>
        <w:tc>
          <w:tcPr>
            <w:tcW w:type="dxa" w:w="408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有工程基础，但部分安全扫描不阻断、Benchmark 可能被跳过。</w:t>
            </w:r>
          </w:p>
        </w:tc>
      </w:tr>
    </w:tbl>
    <w:p>
      <w:pPr>
        <w:spacing w:after="0"/>
      </w:pPr>
    </w:p>
    <w:p>
      <w:pPr>
        <w:pStyle w:val="Heading2"/>
      </w:pPr>
      <w:r>
        <w:t>2.3 当前关键差距</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3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差距</w:t>
            </w:r>
          </w:p>
        </w:tc>
        <w:tc>
          <w:tcPr>
            <w:tcW w:type="dxa" w:w="3005"/>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现象</w:t>
            </w:r>
          </w:p>
        </w:tc>
        <w:tc>
          <w:tcPr>
            <w:tcW w:type="dxa" w:w="3855"/>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根因假设</w:t>
            </w:r>
          </w:p>
        </w:tc>
        <w:tc>
          <w:tcPr>
            <w:tcW w:type="dxa" w:w="102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r>
      <w:tr>
        <w:tc>
          <w:tcPr>
            <w:tcW w:type="dxa" w:w="153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结果真值不足</w:t>
            </w:r>
          </w:p>
        </w:tc>
        <w:tc>
          <w:tcPr>
            <w:tcW w:type="dxa" w:w="300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疑似成功、工具执行成功和真实会话成功混在一起</w:t>
            </w:r>
          </w:p>
        </w:tc>
        <w:tc>
          <w:tcPr>
            <w:tcW w:type="dxa" w:w="385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判定逻辑过度依赖输出文本或 LLM 解释；证据状态不够细</w:t>
            </w:r>
          </w:p>
        </w:tc>
        <w:tc>
          <w:tcPr>
            <w:tcW w:type="dxa" w:w="102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r>
      <w:tr>
        <w:tc>
          <w:tcPr>
            <w:tcW w:type="dxa" w:w="153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严格成功率偏低</w:t>
            </w:r>
          </w:p>
        </w:tc>
        <w:tc>
          <w:tcPr>
            <w:tcW w:type="dxa" w:w="300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多种经典服务仍未稳定利用，重复 MSF 回退消耗轮次</w:t>
            </w:r>
          </w:p>
        </w:tc>
        <w:tc>
          <w:tcPr>
            <w:tcW w:type="dxa" w:w="385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直接利用适配器、超时、LHOST、会话管理与重试策略不统一</w:t>
            </w:r>
          </w:p>
        </w:tc>
        <w:tc>
          <w:tcPr>
            <w:tcW w:type="dxa" w:w="102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r>
      <w:tr>
        <w:tc>
          <w:tcPr>
            <w:tcW w:type="dxa" w:w="153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现代 Web 覆盖不足</w:t>
            </w:r>
          </w:p>
        </w:tc>
        <w:tc>
          <w:tcPr>
            <w:tcW w:type="dxa" w:w="300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经典 CVE 靶机表现明显好于现代 Web 目标</w:t>
            </w:r>
          </w:p>
        </w:tc>
        <w:tc>
          <w:tcPr>
            <w:tcW w:type="dxa" w:w="385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Planner 不能持续生成端点、认证、输入面和业务逻辑任务</w:t>
            </w:r>
          </w:p>
        </w:tc>
        <w:tc>
          <w:tcPr>
            <w:tcW w:type="dxa" w:w="102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r>
      <w:tr>
        <w:tc>
          <w:tcPr>
            <w:tcW w:type="dxa" w:w="153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完成门槛不严谨</w:t>
            </w:r>
          </w:p>
        </w:tc>
        <w:tc>
          <w:tcPr>
            <w:tcW w:type="dxa" w:w="300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高价值攻击面未穷尽时可能提前结束</w:t>
            </w:r>
          </w:p>
        </w:tc>
        <w:tc>
          <w:tcPr>
            <w:tcW w:type="dxa" w:w="385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Done Gate 与攻击面图谱、预算和失败分类耦合不足</w:t>
            </w:r>
          </w:p>
        </w:tc>
        <w:tc>
          <w:tcPr>
            <w:tcW w:type="dxa" w:w="102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r>
      <w:tr>
        <w:tc>
          <w:tcPr>
            <w:tcW w:type="dxa" w:w="153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工程单体化</w:t>
            </w:r>
          </w:p>
        </w:tc>
        <w:tc>
          <w:tcPr>
            <w:tcW w:type="dxa" w:w="300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前端 main.ts 和后端 agent.py 过大</w:t>
            </w:r>
          </w:p>
        </w:tc>
        <w:tc>
          <w:tcPr>
            <w:tcW w:type="dxa" w:w="385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策略、编排、状态、UI 控制和桥接逻辑边界不清</w:t>
            </w:r>
          </w:p>
        </w:tc>
        <w:tc>
          <w:tcPr>
            <w:tcW w:type="dxa" w:w="102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r>
      <w:tr>
        <w:tc>
          <w:tcPr>
            <w:tcW w:type="dxa" w:w="153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安全边界薄弱</w:t>
            </w:r>
          </w:p>
        </w:tc>
        <w:tc>
          <w:tcPr>
            <w:tcW w:type="dxa" w:w="300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本地 API/CORS/WebSocket 与凭据处理需要收紧</w:t>
            </w:r>
          </w:p>
        </w:tc>
        <w:tc>
          <w:tcPr>
            <w:tcW w:type="dxa" w:w="385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默认信任本地环境，缺少会话令牌和系统密钥库</w:t>
            </w:r>
          </w:p>
        </w:tc>
        <w:tc>
          <w:tcPr>
            <w:tcW w:type="dxa" w:w="102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r>
      <w:tr>
        <w:tc>
          <w:tcPr>
            <w:tcW w:type="dxa" w:w="153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基准易过拟合</w:t>
            </w:r>
          </w:p>
        </w:tc>
        <w:tc>
          <w:tcPr>
            <w:tcW w:type="dxa" w:w="300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主要证据集中在固定靶机与公开漏洞</w:t>
            </w:r>
          </w:p>
        </w:tc>
        <w:tc>
          <w:tcPr>
            <w:tcW w:type="dxa" w:w="385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缺少隐藏目标集、负样本、网络扰动和重复性评测</w:t>
            </w:r>
          </w:p>
        </w:tc>
        <w:tc>
          <w:tcPr>
            <w:tcW w:type="dxa" w:w="102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r>
    </w:tbl>
    <w:p>
      <w:pPr>
        <w:spacing w:after="0"/>
      </w:pPr>
    </w:p>
    <w:tbl>
      <w:tblPr>
        <w:tblW w:type="auto" w:w="0"/>
        <w:jc w:val="center"/>
        <w:tblLook w:firstColumn="1" w:firstRow="1" w:lastColumn="0" w:lastRow="0" w:noHBand="0" w:noVBand="1" w:val="04A0"/>
      </w:tblPr>
      <w:tblGrid>
        <w:gridCol w:w="9802"/>
      </w:tblGrid>
      <w:tr>
        <w:tc>
          <w:tcPr>
            <w:tcW w:type="dxa" w:w="9802"/>
            <w:shd w:fill="FFF4E5"/>
            <w:tcMar>
              <w:top w:w="150" w:type="dxa"/>
              <w:start w:w="180" w:type="dxa"/>
              <w:bottom w:w="150" w:type="dxa"/>
              <w:end w:w="180" w:type="dxa"/>
            </w:tcMar>
            <w:tcBorders>
              <w:top w:val="single" w:sz="3" w:color="FFF4E5"/>
              <w:left w:val="single" w:sz="22" w:color="C28B2C"/>
              <w:bottom w:val="single" w:sz="3" w:color="FFF4E5"/>
              <w:right w:val="single" w:sz="3" w:color="FFF4E5"/>
            </w:tcBorders>
          </w:tcPr>
          <w:p>
            <w:r>
              <w:rPr>
                <w:b/>
                <w:color w:val="C28B2C"/>
              </w:rPr>
              <w:t>成熟度判断：</w:t>
            </w:r>
            <w:r>
              <w:t>当前应定义为“可运行的研究原型 / Alpha”，而不是“可靠的全自动渗透产品”。模块完成度可达到较高水平，但结果可靠度、泛化、安全治理和可维护性尚不足以支撑生产级承诺。</w:t>
            </w:r>
          </w:p>
        </w:tc>
        <w:trPr>
          <w:tblHeader/>
        </w:trPr>
      </w:tr>
    </w:tbl>
    <w:p>
      <w:pPr>
        <w:spacing w:after="0"/>
      </w:pPr>
    </w:p>
    <w:p>
      <w:pPr>
        <w:pStyle w:val="Heading1"/>
      </w:pPr>
      <w:r>
        <w:t>3. 产品愿景、终极目标与北极星指标</w:t>
      </w:r>
    </w:p>
    <w:p>
      <w:pPr>
        <w:pStyle w:val="Heading2"/>
      </w:pPr>
      <w:r>
        <w:t>3.1 愿景陈述</w:t>
      </w:r>
    </w:p>
    <w:p>
      <w:pPr/>
      <w:r>
        <w:t>让每一次授权渗透任务都变成一个可自主执行、可验证、可解释、可复现、可审计并能持续学习的安全实验。</w:t>
      </w:r>
    </w:p>
    <w:p>
      <w:pPr>
        <w:pStyle w:val="Heading2"/>
      </w:pPr>
      <w:r>
        <w:t>3.2 终极目标定义</w:t>
      </w:r>
    </w:p>
    <w:p>
      <w:pPr/>
      <w:r>
        <w:t>在用户仅提供合法授权范围、目标或发现策略、时间与风险预算的情况下，系统能够在未知 Linux 环境中自主构建资产与攻击面模型，规划并执行多步安全测试，可靠区分“没有发现”“存在迹象”“已验证漏洞”“已取得会话”“已确认权限”，在失败后基于证据调整路径，最终输出教学化报告，并把本次经验以受控方式转化为后续能力。</w:t>
      </w:r>
    </w:p>
    <w:p>
      <w:pPr>
        <w:pStyle w:val="Heading2"/>
      </w:pPr>
      <w:r>
        <w:t>3.3 北极星指标</w:t>
      </w:r>
    </w:p>
    <w:tbl>
      <w:tblPr>
        <w:tblW w:type="auto" w:w="0"/>
        <w:jc w:val="center"/>
        <w:tblLayout w:type="fixed"/>
        <w:tblLook w:firstColumn="1" w:firstRow="1" w:lastColumn="0" w:lastRow="0" w:noHBand="0" w:noVBand="1" w:val="04A0"/>
      </w:tblPr>
      <w:tblGrid>
        <w:gridCol w:w="1960"/>
        <w:gridCol w:w="1960"/>
        <w:gridCol w:w="1960"/>
        <w:gridCol w:w="1960"/>
        <w:gridCol w:w="1960"/>
      </w:tblGrid>
      <w:tr>
        <w:trPr>
          <w:tblHeader w:val="true"/>
        </w:trPr>
        <w:tc>
          <w:tcPr>
            <w:tcW w:type="dxa" w:w="1304"/>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指标</w:t>
            </w:r>
          </w:p>
        </w:tc>
        <w:tc>
          <w:tcPr>
            <w:tcW w:type="dxa" w:w="2835"/>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定义</w:t>
            </w:r>
          </w:p>
        </w:tc>
        <w:tc>
          <w:tcPr>
            <w:tcW w:type="dxa" w:w="2494"/>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为什么重要</w:t>
            </w:r>
          </w:p>
        </w:tc>
        <w:tc>
          <w:tcPr>
            <w:tcW w:type="dxa" w:w="1304"/>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初始目标</w:t>
            </w:r>
          </w:p>
        </w:tc>
        <w:tc>
          <w:tcPr>
            <w:tcW w:type="dxa" w:w="1304"/>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终局目标</w:t>
            </w:r>
          </w:p>
        </w:tc>
      </w:tr>
      <w:tr>
        <w:tc>
          <w:tcPr>
            <w:tcW w:type="dxa" w:w="130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VATR</w:t>
            </w:r>
          </w:p>
        </w:tc>
        <w:tc>
          <w:tcPr>
            <w:tcW w:type="dxa" w:w="283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Verified Autonomous Task Rate：在隐藏授权目标集中，无人工干预完成目标并通过证据复核的任务比例</w:t>
            </w:r>
          </w:p>
        </w:tc>
        <w:tc>
          <w:tcPr>
            <w:tcW w:type="dxa" w:w="249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直接衡量终极目标，不受工具调用数量干扰</w:t>
            </w:r>
          </w:p>
        </w:tc>
        <w:tc>
          <w:tcPr>
            <w:tcW w:type="dxa" w:w="130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≥35% Alpha</w:t>
            </w:r>
          </w:p>
        </w:tc>
        <w:tc>
          <w:tcPr>
            <w:tcW w:type="dxa" w:w="130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≥80% 稳定版</w:t>
            </w:r>
          </w:p>
        </w:tc>
      </w:tr>
      <w:tr>
        <w:tc>
          <w:tcPr>
            <w:tcW w:type="dxa" w:w="130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VPR</w:t>
            </w:r>
          </w:p>
        </w:tc>
        <w:tc>
          <w:tcPr>
            <w:tcW w:type="dxa" w:w="283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Verified Finding Precision：系统标记为已验证的发现中，人工复核为真的比例</w:t>
            </w:r>
          </w:p>
        </w:tc>
        <w:tc>
          <w:tcPr>
            <w:tcW w:type="dxa" w:w="249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控制误报和“疑似成功”</w:t>
            </w:r>
          </w:p>
        </w:tc>
        <w:tc>
          <w:tcPr>
            <w:tcW w:type="dxa" w:w="130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≥95%</w:t>
            </w:r>
          </w:p>
        </w:tc>
        <w:tc>
          <w:tcPr>
            <w:tcW w:type="dxa" w:w="130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≥99%</w:t>
            </w:r>
          </w:p>
        </w:tc>
      </w:tr>
      <w:tr>
        <w:tc>
          <w:tcPr>
            <w:tcW w:type="dxa" w:w="130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Evidence Completeness</w:t>
            </w:r>
          </w:p>
        </w:tc>
        <w:tc>
          <w:tcPr>
            <w:tcW w:type="dxa" w:w="283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高价值结论同时具备原始输出、时间戳、目标、动作、判定规则和复现步骤的比例</w:t>
            </w:r>
          </w:p>
        </w:tc>
        <w:tc>
          <w:tcPr>
            <w:tcW w:type="dxa" w:w="249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确保审计和教学可用</w:t>
            </w:r>
          </w:p>
        </w:tc>
        <w:tc>
          <w:tcPr>
            <w:tcW w:type="dxa" w:w="130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≥90%</w:t>
            </w:r>
          </w:p>
        </w:tc>
        <w:tc>
          <w:tcPr>
            <w:tcW w:type="dxa" w:w="130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≥99%</w:t>
            </w:r>
          </w:p>
        </w:tc>
      </w:tr>
      <w:tr>
        <w:tc>
          <w:tcPr>
            <w:tcW w:type="dxa" w:w="130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Unseen Generalization</w:t>
            </w:r>
          </w:p>
        </w:tc>
        <w:tc>
          <w:tcPr>
            <w:tcW w:type="dxa" w:w="283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隐藏目标集表现 / 已知训练靶场表现</w:t>
            </w:r>
          </w:p>
        </w:tc>
        <w:tc>
          <w:tcPr>
            <w:tcW w:type="dxa" w:w="249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防止对固定靶机过拟合</w:t>
            </w:r>
          </w:p>
        </w:tc>
        <w:tc>
          <w:tcPr>
            <w:tcW w:type="dxa" w:w="130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≥0.65</w:t>
            </w:r>
          </w:p>
        </w:tc>
        <w:tc>
          <w:tcPr>
            <w:tcW w:type="dxa" w:w="130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≥0.85</w:t>
            </w:r>
          </w:p>
        </w:tc>
      </w:tr>
      <w:tr>
        <w:tc>
          <w:tcPr>
            <w:tcW w:type="dxa" w:w="130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Safe Autonomy</w:t>
            </w:r>
          </w:p>
        </w:tc>
        <w:tc>
          <w:tcPr>
            <w:tcW w:type="dxa" w:w="283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越界动作、禁止动作、敏感信息泄漏事件数</w:t>
            </w:r>
          </w:p>
        </w:tc>
        <w:tc>
          <w:tcPr>
            <w:tcW w:type="dxa" w:w="249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自主系统的底线</w:t>
            </w:r>
          </w:p>
        </w:tc>
        <w:tc>
          <w:tcPr>
            <w:tcW w:type="dxa" w:w="130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0</w:t>
            </w:r>
          </w:p>
        </w:tc>
        <w:tc>
          <w:tcPr>
            <w:tcW w:type="dxa" w:w="130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持续为0</w:t>
            </w:r>
          </w:p>
        </w:tc>
      </w:tr>
    </w:tbl>
    <w:p>
      <w:pPr>
        <w:spacing w:after="0"/>
      </w:pPr>
    </w:p>
    <w:p>
      <w:pPr>
        <w:pStyle w:val="Heading2"/>
      </w:pPr>
      <w:r>
        <w:t>3.4 产品原则</w:t>
      </w:r>
    </w:p>
    <w:p>
      <w:pPr>
        <w:pStyle w:val="ListBullet"/>
      </w:pPr>
      <w:r>
        <w:t>证据优先：任何“成功”都必须由确定性证据规则支持，LLM 只可解释或提出复核建议。</w:t>
      </w:r>
    </w:p>
    <w:p>
      <w:pPr>
        <w:pStyle w:val="ListBullet"/>
      </w:pPr>
      <w:r>
        <w:t>作用域优先：所有网络、文件、凭据和会话动作必须经过 Scope &amp; Safety Policy。</w:t>
      </w:r>
    </w:p>
    <w:p>
      <w:pPr>
        <w:pStyle w:val="ListBullet"/>
      </w:pPr>
      <w:r>
        <w:t>最小危险：默认只读、低频、可终止；破坏性、持久化或越界动作默认禁止。</w:t>
      </w:r>
    </w:p>
    <w:p>
      <w:pPr>
        <w:pStyle w:val="ListBullet"/>
      </w:pPr>
      <w:r>
        <w:t>泛化优先：禁止将目标 IP、固定凭据、已知靶机答案或具体端口组合写入通用策略。</w:t>
      </w:r>
    </w:p>
    <w:p>
      <w:pPr>
        <w:pStyle w:val="ListBullet"/>
      </w:pPr>
      <w:r>
        <w:t>可逆优先：Skill、策略和模型升级必须可灰度、可回滚、可追溯。</w:t>
      </w:r>
    </w:p>
    <w:p>
      <w:pPr>
        <w:pStyle w:val="ListBullet"/>
      </w:pPr>
      <w:r>
        <w:t>教育双视角：同时呈现攻击者判断和防守者检测/修复方法。</w:t>
      </w:r>
    </w:p>
    <w:p>
      <w:pPr>
        <w:pStyle w:val="ListBullet"/>
      </w:pPr>
      <w:r>
        <w:t>人类可接管：在任意阶段可暂停、终止、限制预算、冻结高风险动作或切换为建议模式。</w:t>
      </w:r>
    </w:p>
    <w:p>
      <w:pPr>
        <w:pStyle w:val="Heading1"/>
      </w:pPr>
      <w:r>
        <w:t>4. 用户、角色与核心场景</w:t>
      </w:r>
    </w:p>
    <w:p>
      <w:pPr>
        <w:pStyle w:val="Heading2"/>
      </w:pPr>
      <w:r>
        <w:t>4.1 主要角色</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角色</w:t>
            </w:r>
          </w:p>
        </w:tc>
        <w:tc>
          <w:tcPr>
            <w:tcW w:type="dxa" w:w="2438"/>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目标</w:t>
            </w:r>
          </w:p>
        </w:tc>
        <w:tc>
          <w:tcPr>
            <w:tcW w:type="dxa" w:w="2835"/>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核心权限</w:t>
            </w:r>
          </w:p>
        </w:tc>
        <w:tc>
          <w:tcPr>
            <w:tcW w:type="dxa" w:w="2494"/>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关键痛点</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学习者</w:t>
            </w:r>
          </w:p>
        </w:tc>
        <w:tc>
          <w:tcPr>
            <w:tcW w:type="dxa" w:w="243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理解完整渗透流程和专家判断</w:t>
            </w:r>
          </w:p>
        </w:tc>
        <w:tc>
          <w:tcPr>
            <w:tcW w:type="dxa" w:w="283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在授权靶场启动任务、查看解释、复现实验</w:t>
            </w:r>
          </w:p>
        </w:tc>
        <w:tc>
          <w:tcPr>
            <w:tcW w:type="dxa" w:w="249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只会使用工具，不理解为何选择和如何验证</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教师 / 实训管理员</w:t>
            </w:r>
          </w:p>
        </w:tc>
        <w:tc>
          <w:tcPr>
            <w:tcW w:type="dxa" w:w="243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组织课程、统一靶场、评估过程</w:t>
            </w:r>
          </w:p>
        </w:tc>
        <w:tc>
          <w:tcPr>
            <w:tcW w:type="dxa" w:w="283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创建课程模板、限制能力、查看班级结果</w:t>
            </w:r>
          </w:p>
        </w:tc>
        <w:tc>
          <w:tcPr>
            <w:tcW w:type="dxa" w:w="249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难以观察学生过程，实验重复成本高</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授权测试人员</w:t>
            </w:r>
          </w:p>
        </w:tc>
        <w:tc>
          <w:tcPr>
            <w:tcW w:type="dxa" w:w="243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提升重复性任务效率</w:t>
            </w:r>
          </w:p>
        </w:tc>
        <w:tc>
          <w:tcPr>
            <w:tcW w:type="dxa" w:w="283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创建作用域、执行、接管、导出证据与报告</w:t>
            </w:r>
          </w:p>
        </w:tc>
        <w:tc>
          <w:tcPr>
            <w:tcW w:type="dxa" w:w="249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工具切换多，过程记录与复核耗时</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安全研发人员</w:t>
            </w:r>
          </w:p>
        </w:tc>
        <w:tc>
          <w:tcPr>
            <w:tcW w:type="dxa" w:w="243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开发和评测 Agent 能力</w:t>
            </w:r>
          </w:p>
        </w:tc>
        <w:tc>
          <w:tcPr>
            <w:tcW w:type="dxa" w:w="283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管理 Skill、策略、Benchmark、模型和插件</w:t>
            </w:r>
          </w:p>
        </w:tc>
        <w:tc>
          <w:tcPr>
            <w:tcW w:type="dxa" w:w="249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难以判断改动是否真正提升泛化能力</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平台管理员</w:t>
            </w:r>
          </w:p>
        </w:tc>
        <w:tc>
          <w:tcPr>
            <w:tcW w:type="dxa" w:w="243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保证系统、安全和成本可控</w:t>
            </w:r>
          </w:p>
        </w:tc>
        <w:tc>
          <w:tcPr>
            <w:tcW w:type="dxa" w:w="283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密钥、权限、审计、资源和版本管理</w:t>
            </w:r>
          </w:p>
        </w:tc>
        <w:tc>
          <w:tcPr>
            <w:tcW w:type="dxa" w:w="249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本地服务、模型密钥和工具执行面风险高</w:t>
            </w:r>
          </w:p>
        </w:tc>
      </w:tr>
    </w:tbl>
    <w:p>
      <w:pPr>
        <w:spacing w:after="0"/>
      </w:pPr>
    </w:p>
    <w:p>
      <w:pPr>
        <w:pStyle w:val="Heading2"/>
      </w:pPr>
      <w:r>
        <w:t>4.2 核心用户旅程</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04"/>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阶段</w:t>
            </w:r>
          </w:p>
        </w:tc>
        <w:tc>
          <w:tcPr>
            <w:tcW w:type="dxa" w:w="2268"/>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用户行为</w:t>
            </w:r>
          </w:p>
        </w:tc>
        <w:tc>
          <w:tcPr>
            <w:tcW w:type="dxa" w:w="357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系统行为</w:t>
            </w:r>
          </w:p>
        </w:tc>
        <w:tc>
          <w:tcPr>
            <w:tcW w:type="dxa" w:w="221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必须产出</w:t>
            </w:r>
          </w:p>
        </w:tc>
      </w:tr>
      <w:tr>
        <w:tc>
          <w:tcPr>
            <w:tcW w:type="dxa" w:w="130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任务创建</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选择授权模板、目标/网段、时间、风险与目标</w:t>
            </w:r>
          </w:p>
        </w:tc>
        <w:tc>
          <w:tcPr>
            <w:tcW w:type="dxa" w:w="357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校验 Scope Token、工具可用性和网络边界</w:t>
            </w:r>
          </w:p>
        </w:tc>
        <w:tc>
          <w:tcPr>
            <w:tcW w:type="dxa" w:w="221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可审计的任务契约</w:t>
            </w:r>
          </w:p>
        </w:tc>
      </w:tr>
      <w:tr>
        <w:tc>
          <w:tcPr>
            <w:tcW w:type="dxa" w:w="130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自动执行</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观察或离开</w:t>
            </w:r>
          </w:p>
        </w:tc>
        <w:tc>
          <w:tcPr>
            <w:tcW w:type="dxa" w:w="357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发现目标、构建资产图、规划、执行、验证、换路</w:t>
            </w:r>
          </w:p>
        </w:tc>
        <w:tc>
          <w:tcPr>
            <w:tcW w:type="dxa" w:w="221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实时事件流、预算与风险状态</w:t>
            </w:r>
          </w:p>
        </w:tc>
      </w:tr>
      <w:tr>
        <w:tc>
          <w:tcPr>
            <w:tcW w:type="dxa" w:w="130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人工接管</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必要时暂停、修改限制或执行人工步骤</w:t>
            </w:r>
          </w:p>
        </w:tc>
        <w:tc>
          <w:tcPr>
            <w:tcW w:type="dxa" w:w="357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冻结自动动作，保留上下文和终端</w:t>
            </w:r>
          </w:p>
        </w:tc>
        <w:tc>
          <w:tcPr>
            <w:tcW w:type="dxa" w:w="221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接管记录、前后状态一致</w:t>
            </w:r>
          </w:p>
        </w:tc>
      </w:tr>
      <w:tr>
        <w:tc>
          <w:tcPr>
            <w:tcW w:type="dxa" w:w="130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结果复核</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查看发现、证据与攻击路径</w:t>
            </w:r>
          </w:p>
        </w:tc>
        <w:tc>
          <w:tcPr>
            <w:tcW w:type="dxa" w:w="357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按置信度分层，支持一键复现验证</w:t>
            </w:r>
          </w:p>
        </w:tc>
        <w:tc>
          <w:tcPr>
            <w:tcW w:type="dxa" w:w="221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证据包、复现脚本/步骤</w:t>
            </w:r>
          </w:p>
        </w:tc>
      </w:tr>
      <w:tr>
        <w:tc>
          <w:tcPr>
            <w:tcW w:type="dxa" w:w="130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教学复盘</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按阶段回放，查看原理与防御</w:t>
            </w:r>
          </w:p>
        </w:tc>
        <w:tc>
          <w:tcPr>
            <w:tcW w:type="dxa" w:w="357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生成攻击/防守双视角解释</w:t>
            </w:r>
          </w:p>
        </w:tc>
        <w:tc>
          <w:tcPr>
            <w:tcW w:type="dxa" w:w="221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课程化报告和时间线</w:t>
            </w:r>
          </w:p>
        </w:tc>
      </w:tr>
      <w:tr>
        <w:tc>
          <w:tcPr>
            <w:tcW w:type="dxa" w:w="130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经验进化</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管理员审核候选 Skill</w:t>
            </w:r>
          </w:p>
        </w:tc>
        <w:tc>
          <w:tcPr>
            <w:tcW w:type="dxa" w:w="357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沙箱评测、来源检查、晋级或回滚</w:t>
            </w:r>
          </w:p>
        </w:tc>
        <w:tc>
          <w:tcPr>
            <w:tcW w:type="dxa" w:w="221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Skill 版本、评测和审计记录</w:t>
            </w:r>
          </w:p>
        </w:tc>
      </w:tr>
    </w:tbl>
    <w:p>
      <w:pPr>
        <w:spacing w:after="0"/>
      </w:pPr>
    </w:p>
    <w:p>
      <w:pPr>
        <w:pStyle w:val="Heading2"/>
      </w:pPr>
      <w:r>
        <w:t>4.3 典型场景</w:t>
      </w:r>
    </w:p>
    <w:p>
      <w:pPr>
        <w:pStyle w:val="Heading3"/>
      </w:pPr>
      <w:r>
        <w:t>SC-01 单目标无人值守教学靶场</w:t>
      </w:r>
    </w:p>
    <w:p>
      <w:pPr/>
      <w:r>
        <w:t>学习者提供一个合法靶机 IP，选择“标准教学模式”。系统在预算内完成侦察、服务识别、漏洞验证、有限的权限验证和报告。用户不需要逐步确认，但可以随时暂停。</w:t>
      </w:r>
    </w:p>
    <w:p>
      <w:pPr>
        <w:pStyle w:val="Heading3"/>
      </w:pPr>
      <w:r>
        <w:t>SC-02 同网段目标发现</w:t>
      </w:r>
    </w:p>
    <w:p>
      <w:pPr/>
      <w:r>
        <w:t>管理员提供 CIDR、允许端口范围和目标选择策略。系统只在白名单内发现主机，对候选目标评分，并根据任务配额选择目标。</w:t>
      </w:r>
    </w:p>
    <w:p>
      <w:pPr>
        <w:pStyle w:val="Heading3"/>
      </w:pPr>
      <w:r>
        <w:t>SC-03 现代 Web 教学目标</w:t>
      </w:r>
    </w:p>
    <w:p>
      <w:pPr/>
      <w:r>
        <w:t>系统发现 Web 入口后持续构建端点、参数、认证和角色图谱，识别输入面与授权边界，不因 whatweb/nikto 无结果而结束 Web 阶段。</w:t>
      </w:r>
    </w:p>
    <w:p>
      <w:pPr>
        <w:pStyle w:val="Heading3"/>
      </w:pPr>
      <w:r>
        <w:t>SC-04 失败恢复</w:t>
      </w:r>
    </w:p>
    <w:p>
      <w:pPr/>
      <w:r>
        <w:t>首次利用失败后，系统从工具健康、版本不匹配、网络条件、前置条件、负面证据和替代路径六方面归因，避免无意义重复。</w:t>
      </w:r>
    </w:p>
    <w:p>
      <w:pPr>
        <w:pStyle w:val="Heading3"/>
      </w:pPr>
      <w:r>
        <w:t>SC-05 教师演示模式</w:t>
      </w:r>
    </w:p>
    <w:p>
      <w:pPr/>
      <w:r>
        <w:t>教师可冻结自动执行，在任一节点展示候选路径、证据和决策因素，再继续执行。</w:t>
      </w:r>
    </w:p>
    <w:p>
      <w:pPr>
        <w:pStyle w:val="Heading3"/>
      </w:pPr>
      <w:r>
        <w:t>SC-06 能力回归</w:t>
      </w:r>
    </w:p>
    <w:p>
      <w:pPr/>
      <w:r>
        <w:t>安全研发提交 Planner、Judge 或 Skill 变更，CI 在已知、隐藏、负样本和网络扰动集上自动评测，未达门禁不得发布。</w:t>
      </w:r>
    </w:p>
    <w:p>
      <w:pPr>
        <w:pStyle w:val="Heading1"/>
      </w:pPr>
      <w:r>
        <w:t>5. 产品边界、安全原则与非目标</w:t>
      </w:r>
    </w:p>
    <w:p>
      <w:pPr>
        <w:pStyle w:val="Heading2"/>
      </w:pPr>
      <w:r>
        <w:t>5.1 强制授权边界</w:t>
      </w:r>
    </w:p>
    <w:p>
      <w:pPr/>
      <w:r>
        <w:t>产品必须默认运行在实验室、靶场、CTF、企业内部明确授权测试或用户自有资产环境。任务创建必须形成机器可执行的 Scope Contract，而不是仅依赖用户口头声明。</w:t>
      </w:r>
    </w:p>
    <w:tbl>
      <w:tblPr>
        <w:tblW w:type="auto" w:w="0"/>
        <w:jc w:val="center"/>
        <w:tblLayout w:type="fixed"/>
        <w:tblLook w:firstColumn="1" w:firstRow="1" w:lastColumn="0" w:lastRow="0" w:noHBand="0" w:noVBand="1" w:val="04A0"/>
      </w:tblPr>
      <w:tblGrid>
        <w:gridCol w:w="3267"/>
        <w:gridCol w:w="3267"/>
        <w:gridCol w:w="3267"/>
      </w:tblGrid>
      <w:tr>
        <w:trPr>
          <w:tblHeader w:val="true"/>
        </w:trPr>
        <w:tc>
          <w:tcPr>
            <w:tcW w:type="dxa" w:w="119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规则ID</w:t>
            </w:r>
          </w:p>
        </w:tc>
        <w:tc>
          <w:tcPr>
            <w:tcW w:type="dxa" w:w="476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需求</w:t>
            </w:r>
          </w:p>
        </w:tc>
        <w:tc>
          <w:tcPr>
            <w:tcW w:type="dxa" w:w="3515"/>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验收标准</w:t>
            </w:r>
          </w:p>
        </w:tc>
      </w:tr>
      <w:tr>
        <w:tc>
          <w:tcPr>
            <w:tcW w:type="dxa" w:w="119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SAFE-01</w:t>
            </w:r>
          </w:p>
        </w:tc>
        <w:tc>
          <w:tcPr>
            <w:tcW w:type="dxa" w:w="476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每个任务必须绑定 Scope Token，包含允许目标、端口、协议、时间窗、最大并发、允许动作和禁止动作。</w:t>
            </w:r>
          </w:p>
        </w:tc>
        <w:tc>
          <w:tcPr>
            <w:tcW w:type="dxa" w:w="351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缺少或过期 Token 时，任何网络动作均被拒绝并记录。</w:t>
            </w:r>
          </w:p>
        </w:tc>
      </w:tr>
      <w:tr>
        <w:tc>
          <w:tcPr>
            <w:tcW w:type="dxa" w:w="119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SAFE-02</w:t>
            </w:r>
          </w:p>
        </w:tc>
        <w:tc>
          <w:tcPr>
            <w:tcW w:type="dxa" w:w="476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解析出的每个 IP、域名、重定向地址和横向目标都必须重新经过作用域校验。</w:t>
            </w:r>
          </w:p>
        </w:tc>
        <w:tc>
          <w:tcPr>
            <w:tcW w:type="dxa" w:w="351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DNS 变化、HTTP 跳转、代理和会话发现的新目标不能绕过校验。</w:t>
            </w:r>
          </w:p>
        </w:tc>
      </w:tr>
      <w:tr>
        <w:tc>
          <w:tcPr>
            <w:tcW w:type="dxa" w:w="119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SAFE-03</w:t>
            </w:r>
          </w:p>
        </w:tc>
        <w:tc>
          <w:tcPr>
            <w:tcW w:type="dxa" w:w="476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默认禁止持久化、数据破坏、拒绝服务、清除日志、公开互联网扩散和未授权横向。</w:t>
            </w:r>
          </w:p>
        </w:tc>
        <w:tc>
          <w:tcPr>
            <w:tcW w:type="dxa" w:w="351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策略测试覆盖全部禁止类别，执行层无旁路。</w:t>
            </w:r>
          </w:p>
        </w:tc>
      </w:tr>
      <w:tr>
        <w:tc>
          <w:tcPr>
            <w:tcW w:type="dxa" w:w="119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SAFE-04</w:t>
            </w:r>
          </w:p>
        </w:tc>
        <w:tc>
          <w:tcPr>
            <w:tcW w:type="dxa" w:w="476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所有命令在执行前生成规范化 Action Envelope，记录目的、目标、风险、来源、预算和回滚方式。</w:t>
            </w:r>
          </w:p>
        </w:tc>
        <w:tc>
          <w:tcPr>
            <w:tcW w:type="dxa" w:w="351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审计记录能够从报告追溯到原始动作和判定。</w:t>
            </w:r>
          </w:p>
        </w:tc>
      </w:tr>
      <w:tr>
        <w:tc>
          <w:tcPr>
            <w:tcW w:type="dxa" w:w="119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SAFE-05</w:t>
            </w:r>
          </w:p>
        </w:tc>
        <w:tc>
          <w:tcPr>
            <w:tcW w:type="dxa" w:w="476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提供全局 Kill Switch 和每任务暂停；终止后停止新任务并清理可控子进程。</w:t>
            </w:r>
          </w:p>
        </w:tc>
        <w:tc>
          <w:tcPr>
            <w:tcW w:type="dxa" w:w="351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压力测试中 5 秒内停止调度，30 秒内完成进程组清理或报告无法清理项。</w:t>
            </w:r>
          </w:p>
        </w:tc>
      </w:tr>
    </w:tbl>
    <w:p>
      <w:pPr>
        <w:spacing w:after="0"/>
      </w:pPr>
    </w:p>
    <w:p>
      <w:pPr>
        <w:pStyle w:val="Heading2"/>
      </w:pPr>
      <w:r>
        <w:t>5.2 近期非目标</w:t>
      </w:r>
    </w:p>
    <w:p>
      <w:pPr>
        <w:pStyle w:val="ListBullet"/>
      </w:pPr>
      <w:r>
        <w:t>未经授权的公网扫描、漏洞利用或凭据测试。</w:t>
      </w:r>
    </w:p>
    <w:p>
      <w:pPr>
        <w:pStyle w:val="ListBullet"/>
      </w:pPr>
      <w:r>
        <w:t>绕过 EDR/AV、隐蔽持久化、清除痕迹、规避审计。</w:t>
      </w:r>
    </w:p>
    <w:p>
      <w:pPr>
        <w:pStyle w:val="ListBullet"/>
      </w:pPr>
      <w:r>
        <w:t>生产环境中的破坏性验证、拒绝服务或大规模高并发爆破。</w:t>
      </w:r>
    </w:p>
    <w:p>
      <w:pPr>
        <w:pStyle w:val="ListBullet"/>
      </w:pPr>
      <w:r>
        <w:t>在 Linux 单目标泛化尚未达标前，扩展到复杂 Windows 域或自动化全网横向。</w:t>
      </w:r>
    </w:p>
    <w:p>
      <w:pPr>
        <w:pStyle w:val="ListBullet"/>
      </w:pPr>
      <w:r>
        <w:t>把 LLM 自然语言输出直接当成安全策略、成功证据或最终结论。</w:t>
      </w:r>
    </w:p>
    <w:p>
      <w:pPr>
        <w:pStyle w:val="ListBullet"/>
      </w:pPr>
      <w:r>
        <w:t>以单个固定靶机的 100% 命中率替代跨目标泛化。</w:t>
      </w:r>
    </w:p>
    <w:p>
      <w:pPr>
        <w:pStyle w:val="Heading1"/>
      </w:pPr>
      <w:r>
        <w:t>6. 端到端产品流程</w:t>
      </w:r>
    </w:p>
    <w:p>
      <w:pPr>
        <w:jc w:val="center"/>
      </w:pPr>
      <w:r>
        <w:drawing>
          <wp:inline xmlns:a="http://schemas.openxmlformats.org/drawingml/2006/main" xmlns:pic="http://schemas.openxmlformats.org/drawingml/2006/picture">
            <wp:extent cx="5832000" cy="3836842"/>
            <wp:docPr id="2" name="Picture 2" descr="Image: image2.png"/>
            <wp:cNvGraphicFramePr>
              <a:graphicFrameLocks noChangeAspect="1"/>
            </wp:cNvGraphicFramePr>
            <a:graphic>
              <a:graphicData uri="http://schemas.openxmlformats.org/drawingml/2006/picture">
                <pic:pic>
                  <pic:nvPicPr>
                    <pic:cNvPr id="0" name="target_architecture.png"/>
                    <pic:cNvPicPr/>
                  </pic:nvPicPr>
                  <pic:blipFill>
                    <a:blip r:embed="rId12"/>
                    <a:stretch>
                      <a:fillRect/>
                    </a:stretch>
                  </pic:blipFill>
                  <pic:spPr>
                    <a:xfrm>
                      <a:off x="0" y="0"/>
                      <a:ext cx="5832000" cy="3836842"/>
                    </a:xfrm>
                    <a:prstGeom prst="rect"/>
                  </pic:spPr>
                </pic:pic>
              </a:graphicData>
            </a:graphic>
          </wp:inline>
        </w:drawing>
      </w:r>
    </w:p>
    <w:p>
      <w:pPr>
        <w:pStyle w:val="CaptionCustom"/>
      </w:pPr>
      <w:r>
        <w:t>图2 目标架构与控制链</w:t>
      </w:r>
    </w:p>
    <w:p>
      <w:pPr>
        <w:pStyle w:val="Heading2"/>
      </w:pPr>
      <w:r>
        <w:t>6.1 标准阶段</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19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阶段</w:t>
            </w:r>
          </w:p>
        </w:tc>
        <w:tc>
          <w:tcPr>
            <w:tcW w:type="dxa" w:w="1984"/>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输入</w:t>
            </w:r>
          </w:p>
        </w:tc>
        <w:tc>
          <w:tcPr>
            <w:tcW w:type="dxa" w:w="3969"/>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核心行为</w:t>
            </w:r>
          </w:p>
        </w:tc>
        <w:tc>
          <w:tcPr>
            <w:tcW w:type="dxa" w:w="2324"/>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退出条件</w:t>
            </w:r>
          </w:p>
        </w:tc>
      </w:tr>
      <w:tr>
        <w:tc>
          <w:tcPr>
            <w:tcW w:type="dxa" w:w="119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0 初始化</w:t>
            </w:r>
          </w:p>
        </w:tc>
        <w:tc>
          <w:tcPr>
            <w:tcW w:type="dxa" w:w="198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Scope Contract、目标或发现范围、预算、模式</w:t>
            </w:r>
          </w:p>
        </w:tc>
        <w:tc>
          <w:tcPr>
            <w:tcW w:type="dxa" w:w="396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环境预检、工具健康、模型与密钥校验、生成任务ID</w:t>
            </w:r>
          </w:p>
        </w:tc>
        <w:tc>
          <w:tcPr>
            <w:tcW w:type="dxa" w:w="232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作用域有效且至少一个执行后端可用</w:t>
            </w:r>
          </w:p>
        </w:tc>
      </w:tr>
      <w:tr>
        <w:tc>
          <w:tcPr>
            <w:tcW w:type="dxa" w:w="119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1 目标发现</w:t>
            </w:r>
          </w:p>
        </w:tc>
        <w:tc>
          <w:tcPr>
            <w:tcW w:type="dxa" w:w="198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IP/CIDR/域名</w:t>
            </w:r>
          </w:p>
        </w:tc>
        <w:tc>
          <w:tcPr>
            <w:tcW w:type="dxa" w:w="396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低风险发现、主机可达性、目标选择、资产去重</w:t>
            </w:r>
          </w:p>
        </w:tc>
        <w:tc>
          <w:tcPr>
            <w:tcW w:type="dxa" w:w="232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形成目标清单或明确无目标证据</w:t>
            </w:r>
          </w:p>
        </w:tc>
      </w:tr>
      <w:tr>
        <w:tc>
          <w:tcPr>
            <w:tcW w:type="dxa" w:w="119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2 侦察与建模</w:t>
            </w:r>
          </w:p>
        </w:tc>
        <w:tc>
          <w:tcPr>
            <w:tcW w:type="dxa" w:w="198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目标清单</w:t>
            </w:r>
          </w:p>
        </w:tc>
        <w:tc>
          <w:tcPr>
            <w:tcW w:type="dxa" w:w="396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端口、协议、服务、版本、技术栈、TLS、DNS、Web入口</w:t>
            </w:r>
          </w:p>
        </w:tc>
        <w:tc>
          <w:tcPr>
            <w:tcW w:type="dxa" w:w="232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攻击面图谱达到最低覆盖门槛</w:t>
            </w:r>
          </w:p>
        </w:tc>
      </w:tr>
      <w:tr>
        <w:tc>
          <w:tcPr>
            <w:tcW w:type="dxa" w:w="119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3 候选生成与计划</w:t>
            </w:r>
          </w:p>
        </w:tc>
        <w:tc>
          <w:tcPr>
            <w:tcW w:type="dxa" w:w="198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攻击面、Skill、在线情报、预算</w:t>
            </w:r>
          </w:p>
        </w:tc>
        <w:tc>
          <w:tcPr>
            <w:tcW w:type="dxa" w:w="396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生成候选、前置条件、期望证据、风险与成本排序</w:t>
            </w:r>
          </w:p>
        </w:tc>
        <w:tc>
          <w:tcPr>
            <w:tcW w:type="dxa" w:w="232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存在可执行计划或所有候选均被证据排除</w:t>
            </w:r>
          </w:p>
        </w:tc>
      </w:tr>
      <w:tr>
        <w:tc>
          <w:tcPr>
            <w:tcW w:type="dxa" w:w="119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4 执行与动态恢复</w:t>
            </w:r>
          </w:p>
        </w:tc>
        <w:tc>
          <w:tcPr>
            <w:tcW w:type="dxa" w:w="198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规范化动作</w:t>
            </w:r>
          </w:p>
        </w:tc>
        <w:tc>
          <w:tcPr>
            <w:tcW w:type="dxa" w:w="396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运行工具、解析输出、管理超时、回退、重试与会话</w:t>
            </w:r>
          </w:p>
        </w:tc>
        <w:tc>
          <w:tcPr>
            <w:tcW w:type="dxa" w:w="232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获得证据或满足可解释失败条件</w:t>
            </w:r>
          </w:p>
        </w:tc>
      </w:tr>
      <w:tr>
        <w:tc>
          <w:tcPr>
            <w:tcW w:type="dxa" w:w="119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5 结果验证</w:t>
            </w:r>
          </w:p>
        </w:tc>
        <w:tc>
          <w:tcPr>
            <w:tcW w:type="dxa" w:w="198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原始输出、会话、目标状态</w:t>
            </w:r>
          </w:p>
        </w:tc>
        <w:tc>
          <w:tcPr>
            <w:tcW w:type="dxa" w:w="396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确定性判定、复现、负面证据、置信度校准</w:t>
            </w:r>
          </w:p>
        </w:tc>
        <w:tc>
          <w:tcPr>
            <w:tcW w:type="dxa" w:w="232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每个高价值结论进入明确状态</w:t>
            </w:r>
          </w:p>
        </w:tc>
      </w:tr>
      <w:tr>
        <w:tc>
          <w:tcPr>
            <w:tcW w:type="dxa" w:w="119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6 后续验证</w:t>
            </w:r>
          </w:p>
        </w:tc>
        <w:tc>
          <w:tcPr>
            <w:tcW w:type="dxa" w:w="198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已授权会话/凭据</w:t>
            </w:r>
          </w:p>
        </w:tc>
        <w:tc>
          <w:tcPr>
            <w:tcW w:type="dxa" w:w="396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最小权限验证、环境证明、有限枚举</w:t>
            </w:r>
          </w:p>
        </w:tc>
        <w:tc>
          <w:tcPr>
            <w:tcW w:type="dxa" w:w="232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达到任务目标或风险/预算门槛</w:t>
            </w:r>
          </w:p>
        </w:tc>
      </w:tr>
      <w:tr>
        <w:tc>
          <w:tcPr>
            <w:tcW w:type="dxa" w:w="119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7 反思与学习</w:t>
            </w:r>
          </w:p>
        </w:tc>
        <w:tc>
          <w:tcPr>
            <w:tcW w:type="dxa" w:w="198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完整事件、失败分类、报告</w:t>
            </w:r>
          </w:p>
        </w:tc>
        <w:tc>
          <w:tcPr>
            <w:tcW w:type="dxa" w:w="396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生成经验、候选 Skill、评测任务</w:t>
            </w:r>
          </w:p>
        </w:tc>
        <w:tc>
          <w:tcPr>
            <w:tcW w:type="dxa" w:w="232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候选进入草稿或被拒绝，不自动污染生产库</w:t>
            </w:r>
          </w:p>
        </w:tc>
      </w:tr>
      <w:tr>
        <w:tc>
          <w:tcPr>
            <w:tcW w:type="dxa" w:w="119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8 报告与关闭</w:t>
            </w:r>
          </w:p>
        </w:tc>
        <w:tc>
          <w:tcPr>
            <w:tcW w:type="dxa" w:w="198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证据图谱、时间线、结论</w:t>
            </w:r>
          </w:p>
        </w:tc>
        <w:tc>
          <w:tcPr>
            <w:tcW w:type="dxa" w:w="396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生成技术、管理和教学视图，清理资源</w:t>
            </w:r>
          </w:p>
        </w:tc>
        <w:tc>
          <w:tcPr>
            <w:tcW w:type="dxa" w:w="232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报告通过完整性校验，任务不可变封存</w:t>
            </w:r>
          </w:p>
        </w:tc>
      </w:tr>
    </w:tbl>
    <w:p>
      <w:pPr>
        <w:spacing w:after="0"/>
      </w:pPr>
    </w:p>
    <w:p>
      <w:pPr>
        <w:pStyle w:val="Heading2"/>
      </w:pPr>
      <w:r>
        <w:t>6.2 动态循环规则</w:t>
      </w:r>
    </w:p>
    <w:p>
      <w:pPr>
        <w:pStyle w:val="ListBullet"/>
      </w:pPr>
      <w:r>
        <w:t>阶段不是一次性顺序流水线。新端口、新凭据、新端点或新会话可以触发局部回流，但必须有回流原因和预算。</w:t>
      </w:r>
    </w:p>
    <w:p>
      <w:pPr>
        <w:pStyle w:val="ListBullet"/>
      </w:pPr>
      <w:r>
        <w:t>同一规范化动作不得在没有新前置条件或参数变化时无限重复；重复阈值由策略中心配置。</w:t>
      </w:r>
    </w:p>
    <w:p>
      <w:pPr>
        <w:pStyle w:val="ListBullet"/>
      </w:pPr>
      <w:r>
        <w:t>高价值攻击面未进入“已验证、已排除、预算耗尽或策略禁止”之一时，Done Gate 不得结束。</w:t>
      </w:r>
    </w:p>
    <w:p>
      <w:pPr>
        <w:pStyle w:val="ListBullet"/>
      </w:pPr>
      <w:r>
        <w:t>在线情报只能生成候选知识，不能直接执行；必须经过来源、适用版本、作用域和风险检查。</w:t>
      </w:r>
    </w:p>
    <w:p>
      <w:pPr>
        <w:pStyle w:val="ListBullet"/>
      </w:pPr>
      <w:r>
        <w:t>所有会话均必须有心跳、目标绑定、身份验证、权限状态和过期时间。</w:t>
      </w:r>
    </w:p>
    <w:p>
      <w:pPr>
        <w:pStyle w:val="Heading1"/>
      </w:pPr>
      <w:r>
        <w:t>7. 能力成熟度与状态定义</w:t>
      </w:r>
    </w:p>
    <w:p>
      <w:pPr>
        <w:pStyle w:val="Heading2"/>
      </w:pPr>
      <w:r>
        <w:t>7.1 发现与利用证据状态机</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75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状态</w:t>
            </w:r>
          </w:p>
        </w:tc>
        <w:tc>
          <w:tcPr>
            <w:tcW w:type="dxa" w:w="289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含义</w:t>
            </w:r>
          </w:p>
        </w:tc>
        <w:tc>
          <w:tcPr>
            <w:tcW w:type="dxa" w:w="2268"/>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允许的报告措辞</w:t>
            </w:r>
          </w:p>
        </w:tc>
        <w:tc>
          <w:tcPr>
            <w:tcW w:type="dxa" w:w="255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必需证据</w:t>
            </w:r>
          </w:p>
        </w:tc>
      </w:tr>
      <w:tr>
        <w:tc>
          <w:tcPr>
            <w:tcW w:type="dxa" w:w="175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UNOBSERVED</w:t>
            </w:r>
          </w:p>
        </w:tc>
        <w:tc>
          <w:tcPr>
            <w:tcW w:type="dxa" w:w="289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尚未检查或信息不足</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未评估</w:t>
            </w:r>
          </w:p>
        </w:tc>
        <w:tc>
          <w:tcPr>
            <w:tcW w:type="dxa" w:w="255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无</w:t>
            </w:r>
          </w:p>
        </w:tc>
      </w:tr>
      <w:tr>
        <w:tc>
          <w:tcPr>
            <w:tcW w:type="dxa" w:w="175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DISCOVERED</w:t>
            </w:r>
          </w:p>
        </w:tc>
        <w:tc>
          <w:tcPr>
            <w:tcW w:type="dxa" w:w="289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资产、端口、服务或端点被观察到</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发现…</w:t>
            </w:r>
          </w:p>
        </w:tc>
        <w:tc>
          <w:tcPr>
            <w:tcW w:type="dxa" w:w="255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原始观测、时间、目标与工具</w:t>
            </w:r>
          </w:p>
        </w:tc>
      </w:tr>
      <w:tr>
        <w:tc>
          <w:tcPr>
            <w:tcW w:type="dxa" w:w="175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SUSPECTED</w:t>
            </w:r>
          </w:p>
        </w:tc>
        <w:tc>
          <w:tcPr>
            <w:tcW w:type="dxa" w:w="289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指纹或规则提示可能存在问题</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疑似…，需进一步验证</w:t>
            </w:r>
          </w:p>
        </w:tc>
        <w:tc>
          <w:tcPr>
            <w:tcW w:type="dxa" w:w="255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匹配规则、版本/配置依据、冲突证据</w:t>
            </w:r>
          </w:p>
        </w:tc>
      </w:tr>
      <w:tr>
        <w:tc>
          <w:tcPr>
            <w:tcW w:type="dxa" w:w="175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CANDIDATE</w:t>
            </w:r>
          </w:p>
        </w:tc>
        <w:tc>
          <w:tcPr>
            <w:tcW w:type="dxa" w:w="289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已生成可执行验证方案且前置条件满足</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待验证候选</w:t>
            </w:r>
          </w:p>
        </w:tc>
        <w:tc>
          <w:tcPr>
            <w:tcW w:type="dxa" w:w="255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方案、风险、期望证据、前置条件</w:t>
            </w:r>
          </w:p>
        </w:tc>
      </w:tr>
      <w:tr>
        <w:tc>
          <w:tcPr>
            <w:tcW w:type="dxa" w:w="175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ATTEMPTED</w:t>
            </w:r>
          </w:p>
        </w:tc>
        <w:tc>
          <w:tcPr>
            <w:tcW w:type="dxa" w:w="289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已执行验证但尚未形成结论</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已尝试，结果未定</w:t>
            </w:r>
          </w:p>
        </w:tc>
        <w:tc>
          <w:tcPr>
            <w:tcW w:type="dxa" w:w="255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动作、参数摘要、输出、退出码、环境</w:t>
            </w:r>
          </w:p>
        </w:tc>
      </w:tr>
      <w:tr>
        <w:tc>
          <w:tcPr>
            <w:tcW w:type="dxa" w:w="175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VERIFIED_VULNERABLE</w:t>
            </w:r>
          </w:p>
        </w:tc>
        <w:tc>
          <w:tcPr>
            <w:tcW w:type="dxa" w:w="289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漏洞或错误配置被确定性验证</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已验证存在…</w:t>
            </w:r>
          </w:p>
        </w:tc>
        <w:tc>
          <w:tcPr>
            <w:tcW w:type="dxa" w:w="255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规则命中、可复现步骤、负面对照或专家复核</w:t>
            </w:r>
          </w:p>
        </w:tc>
      </w:tr>
      <w:tr>
        <w:tc>
          <w:tcPr>
            <w:tcW w:type="dxa" w:w="175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EXPLOITED</w:t>
            </w:r>
          </w:p>
        </w:tc>
        <w:tc>
          <w:tcPr>
            <w:tcW w:type="dxa" w:w="289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验证动作产生了预期安全影响</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已成功利用…</w:t>
            </w:r>
          </w:p>
        </w:tc>
        <w:tc>
          <w:tcPr>
            <w:tcW w:type="dxa" w:w="255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影响证据与目标绑定，不能仅依赖模块返回成功</w:t>
            </w:r>
          </w:p>
        </w:tc>
      </w:tr>
      <w:tr>
        <w:tc>
          <w:tcPr>
            <w:tcW w:type="dxa" w:w="175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SESSION_ESTABLISHED</w:t>
            </w:r>
          </w:p>
        </w:tc>
        <w:tc>
          <w:tcPr>
            <w:tcW w:type="dxa" w:w="289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获得可交互或可重复命令执行通道</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已建立会话</w:t>
            </w:r>
          </w:p>
        </w:tc>
        <w:tc>
          <w:tcPr>
            <w:tcW w:type="dxa" w:w="255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心跳、命令标记、输出、会话ID、目标一致性</w:t>
            </w:r>
          </w:p>
        </w:tc>
      </w:tr>
      <w:tr>
        <w:tc>
          <w:tcPr>
            <w:tcW w:type="dxa" w:w="175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PRIVILEGE_CONFIRMED</w:t>
            </w:r>
          </w:p>
        </w:tc>
        <w:tc>
          <w:tcPr>
            <w:tcW w:type="dxa" w:w="289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身份/权限级别已确认</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当前权限为…</w:t>
            </w:r>
          </w:p>
        </w:tc>
        <w:tc>
          <w:tcPr>
            <w:tcW w:type="dxa" w:w="255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确定性身份命令或等价证据</w:t>
            </w:r>
          </w:p>
        </w:tc>
      </w:tr>
      <w:tr>
        <w:tc>
          <w:tcPr>
            <w:tcW w:type="dxa" w:w="175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EVIDENCE_COMPLETE</w:t>
            </w:r>
          </w:p>
        </w:tc>
        <w:tc>
          <w:tcPr>
            <w:tcW w:type="dxa" w:w="289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关键证据完整并通过复核</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结论已完成验证</w:t>
            </w:r>
          </w:p>
        </w:tc>
        <w:tc>
          <w:tcPr>
            <w:tcW w:type="dxa" w:w="255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证据包完整性和复现通过</w:t>
            </w:r>
          </w:p>
        </w:tc>
      </w:tr>
      <w:tr>
        <w:tc>
          <w:tcPr>
            <w:tcW w:type="dxa" w:w="175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EXHAUSTED</w:t>
            </w:r>
          </w:p>
        </w:tc>
        <w:tc>
          <w:tcPr>
            <w:tcW w:type="dxa" w:w="289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候选已在预算内穷尽且有明确失败归因</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本次未能验证</w:t>
            </w:r>
          </w:p>
        </w:tc>
        <w:tc>
          <w:tcPr>
            <w:tcW w:type="dxa" w:w="255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尝试清单、失败分类、剩余不确定性</w:t>
            </w:r>
          </w:p>
        </w:tc>
      </w:tr>
      <w:tr>
        <w:tc>
          <w:tcPr>
            <w:tcW w:type="dxa" w:w="175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NOT_APPLICABLE</w:t>
            </w:r>
          </w:p>
        </w:tc>
        <w:tc>
          <w:tcPr>
            <w:tcW w:type="dxa" w:w="289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版本、配置或作用域证据排除</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不适用</w:t>
            </w:r>
          </w:p>
        </w:tc>
        <w:tc>
          <w:tcPr>
            <w:tcW w:type="dxa" w:w="255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排除依据</w:t>
            </w:r>
          </w:p>
        </w:tc>
      </w:tr>
    </w:tbl>
    <w:p>
      <w:pPr>
        <w:spacing w:after="0"/>
      </w:pPr>
    </w:p>
    <w:tbl>
      <w:tblPr>
        <w:tblW w:type="auto" w:w="0"/>
        <w:jc w:val="center"/>
        <w:tblLook w:firstColumn="1" w:firstRow="1" w:lastColumn="0" w:lastRow="0" w:noHBand="0" w:noVBand="1" w:val="04A0"/>
      </w:tblPr>
      <w:tblGrid>
        <w:gridCol w:w="9802"/>
      </w:tblGrid>
      <w:tr>
        <w:tc>
          <w:tcPr>
            <w:tcW w:type="dxa" w:w="9802"/>
            <w:shd w:fill="FCEEEE"/>
            <w:tcMar>
              <w:top w:w="150" w:type="dxa"/>
              <w:start w:w="180" w:type="dxa"/>
              <w:bottom w:w="150" w:type="dxa"/>
              <w:end w:w="180" w:type="dxa"/>
            </w:tcMar>
            <w:tcBorders>
              <w:top w:val="single" w:sz="3" w:color="FCEEEE"/>
              <w:left w:val="single" w:sz="22" w:color="A63D40"/>
              <w:bottom w:val="single" w:sz="3" w:color="FCEEEE"/>
              <w:right w:val="single" w:sz="3" w:color="FCEEEE"/>
            </w:tcBorders>
          </w:tcPr>
          <w:p>
            <w:r>
              <w:rPr>
                <w:b/>
                <w:color w:val="A63D40"/>
              </w:rPr>
              <w:t>硬性规则：</w:t>
            </w:r>
            <w:r>
              <w:t>“工具退出码为0”“Metasploit 模块显示完成”“LLM 认为成功”“端口仍然开放”均不能单独把状态提升为 EXPLOITED 或 SESSION_ESTABLISHED。</w:t>
            </w:r>
          </w:p>
        </w:tc>
        <w:trPr>
          <w:tblHeader/>
        </w:trPr>
      </w:tr>
    </w:tbl>
    <w:p>
      <w:pPr>
        <w:spacing w:after="0"/>
      </w:pPr>
    </w:p>
    <w:p>
      <w:pPr>
        <w:pStyle w:val="Heading2"/>
      </w:pPr>
      <w:r>
        <w:t>7.2 产品成熟度级别</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02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级别</w:t>
            </w:r>
          </w:p>
        </w:tc>
        <w:tc>
          <w:tcPr>
            <w:tcW w:type="dxa" w:w="1984"/>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名称</w:t>
            </w:r>
          </w:p>
        </w:tc>
        <w:tc>
          <w:tcPr>
            <w:tcW w:type="dxa" w:w="425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定义</w:t>
            </w:r>
          </w:p>
        </w:tc>
        <w:tc>
          <w:tcPr>
            <w:tcW w:type="dxa" w:w="238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晋级门槛</w:t>
            </w:r>
          </w:p>
        </w:tc>
      </w:tr>
      <w:tr>
        <w:tc>
          <w:tcPr>
            <w:tcW w:type="dxa" w:w="102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L0</w:t>
            </w:r>
          </w:p>
        </w:tc>
        <w:tc>
          <w:tcPr>
            <w:tcW w:type="dxa" w:w="198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工具包装</w:t>
            </w:r>
          </w:p>
        </w:tc>
        <w:tc>
          <w:tcPr>
            <w:tcW w:type="dxa" w:w="425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能触发单个工具并展示输出</w:t>
            </w:r>
          </w:p>
        </w:tc>
        <w:tc>
          <w:tcPr>
            <w:tcW w:type="dxa" w:w="238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无产品承诺</w:t>
            </w:r>
          </w:p>
        </w:tc>
      </w:tr>
      <w:tr>
        <w:tc>
          <w:tcPr>
            <w:tcW w:type="dxa" w:w="102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L1</w:t>
            </w:r>
          </w:p>
        </w:tc>
        <w:tc>
          <w:tcPr>
            <w:tcW w:type="dxa" w:w="198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流程自动化</w:t>
            </w:r>
          </w:p>
        </w:tc>
        <w:tc>
          <w:tcPr>
            <w:tcW w:type="dxa" w:w="425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能够串联扫描、候选和执行</w:t>
            </w:r>
          </w:p>
        </w:tc>
        <w:tc>
          <w:tcPr>
            <w:tcW w:type="dxa" w:w="238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固定靶场可完成演示</w:t>
            </w:r>
          </w:p>
        </w:tc>
      </w:tr>
      <w:tr>
        <w:tc>
          <w:tcPr>
            <w:tcW w:type="dxa" w:w="102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L2</w:t>
            </w:r>
          </w:p>
        </w:tc>
        <w:tc>
          <w:tcPr>
            <w:tcW w:type="dxa" w:w="198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证据可靠</w:t>
            </w:r>
          </w:p>
        </w:tc>
        <w:tc>
          <w:tcPr>
            <w:tcW w:type="dxa" w:w="425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成功与失败有确定性判定，误报受控</w:t>
            </w:r>
          </w:p>
        </w:tc>
        <w:tc>
          <w:tcPr>
            <w:tcW w:type="dxa" w:w="238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VPR≥95%，安全事件为0</w:t>
            </w:r>
          </w:p>
        </w:tc>
      </w:tr>
      <w:tr>
        <w:tc>
          <w:tcPr>
            <w:tcW w:type="dxa" w:w="102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L3</w:t>
            </w:r>
          </w:p>
        </w:tc>
        <w:tc>
          <w:tcPr>
            <w:tcW w:type="dxa" w:w="198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未知目标泛化</w:t>
            </w:r>
          </w:p>
        </w:tc>
        <w:tc>
          <w:tcPr>
            <w:tcW w:type="dxa" w:w="425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在隐藏 Linux 目标集上稳定完成任务</w:t>
            </w:r>
          </w:p>
        </w:tc>
        <w:tc>
          <w:tcPr>
            <w:tcW w:type="dxa" w:w="238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VATR≥35%，Generalization≥0.65</w:t>
            </w:r>
          </w:p>
        </w:tc>
      </w:tr>
      <w:tr>
        <w:tc>
          <w:tcPr>
            <w:tcW w:type="dxa" w:w="102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L4</w:t>
            </w:r>
          </w:p>
        </w:tc>
        <w:tc>
          <w:tcPr>
            <w:tcW w:type="dxa" w:w="198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可信自进化</w:t>
            </w:r>
          </w:p>
        </w:tc>
        <w:tc>
          <w:tcPr>
            <w:tcW w:type="dxa" w:w="425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新经验可受控提升能力，且能回滚</w:t>
            </w:r>
          </w:p>
        </w:tc>
        <w:tc>
          <w:tcPr>
            <w:tcW w:type="dxa" w:w="238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Skill 晋级均经基准，连续3版无污染</w:t>
            </w:r>
          </w:p>
        </w:tc>
      </w:tr>
      <w:tr>
        <w:tc>
          <w:tcPr>
            <w:tcW w:type="dxa" w:w="102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L5</w:t>
            </w:r>
          </w:p>
        </w:tc>
        <w:tc>
          <w:tcPr>
            <w:tcW w:type="dxa" w:w="198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教学与规模化产品</w:t>
            </w:r>
          </w:p>
        </w:tc>
        <w:tc>
          <w:tcPr>
            <w:tcW w:type="dxa" w:w="425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可用于课程和多目标受控任务</w:t>
            </w:r>
          </w:p>
        </w:tc>
        <w:tc>
          <w:tcPr>
            <w:tcW w:type="dxa" w:w="238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VATR≥80%，教学满意度和运维SLA达标</w:t>
            </w:r>
          </w:p>
        </w:tc>
      </w:tr>
    </w:tbl>
    <w:p>
      <w:pPr>
        <w:spacing w:after="0"/>
      </w:pPr>
    </w:p>
    <w:p>
      <w:pPr>
        <w:pStyle w:val="Heading1"/>
      </w:pPr>
      <w:r>
        <w:t>8. 详细功能需求</w:t>
      </w:r>
    </w:p>
    <w:p>
      <w:pPr/>
      <w:r>
        <w:t>本章需求均使用唯一编号。优先级：P0 为进入可靠 Alpha 的必需项，P1 为达到可用 Beta 的必需项，P2 为规模化或体验增强项。验收必须基于自动化测试或可复现靶场证据。</w:t>
      </w:r>
    </w:p>
    <w:p>
      <w:pPr>
        <w:pStyle w:val="Heading2"/>
      </w:pPr>
      <w:r>
        <w:t>8.1 任务授权与安全策略（FR-SCOPE）</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FR-SCOPE-001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系统必须通过结构化 Scope Contract 创建任务，包含目标、CIDR、域名、端口、协议、时间窗、并发、动作等级、数据处理和负责人。</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缺少任一强制字段时任务不可进入执行态。</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FR-SCOPE-002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所有解析后目标，包括重定向、DNS、代理、回连地址和会话发现目标，必须实时校验范围。</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越界目标拦截率100%，并生成审计事件。</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FR-SCOPE-003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策略引擎必须将动作划分为观察、轻量验证、凭据测试、利用、会话验证、后续验证和禁止动作。</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每个执行器插件声明动作等级，未声明插件不得启用。</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FR-SCOPE-004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系统必须支持每任务预算：总时长、LLM令牌、命令数、网络请求、爆破尝试、并发和存储。</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预算耗尽时安全停止并报告剩余不确定性。</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FR-SCOPE-005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用户必须能实时暂停、恢复或终止；终止信号向调度器、执行器、SSH、PTY和子进程传播。</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在故障注入下无新动作继续产生。</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FR-SCOPE-006</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教学管理员可创建不可被普通用户放宽的课程策略模板。</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学生任务只能在模板允许范围内收紧。</w:t>
            </w:r>
          </w:p>
        </w:tc>
      </w:tr>
    </w:tbl>
    <w:p>
      <w:pPr>
        <w:spacing w:after="0"/>
      </w:pPr>
    </w:p>
    <w:p>
      <w:pPr>
        <w:pStyle w:val="Heading2"/>
      </w:pPr>
      <w:r>
        <w:t>8.2 目标发现与资产图谱（FR-ASSET）</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FR-ASSET-001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系统应支持单IP、域名、CIDR和预先导入资产清单。</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四种输入均产生统一 AssetNode。</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FR-ASSET-002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资产图谱必须表示主机、域名、IP、端口、服务、技术栈、Web站点、端点、凭据、漏洞、会话和证据之间的关系。</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任一报告结论可回溯到图谱路径。</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FR-ASSET-003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发现过程必须去重并处理多网卡、NAT、虚拟主机和同站点多URL。</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重复资产率低于2%，合并保留来源。</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FR-ASSET-004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每个节点和边必须包含来源、时间、置信度、有效期和冲突信息。</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过期或冲突信息不会无提示覆盖。</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FR-ASSET-005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系统应对高价值但未覆盖的攻击面生成 Must-Try 队列。</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Done Gate 能列出所有未决高价值节点。</w:t>
            </w:r>
          </w:p>
        </w:tc>
      </w:tr>
    </w:tbl>
    <w:p>
      <w:pPr>
        <w:spacing w:after="0"/>
      </w:pPr>
    </w:p>
    <w:p>
      <w:pPr>
        <w:pStyle w:val="Heading2"/>
      </w:pPr>
      <w:r>
        <w:t>8.3 侦察与指纹识别（FR-RECON）</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FR-RECON-001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侦察必须采用渐进策略：低成本发现、目标化识别、必要时深度枚举。</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相同信息不被无意义重复扫描。</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FR-RECON-002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服务识别应融合端口、Banner、协议握手、TLS、HTTP、工具输出和历史证据。</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单一端口号不能独立确定服务。</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FR-RECON-003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系统必须保存原始输出和规范化结果，并记录解析器版本。</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解析变更后可重放历史输出。</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FR-RECON-004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工具不可用、权限不足或网络抖动必须进入 Tool Health，而非误判目标无服务。</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故障注入可区分工具失败和目标阴性。</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FR-RECON-005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系统应根据新发现动态生成定向枚举任务，而非只执行固定扫描清单。</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隐藏目标上新增服务可触发对应任务。</w:t>
            </w:r>
          </w:p>
        </w:tc>
      </w:tr>
    </w:tbl>
    <w:p>
      <w:pPr>
        <w:spacing w:after="0"/>
      </w:pPr>
    </w:p>
    <w:p>
      <w:pPr>
        <w:pStyle w:val="Heading2"/>
      </w:pPr>
      <w:r>
        <w:t>8.4 候选知识与情报（FR-INTEL）</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FR-INTEL-001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候选知识可来自内置规则、Skill、经验库、在线情报和模型推理，必须保留来源链。</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每个候选至少有一个可审计来源。</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FR-INTEL-002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在线情报必须解析适用产品、版本、前置条件、风险、验证证据和发布日期。</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无法确认适用性时只进入 SUSPECTED。</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FR-INTEL-003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来源可信度、时效性和多个来源一致性必须影响候选评分。</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低可信来源不能直接生成高风险动作。</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FR-INTEL-004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系统必须识别与目标版本不匹配、仅适用其他平台或已知伪代码。</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负样本集不产生 VERIFIED 状态。</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FR-INTEL-005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候选知识不得包含目标特定秘密或未经批准的真实环境数据进入共享Skill。</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数据泄漏扫描和人工审计通过。</w:t>
            </w:r>
          </w:p>
        </w:tc>
      </w:tr>
    </w:tbl>
    <w:p>
      <w:pPr>
        <w:spacing w:after="0"/>
      </w:pPr>
    </w:p>
    <w:p>
      <w:pPr>
        <w:pStyle w:val="Heading2"/>
      </w:pPr>
      <w:r>
        <w:t>8.5 计划、调度与 Done Gate（FR-PLAN）</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FR-PLAN-001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Planner 必须为每个任务生成目标、前置条件、动作、期望证据、失败分支、风险、成本和停止条件。</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缺少期望证据的任务不可执行。</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FR-PLAN-002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候选评分至少考虑成功概率、信息增益、影响、风险、成本、工具健康、重复度和范围约束。</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评分因素可配置且在事件中可解释。</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FR-PLAN-003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调度器必须支持依赖图、并行安全任务和互斥资源。</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不会并发使用同一交互会话或冲突端口。</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FR-PLAN-004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失败后必须基于失败分类改变前置条件、工具或路径；无变化不得重复超过阈值。</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重复死循环测试通过。</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FR-PLAN-005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Done Gate 必须检查目标覆盖、Must-Try 队列、未决证据、预算、会话状态和报告完整性。</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存在高价值未决项时不能无理由结束。</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FR-PLAN-006</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系统必须支持“建议模式、监督模式、无人值守模式”三种自治等级。</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同一任务可在安全边界内切换并留下记录。</w:t>
            </w:r>
          </w:p>
        </w:tc>
      </w:tr>
    </w:tbl>
    <w:p>
      <w:pPr>
        <w:spacing w:after="0"/>
      </w:pPr>
    </w:p>
    <w:p>
      <w:pPr>
        <w:pStyle w:val="Heading2"/>
      </w:pPr>
      <w:r>
        <w:t>8.6 执行运行时与插件（FR-EXEC）</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FR-EXEC-001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所有执行器实现统一 Plugin Contract：输入Schema、动作等级、依赖、超时、取消、输出Schema、证据提取和清理。</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契约测试覆盖所有启用插件。</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FR-EXEC-002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命令执行必须使用进程组、资源限制、输出截断、完整日志旁路和可取消机制。</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超时后无孤儿进程；原始输出可检索。</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FR-EXEC-003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工具回退必须由明确原因触发，记录为何替换以及语义差异。</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不允许盲目轮询所有工具。</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FR-EXEC-004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LLM生成代码必须在无默认网络扩散、受限文件系统和资源配额的沙箱中运行。</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沙箱逃逸与越界访问测试通过。</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FR-EXEC-005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执行器必须支持 dry-run 和模拟后端，用于课程演示和CI。</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至少80%的编排逻辑可在无真实攻击工具时测试。</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FR-EXEC-006</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所有工具版本和环境指纹必须进入任务快照。</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报告可精确重建运行环境。</w:t>
            </w:r>
          </w:p>
        </w:tc>
      </w:tr>
    </w:tbl>
    <w:p>
      <w:pPr>
        <w:spacing w:after="0"/>
      </w:pPr>
    </w:p>
    <w:p>
      <w:pPr>
        <w:pStyle w:val="Heading2"/>
      </w:pPr>
      <w:r>
        <w:t>8.7 成功判定、证据与会话（FR-EVID）</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FR-EVID-001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Success Judge 必须以类型化 Evidence Rule 为主，模型判断不得单独升级状态。</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随机提示注入不能造成成功误判。</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FR-EVID-002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漏洞验证、利用影响、会话建立和权限确认必须分别判定。</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状态不可跳跃，所有跃迁有规则与证据。</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FR-EVID-003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会话必须通过目标绑定、心跳、随机命令标记、输出回显和身份检查。</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失效或错目标会话不计成功。</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FR-EVID-004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系统应支持自动复现验证；复现失败时降低状态或标记不稳定。</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关键发现至少复现一次或注明不能复现原因。</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FR-EVID-005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证据包必须包含哈希、时间、原始输出、规范化数据、判定器版本和行动链。</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篡改检测和完整性校验通过。</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FR-EVID-006</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负面证据必须被保存，用于解释为何不适用或为何停止。</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报告中可区分未测试、测试失败和证据排除。</w:t>
            </w:r>
          </w:p>
        </w:tc>
      </w:tr>
    </w:tbl>
    <w:p>
      <w:pPr>
        <w:spacing w:after="0"/>
      </w:pPr>
    </w:p>
    <w:p>
      <w:pPr>
        <w:pStyle w:val="Heading2"/>
      </w:pPr>
      <w:r>
        <w:t>8.8 现代 Web 测试（FR-WEB）</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FR-WEB-001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Web 阶段必须持续发现站点、虚拟主机、路径、端点、参数、表单、API和静态资源引用。</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现代Web隐藏集端点召回达到目标门槛。</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FR-WEB-002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系统必须维护认证会话、Cookie、CSRF、角色和登录状态，不把每个请求视为匿名独立请求。</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认证后端点可稳定复现。</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FR-WEB-003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规则引擎至少覆盖输入验证、认证、授权、服务端请求、模板、文件处理、敏感信息和错误配置类别。</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每类均有正负样本自动测试。</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FR-WEB-004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Web Success Judge 必须支持数据返回、权限变化、越权访问、可控执行和信息泄漏等非Shell影响。</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不再以是否获得root shell作为唯一成功条件。</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FR-WEB-005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爬虫和扫描器必须遵守范围、速率、深度、内容大小和登出/删除等危险动作规则。</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危险链接不会被默认触发。</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FR-WEB-006</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浏览器自动化作为可插拔能力，必须记录DOM、网络请求和用户动作并支持回放。</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P2</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关键流程可在相同版本浏览器复现。</w:t>
            </w:r>
          </w:p>
        </w:tc>
      </w:tr>
    </w:tbl>
    <w:p>
      <w:pPr>
        <w:spacing w:after="0"/>
      </w:pPr>
    </w:p>
    <w:p>
      <w:pPr>
        <w:pStyle w:val="Heading2"/>
      </w:pPr>
      <w:r>
        <w:t>8.9 失败恢复与反思（FR-RECOVER）</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FR-RECOVER-001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失败必须分类为工具、网络、权限、前置条件、版本不匹配、目标阴性、策略限制、超时或未知。</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核心执行器失败分类准确率达到90%以上。</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FR-RECOVER-002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恢复策略应优先修复可控环境问题，再尝试等价工具，最后生成新知识候选。</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不因工具缺失直接判目标阴性。</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FR-RECOVER-003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系统必须检测停滞：重复动作、无信息增益、长期无新节点或预算消耗异常。</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停滞后自动降级、换路或终止。</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FR-RECOVER-004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反思输出必须引用具体事件和证据，不允许产生无法追溯的泛化结论。</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随机抽样反思可追溯率100%。</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FR-RECOVER-005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失败经验应同时记录“不要做什么”和“何时值得重试”。</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Planner 能利用负面经验降低重复。</w:t>
            </w:r>
          </w:p>
        </w:tc>
      </w:tr>
    </w:tbl>
    <w:p>
      <w:pPr>
        <w:spacing w:after="0"/>
      </w:pPr>
    </w:p>
    <w:p>
      <w:pPr>
        <w:pStyle w:val="Heading2"/>
      </w:pPr>
      <w:r>
        <w:t>8.10 Skill 与自进化（FR-SKILL）</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FR-SKILL-001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Skill 必须有唯一ID、版本、作者/来源、适用范围、风险、输入输出Schema、依赖、证据规则和测试。</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缺少字段的Skill不能晋级为active。</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FR-SKILL-002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自动生成Skill初始状态必须为draft，禁止直接参与无人值守高风险任务。</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生产注册表无未评测自动Skill。</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FR-SKILL-003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晋级必须经过静态检查、沙箱运行、正负样本、回归、泛化和安全测试。</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每个active版本关联完整评测记录。</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FR-SKILL-004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系统必须支持灰度、版本锁定、回滚、弃用和冲突解决。</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发现回归后可在一次操作内回滚。</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FR-SKILL-005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经验检索必须区分事实、推测、失败路径和环境特定信息。</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环境特定结论不会被无条件迁移。</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FR-SKILL-006</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必须具备知识投毒与提示注入防护，包括来源隔离、指令降权和内容扫描。</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恶意网页内容不能修改策略或直接执行。</w:t>
            </w:r>
          </w:p>
        </w:tc>
      </w:tr>
    </w:tbl>
    <w:p>
      <w:pPr>
        <w:spacing w:after="0"/>
      </w:pPr>
    </w:p>
    <w:p>
      <w:pPr>
        <w:pStyle w:val="Heading2"/>
      </w:pPr>
      <w:r>
        <w:t>8.11 报告、解释与教学（FR-REPORT）</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FR-REPORT-001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报告必须提供管理摘要、技术发现、攻击路径、证据、失败路径、覆盖范围、限制和修复建议。</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完整性校验全部通过才可关闭任务。</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FR-REPORT-002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每个高风险发现必须回答：为何怀疑、如何验证、何种证据证明、可能影响、如何复现、如何修复。</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模板字段缺失时明确标记，不允许模型补造。</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FR-REPORT-003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系统必须区分事实、模型推断、外部情报和人工输入。</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报告中的每段结论具有来源标识。</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FR-REPORT-004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教学视图应按阶段展示候选路径、选择因素、失败原因和替代路径。</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教师可从任一结论回放对应时间线。</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FR-REPORT-005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提供攻击者视角与防守者视角，包含检测点、日志来源、修复优先级和验证方法。</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至少覆盖服务、Web和凭据三类案例。</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FR-REPORT-006</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支持 Markdown、HTML、JSON证据包和可打印PDF/DOCX导出。</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P2</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不同格式结论和引用一致。</w:t>
            </w:r>
          </w:p>
        </w:tc>
      </w:tr>
    </w:tbl>
    <w:p>
      <w:pPr>
        <w:spacing w:after="0"/>
      </w:pPr>
    </w:p>
    <w:p>
      <w:pPr>
        <w:pStyle w:val="Heading2"/>
      </w:pPr>
      <w:r>
        <w:t>8.12 前端与交互（FR-UX）</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FR-UX-001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任务创建向导必须先收集授权、范围、风险和预算，再允许启动。</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不可跳过授权步骤。</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FR-UX-002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实时界面应显示当前阶段、目标图谱、候选队列、正在执行动作、预算、风险和证据状态。</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用户无需阅读终端即可判断系统在做什么。</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FR-UX-003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所有自动决策应提供简短的“选择原因”，避免展示未经验证的私有思维过程。</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解释引用可观察因素与规则。</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FR-UX-004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提供暂停、终止、限制动作等级和人工接管入口。</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关键控制始终可见且有二次确认。</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FR-UX-005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前端状态应由类型化Store和事件协议驱动，禁止依赖大量window全局变量。</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主入口文件规模和全局暴露达到架构门禁。</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FR-UX-006</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支持无障碍键盘操作、颜色对比、表格标题和图像替代文本。</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P2</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通过自动化可访问性检查和人工抽检。</w:t>
            </w:r>
          </w:p>
        </w:tc>
      </w:tr>
    </w:tbl>
    <w:p>
      <w:pPr>
        <w:spacing w:after="0"/>
      </w:pPr>
    </w:p>
    <w:p>
      <w:pPr>
        <w:pStyle w:val="Heading2"/>
      </w:pPr>
      <w:r>
        <w:t>8.13 模型网关与成本（FR-LLM）</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FR-LLM-001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模型调用必须经过统一Gateway，记录模型、版本、提示模板、输入摘要、输出哈希、时延和成本。</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任何决策均可追溯到调用记录。</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FR-LLM-002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敏感数据在发送外部模型前必须按策略脱敏或阻断。</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凭据、私钥和不允许外发的数据不出边界。</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FR-LLM-003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结构化输出必须经过Schema验证和容错解析，失败不得产生直接执行。</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格式攻击和不完整JSON测试通过。</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FR-LLM-004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低价值任务优先使用规则或小模型，高价值规划可使用强模型，并受预算控制。</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成本/任务有可配置上限。</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FR-LLM-005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模型替换必须通过相同隐藏基准和安全基准，不能只看文本质量。</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模型升级有对比报告和回滚策略。</w:t>
            </w:r>
          </w:p>
        </w:tc>
      </w:tr>
    </w:tbl>
    <w:p>
      <w:pPr>
        <w:spacing w:after="0"/>
      </w:pPr>
    </w:p>
    <w:p>
      <w:pPr>
        <w:pStyle w:val="Heading2"/>
      </w:pPr>
      <w:r>
        <w:t>8.14 可观测、审计与运维（FR-OPS）</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FR-OPS-001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所有任务产生结构化事件流，覆盖决策、动作、输出、证据、状态迁移、预算和错误。</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事件可重放并重建状态。</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FR-OPS-002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指标必须按任务、目标、插件、Skill、模型和版本聚合。</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可定位成功率下降来源。</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FR-OPS-003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日志分为用户可见、调试、安全审计和敏感证据四级，访问权限不同。</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普通用户无法读取密钥或其他任务证据。</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FR-OPS-004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系统必须监控孤儿进程、磁盘增长、长连接、异常网络请求和预算异常。</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异常触发告警和自动隔离。</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FR-OPS-005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任务封存后关键审计记录不可静默修改，修改需生成新版本。</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完整性校验和审计链通过。</w:t>
            </w:r>
          </w:p>
        </w:tc>
      </w:tr>
    </w:tbl>
    <w:p>
      <w:pPr>
        <w:spacing w:after="0"/>
      </w:pPr>
    </w:p>
    <w:p>
      <w:pPr>
        <w:pStyle w:val="Heading2"/>
      </w:pPr>
      <w:r>
        <w:t>8.15 Benchmark 与质量门禁（FR-EVAL）</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需求ID</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需求描述</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优先级</w:t>
            </w:r>
          </w:p>
        </w:tc>
        <w:tc>
          <w:tcPr>
            <w:tcW w:type="dxa" w:w="272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验收标准</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FR-EVAL-001</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基准必须包含已知经典Linux、未知Linux、错误配置、现代Web、负样本和不稳定网络。</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每个类别有版本化目标和预期真值。</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FR-EVAL-002</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隐藏集不能被Agent运行时或常规开发者配置读取，防止硬编码。</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泄漏检测和评审流程建立。</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FR-EVAL-003</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每次核心变更必须输出VATR、VPR、召回、误报、时间、成本、重复率和安全事件对比。</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未达门禁的提交不能发布。</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FR-EVAL-004</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Benchmark Gate 不能因缺少结果文件而默认成功；缺失应视为失败或明确的非发布流水线。</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P0</w:t>
            </w:r>
          </w:p>
        </w:tc>
        <w:tc>
          <w:tcPr>
            <w:tcW w:type="dxa" w:w="272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发布分支上必跑且不可skip。</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FR-EVAL-005</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同一版本至少重复运行三次，报告方差与偶发失败。</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P1</w:t>
            </w:r>
          </w:p>
        </w:tc>
        <w:tc>
          <w:tcPr>
            <w:tcW w:type="dxa" w:w="272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关键指标给出均值、P50/P95和置信区间。</w:t>
            </w:r>
          </w:p>
        </w:tc>
      </w:tr>
    </w:tbl>
    <w:p>
      <w:pPr>
        <w:spacing w:after="0"/>
      </w:pPr>
    </w:p>
    <w:p>
      <w:pPr>
        <w:pStyle w:val="Heading1"/>
      </w:pPr>
      <w:r>
        <w:t>9. 数据、证据与知识模型</w:t>
      </w:r>
    </w:p>
    <w:p>
      <w:pPr>
        <w:pStyle w:val="Heading2"/>
      </w:pPr>
      <w:r>
        <w:t>9.1 核心实体</w:t>
      </w:r>
    </w:p>
    <w:tbl>
      <w:tblPr>
        <w:tblW w:type="auto" w:w="0"/>
        <w:jc w:val="center"/>
        <w:tblLayout w:type="fixed"/>
        <w:tblLook w:firstColumn="1" w:firstRow="1" w:lastColumn="0" w:lastRow="0" w:noHBand="0" w:noVBand="1" w:val="04A0"/>
      </w:tblPr>
      <w:tblGrid>
        <w:gridCol w:w="3267"/>
        <w:gridCol w:w="3267"/>
        <w:gridCol w:w="3267"/>
      </w:tblGrid>
      <w:tr>
        <w:trPr>
          <w:tblHeader w:val="true"/>
        </w:trPr>
        <w:tc>
          <w:tcPr>
            <w:tcW w:type="dxa" w:w="170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实体</w:t>
            </w:r>
          </w:p>
        </w:tc>
        <w:tc>
          <w:tcPr>
            <w:tcW w:type="dxa" w:w="3969"/>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关键字段</w:t>
            </w:r>
          </w:p>
        </w:tc>
        <w:tc>
          <w:tcPr>
            <w:tcW w:type="dxa" w:w="391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设计要求</w:t>
            </w:r>
          </w:p>
        </w:tc>
      </w:tr>
      <w:tr>
        <w:tc>
          <w:tcPr>
            <w:tcW w:type="dxa" w:w="170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Task</w:t>
            </w:r>
          </w:p>
        </w:tc>
        <w:tc>
          <w:tcPr>
            <w:tcW w:type="dxa" w:w="396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task_id、scope_id、mode、budget、status、versions</w:t>
            </w:r>
          </w:p>
        </w:tc>
        <w:tc>
          <w:tcPr>
            <w:tcW w:type="dxa" w:w="391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任务配置不可变；变更生成新版本。</w:t>
            </w:r>
          </w:p>
        </w:tc>
      </w:tr>
      <w:tr>
        <w:tc>
          <w:tcPr>
            <w:tcW w:type="dxa" w:w="170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AssetNode</w:t>
            </w:r>
          </w:p>
        </w:tc>
        <w:tc>
          <w:tcPr>
            <w:tcW w:type="dxa" w:w="396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type、canonical_id、attributes、confidence、ttl</w:t>
            </w:r>
          </w:p>
        </w:tc>
        <w:tc>
          <w:tcPr>
            <w:tcW w:type="dxa" w:w="391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支持主机/域名/IP/服务/Web/端点等多类型。</w:t>
            </w:r>
          </w:p>
        </w:tc>
      </w:tr>
      <w:tr>
        <w:tc>
          <w:tcPr>
            <w:tcW w:type="dxa" w:w="170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Observation</w:t>
            </w:r>
          </w:p>
        </w:tc>
        <w:tc>
          <w:tcPr>
            <w:tcW w:type="dxa" w:w="396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source、raw_ref、parser_version、time、target</w:t>
            </w:r>
          </w:p>
        </w:tc>
        <w:tc>
          <w:tcPr>
            <w:tcW w:type="dxa" w:w="391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事实层，不允许模型直接覆盖。</w:t>
            </w:r>
          </w:p>
        </w:tc>
      </w:tr>
      <w:tr>
        <w:tc>
          <w:tcPr>
            <w:tcW w:type="dxa" w:w="170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Candidate</w:t>
            </w:r>
          </w:p>
        </w:tc>
        <w:tc>
          <w:tcPr>
            <w:tcW w:type="dxa" w:w="396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knowledge_refs、preconditions、expected_evidence、score</w:t>
            </w:r>
          </w:p>
        </w:tc>
        <w:tc>
          <w:tcPr>
            <w:tcW w:type="dxa" w:w="391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候选层，明确不等于漏洞事实。</w:t>
            </w:r>
          </w:p>
        </w:tc>
      </w:tr>
      <w:tr>
        <w:tc>
          <w:tcPr>
            <w:tcW w:type="dxa" w:w="170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ActionEnvelope</w:t>
            </w:r>
          </w:p>
        </w:tc>
        <w:tc>
          <w:tcPr>
            <w:tcW w:type="dxa" w:w="396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plugin、params_hash、scope_result、risk、budget、intent</w:t>
            </w:r>
          </w:p>
        </w:tc>
        <w:tc>
          <w:tcPr>
            <w:tcW w:type="dxa" w:w="391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执行前生成并审计。</w:t>
            </w:r>
          </w:p>
        </w:tc>
      </w:tr>
      <w:tr>
        <w:tc>
          <w:tcPr>
            <w:tcW w:type="dxa" w:w="170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Evidence</w:t>
            </w:r>
          </w:p>
        </w:tc>
        <w:tc>
          <w:tcPr>
            <w:tcW w:type="dxa" w:w="396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type、raw_hash、normalized、judge、provenance、integrity</w:t>
            </w:r>
          </w:p>
        </w:tc>
        <w:tc>
          <w:tcPr>
            <w:tcW w:type="dxa" w:w="391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支持正、负和冲突证据。</w:t>
            </w:r>
          </w:p>
        </w:tc>
      </w:tr>
      <w:tr>
        <w:tc>
          <w:tcPr>
            <w:tcW w:type="dxa" w:w="170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Finding</w:t>
            </w:r>
          </w:p>
        </w:tc>
        <w:tc>
          <w:tcPr>
            <w:tcW w:type="dxa" w:w="396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status、severity、impact、asset_links、evidence_links</w:t>
            </w:r>
          </w:p>
        </w:tc>
        <w:tc>
          <w:tcPr>
            <w:tcW w:type="dxa" w:w="391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状态由Evidence Rule驱动。</w:t>
            </w:r>
          </w:p>
        </w:tc>
      </w:tr>
      <w:tr>
        <w:tc>
          <w:tcPr>
            <w:tcW w:type="dxa" w:w="170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Session</w:t>
            </w:r>
          </w:p>
        </w:tc>
        <w:tc>
          <w:tcPr>
            <w:tcW w:type="dxa" w:w="396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transport、target_binding、identity、privilege、heartbeat、expiry</w:t>
            </w:r>
          </w:p>
        </w:tc>
        <w:tc>
          <w:tcPr>
            <w:tcW w:type="dxa" w:w="391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会话与漏洞成功分离。</w:t>
            </w:r>
          </w:p>
        </w:tc>
      </w:tr>
      <w:tr>
        <w:tc>
          <w:tcPr>
            <w:tcW w:type="dxa" w:w="170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Skill</w:t>
            </w:r>
          </w:p>
        </w:tc>
        <w:tc>
          <w:tcPr>
            <w:tcW w:type="dxa" w:w="396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version、origin、scope、risk、tests、lifecycle</w:t>
            </w:r>
          </w:p>
        </w:tc>
        <w:tc>
          <w:tcPr>
            <w:tcW w:type="dxa" w:w="391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草稿、灰度、激活、弃用、回滚。</w:t>
            </w:r>
          </w:p>
        </w:tc>
      </w:tr>
      <w:tr>
        <w:tc>
          <w:tcPr>
            <w:tcW w:type="dxa" w:w="170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ReportSnapshot</w:t>
            </w:r>
          </w:p>
        </w:tc>
        <w:tc>
          <w:tcPr>
            <w:tcW w:type="dxa" w:w="396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task_version、evidence_manifest、template_version</w:t>
            </w:r>
          </w:p>
        </w:tc>
        <w:tc>
          <w:tcPr>
            <w:tcW w:type="dxa" w:w="391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报告可重建且可验证。</w:t>
            </w:r>
          </w:p>
        </w:tc>
      </w:tr>
    </w:tbl>
    <w:p>
      <w:pPr>
        <w:spacing w:after="0"/>
      </w:pPr>
    </w:p>
    <w:p>
      <w:pPr>
        <w:pStyle w:val="Heading2"/>
      </w:pPr>
      <w:r>
        <w:t>9.2 事件溯源</w:t>
      </w:r>
    </w:p>
    <w:p>
      <w:pPr/>
      <w:r>
        <w:t>推荐以追加式事件日志作为任务真值来源，运行态 State 是事件折叠结果。这样可以解决当前状态字段增长、恢复困难、结果不可追溯的问题。所有状态迁移包含 previous_state、new_state、reason、actor、rule_version、evidence_refs 和 timestamp。</w:t>
      </w:r>
    </w:p>
    <w:p>
      <w:pPr>
        <w:pStyle w:val="Heading2"/>
      </w:pPr>
      <w:r>
        <w:t>9.3 数据保留与删除</w:t>
      </w:r>
    </w:p>
    <w:p>
      <w:pPr>
        <w:pStyle w:val="ListBullet"/>
      </w:pPr>
      <w:r>
        <w:t>任务配置、审计和报告可按组织策略长期保留；原始敏感输出和凭据默认短期保留。</w:t>
      </w:r>
    </w:p>
    <w:p>
      <w:pPr>
        <w:pStyle w:val="ListBullet"/>
      </w:pPr>
      <w:r>
        <w:t>用户可删除任务，但审计系统保留不可逆匿名删除证明，不保留明文敏感内容。</w:t>
      </w:r>
    </w:p>
    <w:p>
      <w:pPr>
        <w:pStyle w:val="ListBullet"/>
      </w:pPr>
      <w:r>
        <w:t>凭据、Token、私钥和会话材料不得进入普通日志、Skill、模型提示缓存或前端localStorage。</w:t>
      </w:r>
    </w:p>
    <w:p>
      <w:pPr>
        <w:pStyle w:val="ListBullet"/>
      </w:pPr>
      <w:r>
        <w:t>跨任务经验默认只保存去标识化、可泛化的事实和失败模式。</w:t>
      </w:r>
    </w:p>
    <w:p>
      <w:pPr>
        <w:pStyle w:val="Heading1"/>
      </w:pPr>
      <w:r>
        <w:t>10. 非功能性需求</w:t>
      </w:r>
    </w:p>
    <w:tbl>
      <w:tblPr>
        <w:tblW w:type="auto" w:w="0"/>
        <w:jc w:val="center"/>
        <w:tblLayout w:type="fixed"/>
        <w:tblLook w:firstColumn="1" w:firstRow="1" w:lastColumn="0" w:lastRow="0" w:noHBand="0" w:noVBand="1" w:val="04A0"/>
      </w:tblPr>
      <w:tblGrid>
        <w:gridCol w:w="3267"/>
        <w:gridCol w:w="3267"/>
        <w:gridCol w:w="3267"/>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类别</w:t>
            </w:r>
          </w:p>
        </w:tc>
        <w:tc>
          <w:tcPr>
            <w:tcW w:type="dxa" w:w="5159"/>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要求</w:t>
            </w:r>
          </w:p>
        </w:tc>
        <w:tc>
          <w:tcPr>
            <w:tcW w:type="dxa" w:w="2268"/>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目标</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可靠性</w:t>
            </w:r>
          </w:p>
        </w:tc>
        <w:tc>
          <w:tcPr>
            <w:tcW w:type="dxa" w:w="515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核心任务状态和证据在进程重启后可恢复</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恢复成功率≥99%，不重复高风险动作</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性能</w:t>
            </w:r>
          </w:p>
        </w:tc>
        <w:tc>
          <w:tcPr>
            <w:tcW w:type="dxa" w:w="515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UI事件延迟、Planner响应、执行取消、报告生成</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事件P95&lt;1秒；取消调度&lt;5秒；中型报告&lt;60秒</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可扩展性</w:t>
            </w:r>
          </w:p>
        </w:tc>
        <w:tc>
          <w:tcPr>
            <w:tcW w:type="dxa" w:w="515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插件、Skill、Judge和报告模板均有版本化接口</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新增插件不修改核心编排器</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可维护性</w:t>
            </w:r>
          </w:p>
        </w:tc>
        <w:tc>
          <w:tcPr>
            <w:tcW w:type="dxa" w:w="515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核心文件规模、圈复杂度、类型覆盖和模块边界</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单文件建议&lt;800行；关键模块类型覆盖100%</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可测试性</w:t>
            </w:r>
          </w:p>
        </w:tc>
        <w:tc>
          <w:tcPr>
            <w:tcW w:type="dxa" w:w="515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执行器可模拟，状态机可重放，外部工具可夹具化</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核心逻辑单测覆盖≥85%</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可移植性</w:t>
            </w:r>
          </w:p>
        </w:tc>
        <w:tc>
          <w:tcPr>
            <w:tcW w:type="dxa" w:w="515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支持主流Linux开发环境及Kali执行后端</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固定容器/锁文件可复现</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兼容性</w:t>
            </w:r>
          </w:p>
        </w:tc>
        <w:tc>
          <w:tcPr>
            <w:tcW w:type="dxa" w:w="515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前端、后端、事件、Skill和证据Schema有版本协商</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至少支持前一小版本迁移</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可访问性</w:t>
            </w:r>
          </w:p>
        </w:tc>
        <w:tc>
          <w:tcPr>
            <w:tcW w:type="dxa" w:w="515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键盘、读屏、对比度、语义结构</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WCAG 2.1 AA关键路径</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国际化</w:t>
            </w:r>
          </w:p>
        </w:tc>
        <w:tc>
          <w:tcPr>
            <w:tcW w:type="dxa" w:w="515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中文优先，结构支持英文</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UI与报告文本不硬编码于业务逻辑</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成本</w:t>
            </w:r>
          </w:p>
        </w:tc>
        <w:tc>
          <w:tcPr>
            <w:tcW w:type="dxa" w:w="515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模型、网络请求和工具资源可预算与归因</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每任务成本可预测并可限制</w:t>
            </w:r>
          </w:p>
        </w:tc>
      </w:tr>
    </w:tbl>
    <w:p>
      <w:pPr>
        <w:spacing w:after="0"/>
      </w:pPr>
    </w:p>
    <w:p>
      <w:pPr>
        <w:pStyle w:val="Heading1"/>
      </w:pPr>
      <w:r>
        <w:t>11. 安全、隐私与治理要求</w:t>
      </w:r>
    </w:p>
    <w:p>
      <w:pPr>
        <w:pStyle w:val="Heading2"/>
      </w:pPr>
      <w:r>
        <w:t>11.1 本地服务安全</w:t>
      </w:r>
    </w:p>
    <w:p>
      <w:pPr>
        <w:pStyle w:val="ListBullet"/>
      </w:pPr>
      <w:r>
        <w:t>FastAPI 与 WebSocket 必须使用启动时随机会话令牌或桌面端安全IPC，不允许通配CORS和无鉴权WebSocket。</w:t>
      </w:r>
    </w:p>
    <w:p>
      <w:pPr>
        <w:pStyle w:val="ListBullet"/>
      </w:pPr>
      <w:r>
        <w:t>Origin、Host、Content-Type、请求大小和速率必须校验；错误响应不得泄露堆栈、密钥或命令。</w:t>
      </w:r>
    </w:p>
    <w:p>
      <w:pPr>
        <w:pStyle w:val="ListBullet"/>
      </w:pPr>
      <w:r>
        <w:t>密码和API密钥使用操作系统Keychain/Secret Service；禁止提供通用“解密并返回明文”接口。</w:t>
      </w:r>
    </w:p>
    <w:p>
      <w:pPr>
        <w:pStyle w:val="ListBullet"/>
      </w:pPr>
      <w:r>
        <w:t>终端和SSH会话按任务隔离，前端只获得短期会话句柄，不获得可长期复用的明文秘密。</w:t>
      </w:r>
    </w:p>
    <w:p>
      <w:pPr>
        <w:pStyle w:val="Heading2"/>
      </w:pPr>
      <w:r>
        <w:t>11.2 Agent 特有安全</w:t>
      </w:r>
    </w:p>
    <w:tbl>
      <w:tblPr>
        <w:tblW w:type="auto" w:w="0"/>
        <w:jc w:val="center"/>
        <w:tblLayout w:type="fixed"/>
        <w:tblLook w:firstColumn="1" w:firstRow="1" w:lastColumn="0" w:lastRow="0" w:noHBand="0" w:noVBand="1" w:val="04A0"/>
      </w:tblPr>
      <w:tblGrid>
        <w:gridCol w:w="4901"/>
        <w:gridCol w:w="4901"/>
      </w:tblGrid>
      <w:tr>
        <w:trPr>
          <w:tblHeader w:val="true"/>
        </w:trPr>
        <w:tc>
          <w:tcPr>
            <w:tcW w:type="dxa" w:w="2268"/>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威胁</w:t>
            </w:r>
          </w:p>
        </w:tc>
        <w:tc>
          <w:tcPr>
            <w:tcW w:type="dxa" w:w="6803"/>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控制</w:t>
            </w:r>
          </w:p>
        </w:tc>
      </w:tr>
      <w:tr>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提示注入 / 网页恶意指令</w:t>
            </w:r>
          </w:p>
        </w:tc>
        <w:tc>
          <w:tcPr>
            <w:tcW w:type="dxa" w:w="6803"/>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外部内容标记为不可信数据；不进入系统策略；工具动作仍经Schema和Policy。</w:t>
            </w:r>
          </w:p>
        </w:tc>
      </w:tr>
      <w:tr>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Skill 投毒</w:t>
            </w:r>
          </w:p>
        </w:tc>
        <w:tc>
          <w:tcPr>
            <w:tcW w:type="dxa" w:w="6803"/>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来源隔离、签名、沙箱评测、双人审核、高风险Skill禁自动晋级。</w:t>
            </w:r>
          </w:p>
        </w:tc>
      </w:tr>
      <w:tr>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模型幻觉成功</w:t>
            </w:r>
          </w:p>
        </w:tc>
        <w:tc>
          <w:tcPr>
            <w:tcW w:type="dxa" w:w="6803"/>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确定性Judge、复现、负面证据和人工抽样复核。</w:t>
            </w:r>
          </w:p>
        </w:tc>
      </w:tr>
      <w:tr>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越界网络动作</w:t>
            </w:r>
          </w:p>
        </w:tc>
        <w:tc>
          <w:tcPr>
            <w:tcW w:type="dxa" w:w="6803"/>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每跳作用域校验、DNS重绑定防护、网络命名空间和出口ACL。</w:t>
            </w:r>
          </w:p>
        </w:tc>
      </w:tr>
      <w:tr>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生成代码逃逸</w:t>
            </w:r>
          </w:p>
        </w:tc>
        <w:tc>
          <w:tcPr>
            <w:tcW w:type="dxa" w:w="6803"/>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只读基础镜像、最小权限用户、seccomp/AppArmor、资源配额和无默认宿主挂载。</w:t>
            </w:r>
          </w:p>
        </w:tc>
      </w:tr>
      <w:tr>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证据篡改</w:t>
            </w:r>
          </w:p>
        </w:tc>
        <w:tc>
          <w:tcPr>
            <w:tcW w:type="dxa" w:w="6803"/>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内容哈希、事件链、不可变任务快照和签名清单。</w:t>
            </w:r>
          </w:p>
        </w:tc>
      </w:tr>
      <w:tr>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敏感信息外发</w:t>
            </w:r>
          </w:p>
        </w:tc>
        <w:tc>
          <w:tcPr>
            <w:tcW w:type="dxa" w:w="6803"/>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提示脱敏、模型路由策略、本地模型选项、DLP扫描。</w:t>
            </w:r>
          </w:p>
        </w:tc>
      </w:tr>
    </w:tbl>
    <w:p>
      <w:pPr>
        <w:spacing w:after="0"/>
      </w:pPr>
    </w:p>
    <w:p>
      <w:pPr>
        <w:pStyle w:val="Heading2"/>
      </w:pPr>
      <w:r>
        <w:t>11.3 治理</w:t>
      </w:r>
    </w:p>
    <w:p>
      <w:pPr>
        <w:pStyle w:val="ListBullet"/>
      </w:pPr>
      <w:r>
        <w:t>建立安全评审委员会或至少双人审批，审核新增高风险执行能力。</w:t>
      </w:r>
    </w:p>
    <w:p>
      <w:pPr>
        <w:pStyle w:val="ListBullet"/>
      </w:pPr>
      <w:r>
        <w:t>发布说明必须公开能力边界、已知误报/漏报、基准版本和安全限制。</w:t>
      </w:r>
    </w:p>
    <w:p>
      <w:pPr>
        <w:pStyle w:val="ListBullet"/>
      </w:pPr>
      <w:r>
        <w:t>任何安全事件触发版本冻结、Skill回滚和审计保全。</w:t>
      </w:r>
    </w:p>
    <w:p>
      <w:pPr>
        <w:pStyle w:val="ListBullet"/>
      </w:pPr>
      <w:r>
        <w:t>AGPL-3.0 及第三方工具许可、模型条款、漏洞数据来源必须有合规清单。</w:t>
      </w:r>
    </w:p>
    <w:p>
      <w:pPr>
        <w:pStyle w:val="Heading1"/>
      </w:pPr>
      <w:r>
        <w:t>12. 指标体系与验收方案</w:t>
      </w:r>
    </w:p>
    <w:p>
      <w:pPr>
        <w:pStyle w:val="Heading2"/>
      </w:pPr>
      <w:r>
        <w:t>12.1 指标分层</w:t>
      </w:r>
    </w:p>
    <w:tbl>
      <w:tblPr>
        <w:tblW w:type="auto" w:w="0"/>
        <w:jc w:val="center"/>
        <w:tblLayout w:type="fixed"/>
        <w:tblLook w:firstColumn="1" w:firstRow="1" w:lastColumn="0" w:lastRow="0" w:noHBand="0" w:noVBand="1" w:val="04A0"/>
      </w:tblPr>
      <w:tblGrid>
        <w:gridCol w:w="3267"/>
        <w:gridCol w:w="3267"/>
        <w:gridCol w:w="3267"/>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层级</w:t>
            </w:r>
          </w:p>
        </w:tc>
        <w:tc>
          <w:tcPr>
            <w:tcW w:type="dxa" w:w="442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指标示例</w:t>
            </w:r>
          </w:p>
        </w:tc>
        <w:tc>
          <w:tcPr>
            <w:tcW w:type="dxa" w:w="306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禁止替代指标</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结果层</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VATR、VPR、Verified Recall、会话有效率、权限确认率</w:t>
            </w:r>
          </w:p>
        </w:tc>
        <w:tc>
          <w:tcPr>
            <w:tcW w:type="dxa" w:w="306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工具调用次数、日志长度</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流程层</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攻击面覆盖、重复动作率、失败分类率、Done Gate正确率</w:t>
            </w:r>
          </w:p>
        </w:tc>
        <w:tc>
          <w:tcPr>
            <w:tcW w:type="dxa" w:w="306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候选数量越多越好</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学习层</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Skill晋级提升、回归率、回滚率、跨目标迁移率</w:t>
            </w:r>
          </w:p>
        </w:tc>
        <w:tc>
          <w:tcPr>
            <w:tcW w:type="dxa" w:w="306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Skill总数</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安全层</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越界拦截、禁止动作、秘密泄漏、孤儿进程</w:t>
            </w:r>
          </w:p>
        </w:tc>
        <w:tc>
          <w:tcPr>
            <w:tcW w:type="dxa" w:w="306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“只监听localhost”</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体验层</w:t>
            </w:r>
          </w:p>
        </w:tc>
        <w:tc>
          <w:tcPr>
            <w:tcW w:type="dxa" w:w="442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任务创建成功率、解释可理解度、报告完整度、教师复用率</w:t>
            </w:r>
          </w:p>
        </w:tc>
        <w:tc>
          <w:tcPr>
            <w:tcW w:type="dxa" w:w="306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页面数量或动画数量</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效率层</w:t>
            </w:r>
          </w:p>
        </w:tc>
        <w:tc>
          <w:tcPr>
            <w:tcW w:type="dxa" w:w="442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时间、成本、网络请求、工具失败率、P95延迟</w:t>
            </w:r>
          </w:p>
        </w:tc>
        <w:tc>
          <w:tcPr>
            <w:tcW w:type="dxa" w:w="306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单次最快演示</w:t>
            </w:r>
          </w:p>
        </w:tc>
      </w:tr>
    </w:tbl>
    <w:p>
      <w:pPr>
        <w:spacing w:after="0"/>
      </w:pPr>
    </w:p>
    <w:p>
      <w:pPr>
        <w:pStyle w:val="Heading2"/>
      </w:pPr>
      <w:r>
        <w:t>12.2 Alpha 发布门槛</w:t>
      </w:r>
    </w:p>
    <w:p>
      <w:pPr>
        <w:pStyle w:val="ListBullet"/>
      </w:pPr>
      <w:r>
        <w:t>隐藏 Linux 基准集 VATR ≥35%，已知经典靶场不低于70%。</w:t>
      </w:r>
    </w:p>
    <w:p>
      <w:pPr>
        <w:pStyle w:val="ListBullet"/>
      </w:pPr>
      <w:r>
        <w:t>已验证发现精度 VPR ≥95%，会话有效判定精度≥98%。</w:t>
      </w:r>
    </w:p>
    <w:p>
      <w:pPr>
        <w:pStyle w:val="ListBullet"/>
      </w:pPr>
      <w:r>
        <w:t>越界和禁止动作事件为0；安全测试无未修复高危问题。</w:t>
      </w:r>
    </w:p>
    <w:p>
      <w:pPr>
        <w:pStyle w:val="ListBullet"/>
      </w:pPr>
      <w:r>
        <w:t>Done Gate 对高价值未决攻击面的提前结束率≤5%。</w:t>
      </w:r>
    </w:p>
    <w:p>
      <w:pPr>
        <w:pStyle w:val="ListBullet"/>
      </w:pPr>
      <w:r>
        <w:t>核心任务三次重复运行的结果状态一致率≥85%。</w:t>
      </w:r>
    </w:p>
    <w:p>
      <w:pPr>
        <w:pStyle w:val="ListBullet"/>
      </w:pPr>
      <w:r>
        <w:t>报告关键字段完整率≥95%，所有事实结论可追溯到证据。</w:t>
      </w:r>
    </w:p>
    <w:p>
      <w:pPr>
        <w:pStyle w:val="Heading2"/>
      </w:pPr>
      <w:r>
        <w:t>12.3 Beta 发布门槛</w:t>
      </w:r>
    </w:p>
    <w:p>
      <w:pPr>
        <w:pStyle w:val="ListBullet"/>
      </w:pPr>
      <w:r>
        <w:t>隐藏 Linux + 现代 Web 混合集 VATR ≥55%，Generalization Ratio ≥0.75。</w:t>
      </w:r>
    </w:p>
    <w:p>
      <w:pPr>
        <w:pStyle w:val="ListBullet"/>
      </w:pPr>
      <w:r>
        <w:t>VPR ≥98%，严重发现的复现成功率≥95%。</w:t>
      </w:r>
    </w:p>
    <w:p>
      <w:pPr>
        <w:pStyle w:val="ListBullet"/>
      </w:pPr>
      <w:r>
        <w:t>Skill自动生成到安全晋级的闭环可运行，且连续三次发布无明显回归。</w:t>
      </w:r>
    </w:p>
    <w:p>
      <w:pPr>
        <w:pStyle w:val="ListBullet"/>
      </w:pPr>
      <w:r>
        <w:t>典型任务P95在预设预算内结束，成本和请求量可预测。</w:t>
      </w:r>
    </w:p>
    <w:p>
      <w:pPr>
        <w:pStyle w:val="ListBullet"/>
      </w:pPr>
      <w:r>
        <w:t>教师和测试人员完成可用性评测，关键路径任务成功率≥90%。</w:t>
      </w:r>
    </w:p>
    <w:p>
      <w:pPr>
        <w:pStyle w:val="Heading2"/>
      </w:pPr>
      <w:r>
        <w:t>12.4 验收用例类型</w:t>
      </w:r>
    </w:p>
    <w:tbl>
      <w:tblPr>
        <w:tblW w:type="auto" w:w="0"/>
        <w:jc w:val="center"/>
        <w:tblLayout w:type="fixed"/>
        <w:tblLook w:firstColumn="1" w:firstRow="1" w:lastColumn="0" w:lastRow="0" w:noHBand="0" w:noVBand="1" w:val="04A0"/>
      </w:tblPr>
      <w:tblGrid>
        <w:gridCol w:w="3267"/>
        <w:gridCol w:w="3267"/>
        <w:gridCol w:w="3267"/>
      </w:tblGrid>
      <w:tr>
        <w:trPr>
          <w:tblHeader w:val="true"/>
        </w:trPr>
        <w:tc>
          <w:tcPr>
            <w:tcW w:type="dxa" w:w="15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类型</w:t>
            </w:r>
          </w:p>
        </w:tc>
        <w:tc>
          <w:tcPr>
            <w:tcW w:type="dxa" w:w="4139"/>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示例</w:t>
            </w:r>
          </w:p>
        </w:tc>
        <w:tc>
          <w:tcPr>
            <w:tcW w:type="dxa" w:w="3345"/>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目的</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正样本</w:t>
            </w:r>
          </w:p>
        </w:tc>
        <w:tc>
          <w:tcPr>
            <w:tcW w:type="dxa" w:w="413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明确存在漏洞或错误配置的版本化靶场</w:t>
            </w:r>
          </w:p>
        </w:tc>
        <w:tc>
          <w:tcPr>
            <w:tcW w:type="dxa" w:w="334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验证召回和证据链</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负样本</w:t>
            </w:r>
          </w:p>
        </w:tc>
        <w:tc>
          <w:tcPr>
            <w:tcW w:type="dxa" w:w="413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相似Banner但已修复、端口开放但无漏洞</w:t>
            </w:r>
          </w:p>
        </w:tc>
        <w:tc>
          <w:tcPr>
            <w:tcW w:type="dxa" w:w="334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验证误报控制</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未知样本</w:t>
            </w:r>
          </w:p>
        </w:tc>
        <w:tc>
          <w:tcPr>
            <w:tcW w:type="dxa" w:w="413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开发者不可见的自建服务组合</w:t>
            </w:r>
          </w:p>
        </w:tc>
        <w:tc>
          <w:tcPr>
            <w:tcW w:type="dxa" w:w="334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验证泛化</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扰动样本</w:t>
            </w:r>
          </w:p>
        </w:tc>
        <w:tc>
          <w:tcPr>
            <w:tcW w:type="dxa" w:w="413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丢包、延迟、工具缺失、权限不足</w:t>
            </w:r>
          </w:p>
        </w:tc>
        <w:tc>
          <w:tcPr>
            <w:tcW w:type="dxa" w:w="334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验证失败归因和恢复</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对抗样本</w:t>
            </w:r>
          </w:p>
        </w:tc>
        <w:tc>
          <w:tcPr>
            <w:tcW w:type="dxa" w:w="413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恶意网页提示、假成功输出、错误情报</w:t>
            </w:r>
          </w:p>
        </w:tc>
        <w:tc>
          <w:tcPr>
            <w:tcW w:type="dxa" w:w="334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验证Agent安全与Judge</w:t>
            </w:r>
          </w:p>
        </w:tc>
      </w:tr>
      <w:tr>
        <w:tc>
          <w:tcPr>
            <w:tcW w:type="dxa" w:w="15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重复性</w:t>
            </w:r>
          </w:p>
        </w:tc>
        <w:tc>
          <w:tcPr>
            <w:tcW w:type="dxa" w:w="4139"/>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相同快照多次运行</w:t>
            </w:r>
          </w:p>
        </w:tc>
        <w:tc>
          <w:tcPr>
            <w:tcW w:type="dxa" w:w="3345"/>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测量稳定性和方差</w:t>
            </w:r>
          </w:p>
        </w:tc>
      </w:tr>
      <w:tr>
        <w:tc>
          <w:tcPr>
            <w:tcW w:type="dxa" w:w="15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资源边界</w:t>
            </w:r>
          </w:p>
        </w:tc>
        <w:tc>
          <w:tcPr>
            <w:tcW w:type="dxa" w:w="4139"/>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低预算、磁盘不足、模型超时</w:t>
            </w:r>
          </w:p>
        </w:tc>
        <w:tc>
          <w:tcPr>
            <w:tcW w:type="dxa" w:w="3345"/>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验证安全终止与可恢复性</w:t>
            </w:r>
          </w:p>
        </w:tc>
      </w:tr>
    </w:tbl>
    <w:p>
      <w:pPr>
        <w:spacing w:after="0"/>
      </w:pPr>
    </w:p>
    <w:p>
      <w:pPr>
        <w:pStyle w:val="Heading1"/>
      </w:pPr>
      <w:r>
        <w:t>13. 发布范围与版本策略</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版本</w:t>
            </w:r>
          </w:p>
        </w:tc>
        <w:tc>
          <w:tcPr>
            <w:tcW w:type="dxa" w:w="2324"/>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产品承诺</w:t>
            </w:r>
          </w:p>
        </w:tc>
        <w:tc>
          <w:tcPr>
            <w:tcW w:type="dxa" w:w="340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必须包含</w:t>
            </w:r>
          </w:p>
        </w:tc>
        <w:tc>
          <w:tcPr>
            <w:tcW w:type="dxa" w:w="2154"/>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明确不承诺</w:t>
            </w:r>
          </w:p>
        </w:tc>
      </w:tr>
      <w:tr>
        <w:tc>
          <w:tcPr>
            <w:tcW w:type="dxa" w:w="136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0.6 可靠Alpha</w:t>
            </w:r>
          </w:p>
        </w:tc>
        <w:tc>
          <w:tcPr>
            <w:tcW w:type="dxa" w:w="232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授权单目标Linux，证据可靠和安全可控</w:t>
            </w:r>
          </w:p>
        </w:tc>
        <w:tc>
          <w:tcPr>
            <w:tcW w:type="dxa" w:w="340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P0真值、安全、基准、基础模块化</w:t>
            </w:r>
          </w:p>
        </w:tc>
        <w:tc>
          <w:tcPr>
            <w:tcW w:type="dxa" w:w="215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高成功率、现代Web完整覆盖</w:t>
            </w:r>
          </w:p>
        </w:tc>
      </w:tr>
      <w:tr>
        <w:tc>
          <w:tcPr>
            <w:tcW w:type="dxa" w:w="136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0.8 泛化Beta</w:t>
            </w:r>
          </w:p>
        </w:tc>
        <w:tc>
          <w:tcPr>
            <w:tcW w:type="dxa" w:w="232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隐藏Linux目标具有稳定泛化，现代Web基础可用</w:t>
            </w:r>
          </w:p>
        </w:tc>
        <w:tc>
          <w:tcPr>
            <w:tcW w:type="dxa" w:w="340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资产图谱、动态计划、Web端点/认证/规则、Skill门禁</w:t>
            </w:r>
          </w:p>
        </w:tc>
        <w:tc>
          <w:tcPr>
            <w:tcW w:type="dxa" w:w="215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复杂横向、Windows域</w:t>
            </w:r>
          </w:p>
        </w:tc>
      </w:tr>
      <w:tr>
        <w:tc>
          <w:tcPr>
            <w:tcW w:type="dxa" w:w="136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1.0 教学稳定版</w:t>
            </w:r>
          </w:p>
        </w:tc>
        <w:tc>
          <w:tcPr>
            <w:tcW w:type="dxa" w:w="232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可用于课程和受控内部评测</w:t>
            </w:r>
          </w:p>
        </w:tc>
        <w:tc>
          <w:tcPr>
            <w:tcW w:type="dxa" w:w="340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教学回放、报告、多角色、SLA、完整治理</w:t>
            </w:r>
          </w:p>
        </w:tc>
        <w:tc>
          <w:tcPr>
            <w:tcW w:type="dxa" w:w="215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无条件生产自主攻击</w:t>
            </w:r>
          </w:p>
        </w:tc>
      </w:tr>
      <w:tr>
        <w:tc>
          <w:tcPr>
            <w:tcW w:type="dxa" w:w="136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2.x 规模化</w:t>
            </w:r>
          </w:p>
        </w:tc>
        <w:tc>
          <w:tcPr>
            <w:tcW w:type="dxa" w:w="232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多目标、受控横向和扩展平台</w:t>
            </w:r>
          </w:p>
        </w:tc>
        <w:tc>
          <w:tcPr>
            <w:tcW w:type="dxa" w:w="340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分布式调度、组织治理、更多OS插件</w:t>
            </w:r>
          </w:p>
        </w:tc>
        <w:tc>
          <w:tcPr>
            <w:tcW w:type="dxa" w:w="215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未经授权使用</w:t>
            </w:r>
          </w:p>
        </w:tc>
      </w:tr>
    </w:tbl>
    <w:p>
      <w:pPr>
        <w:spacing w:after="0"/>
      </w:pPr>
    </w:p>
    <w:p>
      <w:pPr>
        <w:pStyle w:val="Heading2"/>
      </w:pPr>
      <w:r>
        <w:t>13.1 版本兼容原则</w:t>
      </w:r>
    </w:p>
    <w:p>
      <w:pPr>
        <w:pStyle w:val="ListBullet"/>
      </w:pPr>
      <w:r>
        <w:t>事件、证据、Skill和插件Schema均使用语义版本；破坏性变更提供迁移器。</w:t>
      </w:r>
    </w:p>
    <w:p>
      <w:pPr>
        <w:pStyle w:val="ListBullet"/>
      </w:pPr>
      <w:r>
        <w:t>发布包必须固定依赖、工具镜像、规则和模型配置，确保基准可重现。</w:t>
      </w:r>
    </w:p>
    <w:p>
      <w:pPr>
        <w:pStyle w:val="ListBullet"/>
      </w:pPr>
      <w:r>
        <w:t>每个版本保留上一稳定版本的回滚路径和证据格式读取能力。</w:t>
      </w:r>
    </w:p>
    <w:p>
      <w:pPr>
        <w:pStyle w:val="Heading1"/>
      </w:pPr>
      <w:r>
        <w:t>14. 依赖、假设与风险</w:t>
      </w:r>
    </w:p>
    <w:p>
      <w:pPr>
        <w:pStyle w:val="Heading2"/>
      </w:pPr>
      <w:r>
        <w:t>14.1 关键假设</w:t>
      </w:r>
    </w:p>
    <w:p>
      <w:pPr>
        <w:pStyle w:val="ListBullet"/>
      </w:pPr>
      <w:r>
        <w:t>初期研发团队约2-4名核心工程师，能够维护Python Agent、前端、测试与靶场。</w:t>
      </w:r>
    </w:p>
    <w:p>
      <w:pPr>
        <w:pStyle w:val="ListBullet"/>
      </w:pPr>
      <w:r>
        <w:t>用户在合法授权环境使用，目标主要为教学Linux服务与Web应用。</w:t>
      </w:r>
    </w:p>
    <w:p>
      <w:pPr>
        <w:pStyle w:val="ListBullet"/>
      </w:pPr>
      <w:r>
        <w:t>执行后端能够访问Kali或等价工具环境，并允许容器/进程隔离。</w:t>
      </w:r>
    </w:p>
    <w:p>
      <w:pPr>
        <w:pStyle w:val="ListBullet"/>
      </w:pPr>
      <w:r>
        <w:t>可获得足够多的正、负和隐藏靶场，用于防止单靶机过拟合。</w:t>
      </w:r>
    </w:p>
    <w:p>
      <w:pPr>
        <w:pStyle w:val="Heading2"/>
      </w:pPr>
      <w:r>
        <w:t>14.2 风险登记</w:t>
      </w:r>
    </w:p>
    <w:tbl>
      <w:tblPr>
        <w:tblW w:type="auto" w:w="0"/>
        <w:jc w:val="center"/>
        <w:tblLayout w:type="fixed"/>
        <w:tblLook w:firstColumn="1" w:firstRow="1" w:lastColumn="0" w:lastRow="0" w:noHBand="0" w:noVBand="1" w:val="04A0"/>
      </w:tblPr>
      <w:tblGrid>
        <w:gridCol w:w="1960"/>
        <w:gridCol w:w="1960"/>
        <w:gridCol w:w="1960"/>
        <w:gridCol w:w="1960"/>
        <w:gridCol w:w="1960"/>
      </w:tblGrid>
      <w:tr>
        <w:trPr>
          <w:tblHeader w:val="true"/>
        </w:trPr>
        <w:tc>
          <w:tcPr>
            <w:tcW w:type="dxa" w:w="170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风险</w:t>
            </w:r>
          </w:p>
        </w:tc>
        <w:tc>
          <w:tcPr>
            <w:tcW w:type="dxa" w:w="850"/>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概率</w:t>
            </w:r>
          </w:p>
        </w:tc>
        <w:tc>
          <w:tcPr>
            <w:tcW w:type="dxa" w:w="964"/>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影响</w:t>
            </w:r>
          </w:p>
        </w:tc>
        <w:tc>
          <w:tcPr>
            <w:tcW w:type="dxa" w:w="425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缓解措施</w:t>
            </w:r>
          </w:p>
        </w:tc>
        <w:tc>
          <w:tcPr>
            <w:tcW w:type="dxa" w:w="175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触发信号</w:t>
            </w:r>
          </w:p>
        </w:tc>
      </w:tr>
      <w:tr>
        <w:tc>
          <w:tcPr>
            <w:tcW w:type="dxa" w:w="170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追求单靶机100%导致硬编码</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高</w:t>
            </w:r>
          </w:p>
        </w:tc>
        <w:tc>
          <w:tcPr>
            <w:tcW w:type="dxa" w:w="96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高</w:t>
            </w:r>
          </w:p>
        </w:tc>
        <w:tc>
          <w:tcPr>
            <w:tcW w:type="dxa" w:w="425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隐藏集、代码审查、目标特定常量扫描</w:t>
            </w:r>
          </w:p>
        </w:tc>
        <w:tc>
          <w:tcPr>
            <w:tcW w:type="dxa" w:w="175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已知集上升但隐藏集下降</w:t>
            </w:r>
          </w:p>
        </w:tc>
      </w:tr>
      <w:tr>
        <w:tc>
          <w:tcPr>
            <w:tcW w:type="dxa" w:w="170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误报成功破坏信任</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高</w:t>
            </w:r>
          </w:p>
        </w:tc>
        <w:tc>
          <w:tcPr>
            <w:tcW w:type="dxa" w:w="96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高</w:t>
            </w:r>
          </w:p>
        </w:tc>
        <w:tc>
          <w:tcPr>
            <w:tcW w:type="dxa" w:w="425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证据状态机、确定性Judge、复现</w:t>
            </w:r>
          </w:p>
        </w:tc>
        <w:tc>
          <w:tcPr>
            <w:tcW w:type="dxa" w:w="175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疑似成功与人工复核冲突</w:t>
            </w:r>
          </w:p>
        </w:tc>
      </w:tr>
      <w:tr>
        <w:tc>
          <w:tcPr>
            <w:tcW w:type="dxa" w:w="170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自主执行越界</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中</w:t>
            </w:r>
          </w:p>
        </w:tc>
        <w:tc>
          <w:tcPr>
            <w:tcW w:type="dxa" w:w="96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极高</w:t>
            </w:r>
          </w:p>
        </w:tc>
        <w:tc>
          <w:tcPr>
            <w:tcW w:type="dxa" w:w="425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Scope Token、网络隔离、Kill Switch</w:t>
            </w:r>
          </w:p>
        </w:tc>
        <w:tc>
          <w:tcPr>
            <w:tcW w:type="dxa" w:w="175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出现未授权目标请求</w:t>
            </w:r>
          </w:p>
        </w:tc>
      </w:tr>
      <w:tr>
        <w:tc>
          <w:tcPr>
            <w:tcW w:type="dxa" w:w="170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Skill投毒或经验污染</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中</w:t>
            </w:r>
          </w:p>
        </w:tc>
        <w:tc>
          <w:tcPr>
            <w:tcW w:type="dxa" w:w="96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高</w:t>
            </w:r>
          </w:p>
        </w:tc>
        <w:tc>
          <w:tcPr>
            <w:tcW w:type="dxa" w:w="425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draft隔离、沙箱评测、签名与回滚</w:t>
            </w:r>
          </w:p>
        </w:tc>
        <w:tc>
          <w:tcPr>
            <w:tcW w:type="dxa" w:w="175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新Skill导致跨目标回归</w:t>
            </w:r>
          </w:p>
        </w:tc>
      </w:tr>
      <w:tr>
        <w:tc>
          <w:tcPr>
            <w:tcW w:type="dxa" w:w="170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代码单体化拖慢迭代</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高</w:t>
            </w:r>
          </w:p>
        </w:tc>
        <w:tc>
          <w:tcPr>
            <w:tcW w:type="dxa" w:w="96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中高</w:t>
            </w:r>
          </w:p>
        </w:tc>
        <w:tc>
          <w:tcPr>
            <w:tcW w:type="dxa" w:w="425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契约优先拆分、架构门禁</w:t>
            </w:r>
          </w:p>
        </w:tc>
        <w:tc>
          <w:tcPr>
            <w:tcW w:type="dxa" w:w="175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agent.py/main.ts持续增长</w:t>
            </w:r>
          </w:p>
        </w:tc>
      </w:tr>
      <w:tr>
        <w:tc>
          <w:tcPr>
            <w:tcW w:type="dxa" w:w="170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工具与依赖漂移</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高</w:t>
            </w:r>
          </w:p>
        </w:tc>
        <w:tc>
          <w:tcPr>
            <w:tcW w:type="dxa" w:w="96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中</w:t>
            </w:r>
          </w:p>
        </w:tc>
        <w:tc>
          <w:tcPr>
            <w:tcW w:type="dxa" w:w="425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锁文件、镜像、工具快照</w:t>
            </w:r>
          </w:p>
        </w:tc>
        <w:tc>
          <w:tcPr>
            <w:tcW w:type="dxa" w:w="175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同版本结果不可复现</w:t>
            </w:r>
          </w:p>
        </w:tc>
      </w:tr>
      <w:tr>
        <w:tc>
          <w:tcPr>
            <w:tcW w:type="dxa" w:w="170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现代Web复杂度失控</w:t>
            </w:r>
          </w:p>
        </w:tc>
        <w:tc>
          <w:tcPr>
            <w:tcW w:type="dxa" w:w="850"/>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中高</w:t>
            </w:r>
          </w:p>
        </w:tc>
        <w:tc>
          <w:tcPr>
            <w:tcW w:type="dxa" w:w="96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高</w:t>
            </w:r>
          </w:p>
        </w:tc>
        <w:tc>
          <w:tcPr>
            <w:tcW w:type="dxa" w:w="425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先端点/认证/证据，后浏览器与业务逻辑</w:t>
            </w:r>
          </w:p>
        </w:tc>
        <w:tc>
          <w:tcPr>
            <w:tcW w:type="dxa" w:w="175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扫描器数量增加但覆盖仍为0</w:t>
            </w:r>
          </w:p>
        </w:tc>
      </w:tr>
      <w:tr>
        <w:tc>
          <w:tcPr>
            <w:tcW w:type="dxa" w:w="170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模型成本与波动</w:t>
            </w:r>
          </w:p>
        </w:tc>
        <w:tc>
          <w:tcPr>
            <w:tcW w:type="dxa" w:w="850"/>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中</w:t>
            </w:r>
          </w:p>
        </w:tc>
        <w:tc>
          <w:tcPr>
            <w:tcW w:type="dxa" w:w="96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中</w:t>
            </w:r>
          </w:p>
        </w:tc>
        <w:tc>
          <w:tcPr>
            <w:tcW w:type="dxa" w:w="425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Gateway、缓存、规则优先、预算</w:t>
            </w:r>
          </w:p>
        </w:tc>
        <w:tc>
          <w:tcPr>
            <w:tcW w:type="dxa" w:w="175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单任务成本方差过大</w:t>
            </w:r>
          </w:p>
        </w:tc>
      </w:tr>
    </w:tbl>
    <w:p>
      <w:pPr>
        <w:spacing w:after="0"/>
      </w:pPr>
    </w:p>
    <w:p>
      <w:pPr>
        <w:pStyle w:val="Heading1"/>
      </w:pPr>
      <w:r>
        <w:t>15. 需求追踪矩阵</w:t>
      </w:r>
    </w:p>
    <w:p>
      <w:pPr/>
      <w:r>
        <w:t>下表用于把产品需求映射到目标模块和验证方式。详细开发任务应在改善路线图中拆分。</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70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需求域</w:t>
            </w:r>
          </w:p>
        </w:tc>
        <w:tc>
          <w:tcPr>
            <w:tcW w:type="dxa" w:w="2948"/>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主要模块</w:t>
            </w:r>
          </w:p>
        </w:tc>
        <w:tc>
          <w:tcPr>
            <w:tcW w:type="dxa" w:w="306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核心测试</w:t>
            </w:r>
          </w:p>
        </w:tc>
        <w:tc>
          <w:tcPr>
            <w:tcW w:type="dxa" w:w="1814"/>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6"/>
              </w:rPr>
              <w:t>发布门槛</w:t>
            </w:r>
          </w:p>
        </w:tc>
      </w:tr>
      <w:tr>
        <w:tc>
          <w:tcPr>
            <w:tcW w:type="dxa" w:w="170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FR-SCOPE</w:t>
            </w:r>
          </w:p>
        </w:tc>
        <w:tc>
          <w:tcPr>
            <w:tcW w:type="dxa" w:w="294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Policy Engine、Task API、Network Guard</w:t>
            </w:r>
          </w:p>
        </w:tc>
        <w:tc>
          <w:tcPr>
            <w:tcW w:type="dxa" w:w="306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越界、DNS重绑定、禁止动作、Kill Switch</w:t>
            </w:r>
          </w:p>
        </w:tc>
        <w:tc>
          <w:tcPr>
            <w:tcW w:type="dxa" w:w="181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安全事件为0</w:t>
            </w:r>
          </w:p>
        </w:tc>
      </w:tr>
      <w:tr>
        <w:tc>
          <w:tcPr>
            <w:tcW w:type="dxa" w:w="170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FR-ASSET/RECON</w:t>
            </w:r>
          </w:p>
        </w:tc>
        <w:tc>
          <w:tcPr>
            <w:tcW w:type="dxa" w:w="294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Asset Graph、Parsers、Tool Health</w:t>
            </w:r>
          </w:p>
        </w:tc>
        <w:tc>
          <w:tcPr>
            <w:tcW w:type="dxa" w:w="306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资产真值、工具故障、去重、重放</w:t>
            </w:r>
          </w:p>
        </w:tc>
        <w:tc>
          <w:tcPr>
            <w:tcW w:type="dxa" w:w="181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覆盖和解析准确率达标</w:t>
            </w:r>
          </w:p>
        </w:tc>
      </w:tr>
      <w:tr>
        <w:tc>
          <w:tcPr>
            <w:tcW w:type="dxa" w:w="170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FR-PLAN/EXEC</w:t>
            </w:r>
          </w:p>
        </w:tc>
        <w:tc>
          <w:tcPr>
            <w:tcW w:type="dxa" w:w="294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Planner、Scheduler、Plugin Runtime</w:t>
            </w:r>
          </w:p>
        </w:tc>
        <w:tc>
          <w:tcPr>
            <w:tcW w:type="dxa" w:w="306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依赖图、重复、取消、故障注入</w:t>
            </w:r>
          </w:p>
        </w:tc>
        <w:tc>
          <w:tcPr>
            <w:tcW w:type="dxa" w:w="181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无死循环和孤儿进程</w:t>
            </w:r>
          </w:p>
        </w:tc>
      </w:tr>
      <w:tr>
        <w:tc>
          <w:tcPr>
            <w:tcW w:type="dxa" w:w="170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FR-EVID</w:t>
            </w:r>
          </w:p>
        </w:tc>
        <w:tc>
          <w:tcPr>
            <w:tcW w:type="dxa" w:w="294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Evidence Store、Judge、Session Manager</w:t>
            </w:r>
          </w:p>
        </w:tc>
        <w:tc>
          <w:tcPr>
            <w:tcW w:type="dxa" w:w="306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假成功、错目标会话、复现、篡改</w:t>
            </w:r>
          </w:p>
        </w:tc>
        <w:tc>
          <w:tcPr>
            <w:tcW w:type="dxa" w:w="181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VPR与会话精度达标</w:t>
            </w:r>
          </w:p>
        </w:tc>
      </w:tr>
      <w:tr>
        <w:tc>
          <w:tcPr>
            <w:tcW w:type="dxa" w:w="170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FR-WEB</w:t>
            </w:r>
          </w:p>
        </w:tc>
        <w:tc>
          <w:tcPr>
            <w:tcW w:type="dxa" w:w="294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Crawler、Auth Session、Rule Engine</w:t>
            </w:r>
          </w:p>
        </w:tc>
        <w:tc>
          <w:tcPr>
            <w:tcW w:type="dxa" w:w="306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正负Web靶场、角色、危险动作</w:t>
            </w:r>
          </w:p>
        </w:tc>
        <w:tc>
          <w:tcPr>
            <w:tcW w:type="dxa" w:w="181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现代Web指标达标</w:t>
            </w:r>
          </w:p>
        </w:tc>
      </w:tr>
      <w:tr>
        <w:tc>
          <w:tcPr>
            <w:tcW w:type="dxa" w:w="170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FR-SKILL</w:t>
            </w:r>
          </w:p>
        </w:tc>
        <w:tc>
          <w:tcPr>
            <w:tcW w:type="dxa" w:w="294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Registry、Evaluator、Promotion</w:t>
            </w:r>
          </w:p>
        </w:tc>
        <w:tc>
          <w:tcPr>
            <w:tcW w:type="dxa" w:w="306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投毒、回归、灰度、回滚</w:t>
            </w:r>
          </w:p>
        </w:tc>
        <w:tc>
          <w:tcPr>
            <w:tcW w:type="dxa" w:w="181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未评测Skill不生效</w:t>
            </w:r>
          </w:p>
        </w:tc>
      </w:tr>
      <w:tr>
        <w:tc>
          <w:tcPr>
            <w:tcW w:type="dxa" w:w="170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FR-REPORT/UX</w:t>
            </w:r>
          </w:p>
        </w:tc>
        <w:tc>
          <w:tcPr>
            <w:tcW w:type="dxa" w:w="294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Report Graph、Timeline、UI Store</w:t>
            </w:r>
          </w:p>
        </w:tc>
        <w:tc>
          <w:tcPr>
            <w:tcW w:type="dxa" w:w="306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完整性、引用、回放、接管</w:t>
            </w:r>
          </w:p>
        </w:tc>
        <w:tc>
          <w:tcPr>
            <w:tcW w:type="dxa" w:w="1814"/>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关键路径可用性达标</w:t>
            </w:r>
          </w:p>
        </w:tc>
      </w:tr>
      <w:tr>
        <w:tc>
          <w:tcPr>
            <w:tcW w:type="dxa" w:w="170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FR-EVAL/OPS</w:t>
            </w:r>
          </w:p>
        </w:tc>
        <w:tc>
          <w:tcPr>
            <w:tcW w:type="dxa" w:w="294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Benchmark、CI、Telemetry</w:t>
            </w:r>
          </w:p>
        </w:tc>
        <w:tc>
          <w:tcPr>
            <w:tcW w:type="dxa" w:w="306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隐藏集、重复性、安全、成本</w:t>
            </w:r>
          </w:p>
        </w:tc>
        <w:tc>
          <w:tcPr>
            <w:tcW w:type="dxa" w:w="1814"/>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6"/>
              </w:rPr>
              <w:t>发布流水线强制通过</w:t>
            </w:r>
          </w:p>
        </w:tc>
      </w:tr>
    </w:tbl>
    <w:p>
      <w:pPr>
        <w:spacing w:after="0"/>
      </w:pPr>
    </w:p>
    <w:p>
      <w:pPr>
        <w:pStyle w:val="Heading1"/>
      </w:pPr>
      <w:r>
        <w:t>附录A. 术语表</w:t>
      </w:r>
    </w:p>
    <w:tbl>
      <w:tblPr>
        <w:tblW w:type="auto" w:w="0"/>
        <w:jc w:val="center"/>
        <w:tblLayout w:type="fixed"/>
        <w:tblLook w:firstColumn="1" w:firstRow="1" w:lastColumn="0" w:lastRow="0" w:noHBand="0" w:noVBand="1" w:val="04A0"/>
      </w:tblPr>
      <w:tblGrid>
        <w:gridCol w:w="4901"/>
        <w:gridCol w:w="4901"/>
      </w:tblGrid>
      <w:tr>
        <w:trPr>
          <w:tblHeader w:val="true"/>
        </w:trPr>
        <w:tc>
          <w:tcPr>
            <w:tcW w:type="dxa" w:w="238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术语</w:t>
            </w:r>
          </w:p>
        </w:tc>
        <w:tc>
          <w:tcPr>
            <w:tcW w:type="dxa" w:w="708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7"/>
              </w:rPr>
              <w:t>定义</w:t>
            </w:r>
          </w:p>
        </w:tc>
      </w:tr>
      <w:tr>
        <w:tc>
          <w:tcPr>
            <w:tcW w:type="dxa" w:w="238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Scope Contract</w:t>
            </w:r>
          </w:p>
        </w:tc>
        <w:tc>
          <w:tcPr>
            <w:tcW w:type="dxa" w:w="70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机器可执行的授权与限制合同，约束目标、时间、动作和资源。</w:t>
            </w:r>
          </w:p>
        </w:tc>
      </w:tr>
      <w:tr>
        <w:tc>
          <w:tcPr>
            <w:tcW w:type="dxa" w:w="238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Scope Token</w:t>
            </w:r>
          </w:p>
        </w:tc>
        <w:tc>
          <w:tcPr>
            <w:tcW w:type="dxa" w:w="70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绑定Scope Contract的短期签名令牌，执行层用于每次动作校验。</w:t>
            </w:r>
          </w:p>
        </w:tc>
      </w:tr>
      <w:tr>
        <w:tc>
          <w:tcPr>
            <w:tcW w:type="dxa" w:w="238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Evidence Rule</w:t>
            </w:r>
          </w:p>
        </w:tc>
        <w:tc>
          <w:tcPr>
            <w:tcW w:type="dxa" w:w="70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以确定性条件把观测映射为状态的判定规则。</w:t>
            </w:r>
          </w:p>
        </w:tc>
      </w:tr>
      <w:tr>
        <w:tc>
          <w:tcPr>
            <w:tcW w:type="dxa" w:w="238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VATR</w:t>
            </w:r>
          </w:p>
        </w:tc>
        <w:tc>
          <w:tcPr>
            <w:tcW w:type="dxa" w:w="70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Verified Autonomous Task Rate，隐藏目标上无人干预且经证据复核完成的比例。</w:t>
            </w:r>
          </w:p>
        </w:tc>
      </w:tr>
      <w:tr>
        <w:tc>
          <w:tcPr>
            <w:tcW w:type="dxa" w:w="238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VPR</w:t>
            </w:r>
          </w:p>
        </w:tc>
        <w:tc>
          <w:tcPr>
            <w:tcW w:type="dxa" w:w="70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Verified Finding Precision，已验证发现的真实性比例。</w:t>
            </w:r>
          </w:p>
        </w:tc>
      </w:tr>
      <w:tr>
        <w:tc>
          <w:tcPr>
            <w:tcW w:type="dxa" w:w="238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Must-Try Queue</w:t>
            </w:r>
          </w:p>
        </w:tc>
        <w:tc>
          <w:tcPr>
            <w:tcW w:type="dxa" w:w="70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高价值攻击面中尚未获得结论、在结束前必须处理的队列。</w:t>
            </w:r>
          </w:p>
        </w:tc>
      </w:tr>
      <w:tr>
        <w:tc>
          <w:tcPr>
            <w:tcW w:type="dxa" w:w="238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Done Gate</w:t>
            </w:r>
          </w:p>
        </w:tc>
        <w:tc>
          <w:tcPr>
            <w:tcW w:type="dxa" w:w="70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决定任务是否可以结束的集中策略门禁。</w:t>
            </w:r>
          </w:p>
        </w:tc>
      </w:tr>
      <w:tr>
        <w:tc>
          <w:tcPr>
            <w:tcW w:type="dxa" w:w="238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Skill Promotion</w:t>
            </w:r>
          </w:p>
        </w:tc>
        <w:tc>
          <w:tcPr>
            <w:tcW w:type="dxa" w:w="70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Skill从draft经过评测、灰度后进入active的过程。</w:t>
            </w:r>
          </w:p>
        </w:tc>
      </w:tr>
      <w:tr>
        <w:tc>
          <w:tcPr>
            <w:tcW w:type="dxa" w:w="238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Negative Evidence</w:t>
            </w:r>
          </w:p>
        </w:tc>
        <w:tc>
          <w:tcPr>
            <w:tcW w:type="dxa" w:w="708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支持“不适用、未成功或目标阴性”的证据。</w:t>
            </w:r>
          </w:p>
        </w:tc>
      </w:tr>
      <w:tr>
        <w:tc>
          <w:tcPr>
            <w:tcW w:type="dxa" w:w="238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Action Envelope</w:t>
            </w:r>
          </w:p>
        </w:tc>
        <w:tc>
          <w:tcPr>
            <w:tcW w:type="dxa" w:w="708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7"/>
              </w:rPr>
              <w:t>动作执行前的结构化封装，包含范围、风险、意图和预算。</w:t>
            </w:r>
          </w:p>
        </w:tc>
      </w:tr>
    </w:tbl>
    <w:p>
      <w:pPr>
        <w:spacing w:after="0"/>
      </w:pPr>
    </w:p>
    <w:p>
      <w:pPr>
        <w:pStyle w:val="Heading1"/>
      </w:pPr>
      <w:r>
        <w:t>附录B. 现状依据与参考资料</w:t>
      </w:r>
    </w:p>
    <w:p>
      <w:pPr/>
      <w:r>
        <w:t>以下资料用于建立2026年7月的现状基线。项目持续变化，实施时应以最新代码、测试和基准结果重新校准。访问日期：2026-07-18。</w:t>
      </w:r>
    </w:p>
    <w:tbl>
      <w:tblPr>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737"/>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编号</w:t>
            </w:r>
          </w:p>
        </w:tc>
        <w:tc>
          <w:tcPr>
            <w:tcW w:type="dxa" w:w="1871"/>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资料</w:t>
            </w:r>
          </w:p>
        </w:tc>
        <w:tc>
          <w:tcPr>
            <w:tcW w:type="dxa" w:w="4592"/>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URL</w:t>
            </w:r>
          </w:p>
        </w:tc>
        <w:tc>
          <w:tcPr>
            <w:tcW w:type="dxa" w:w="2268"/>
            <w:shd w:fill="14324A"/>
            <w:tcMar>
              <w:top w:w="100" w:type="dxa"/>
              <w:start w:w="100" w:type="dxa"/>
              <w:bottom w:w="100" w:type="dxa"/>
              <w:end w:w="100" w:type="dxa"/>
            </w:tcMar>
            <w:vAlign w:val="center"/>
          </w:tcPr>
          <w:p>
            <w:pPr>
              <w:jc w:val="center"/>
            </w:pPr>
            <w:r>
              <w:rPr>
                <w:rFonts w:ascii="Noto Sans CJK SC" w:hAnsi="Noto Sans CJK SC" w:eastAsia="Noto Sans CJK SC"/>
                <w:b/>
                <w:color w:val="FFFFFF"/>
                <w:sz w:val="15"/>
              </w:rPr>
              <w:t>用途</w:t>
            </w:r>
          </w:p>
        </w:tc>
      </w:tr>
      <w:tr>
        <w:tc>
          <w:tcPr>
            <w:tcW w:type="dxa" w:w="73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S1</w:t>
            </w:r>
          </w:p>
        </w:tc>
        <w:tc>
          <w:tcPr>
            <w:tcW w:type="dxa" w:w="187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项目状态与目标</w:t>
            </w:r>
          </w:p>
        </w:tc>
        <w:tc>
          <w:tcPr>
            <w:tcW w:type="dxa" w:w="459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https://github.com/momo0410/agent-new/blob/master/docs/PROJECT_STATUS_AND_GOALS.md</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终极目标、能力边界、阶段进展、自进化与端到端验证状态。</w:t>
            </w:r>
          </w:p>
        </w:tc>
      </w:tr>
      <w:tr>
        <w:tc>
          <w:tcPr>
            <w:tcW w:type="dxa" w:w="73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S2</w:t>
            </w:r>
          </w:p>
        </w:tc>
        <w:tc>
          <w:tcPr>
            <w:tcW w:type="dxa" w:w="187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项目架构</w:t>
            </w:r>
          </w:p>
        </w:tc>
        <w:tc>
          <w:tcPr>
            <w:tcW w:type="dxa" w:w="459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https://github.com/momo0410/agent-new/blob/master/docs/PROJECT_ARCHITECTURE.md</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前后端技术栈、状态机、Planner、Executor、Critic、Skill Engine、Experience Store。</w:t>
            </w:r>
          </w:p>
        </w:tc>
      </w:tr>
      <w:tr>
        <w:tc>
          <w:tcPr>
            <w:tcW w:type="dxa" w:w="73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S3</w:t>
            </w:r>
          </w:p>
        </w:tc>
        <w:tc>
          <w:tcPr>
            <w:tcW w:type="dxa" w:w="187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目标模式：自主渗透</w:t>
            </w:r>
          </w:p>
        </w:tc>
        <w:tc>
          <w:tcPr>
            <w:tcW w:type="dxa" w:w="459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https://github.com/momo0410/agent-new/blob/master/docs/TARGET_MODE_AUTONOMOUS_PENTEST.md</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用户只提供目标、自动发现与报告的目标运行模式。</w:t>
            </w:r>
          </w:p>
        </w:tc>
      </w:tr>
      <w:tr>
        <w:tc>
          <w:tcPr>
            <w:tcW w:type="dxa" w:w="73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S4</w:t>
            </w:r>
          </w:p>
        </w:tc>
        <w:tc>
          <w:tcPr>
            <w:tcW w:type="dxa" w:w="187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Web 改善计划</w:t>
            </w:r>
          </w:p>
        </w:tc>
        <w:tc>
          <w:tcPr>
            <w:tcW w:type="dxa" w:w="459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https://github.com/momo0410/agent-new/blob/master/docs/WEB_PENTEST_IMPROVEMENT_PLAN.md</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现代 Web 目标覆盖不足与多阶段 Web Recon 计划。</w:t>
            </w:r>
          </w:p>
        </w:tc>
      </w:tr>
      <w:tr>
        <w:tc>
          <w:tcPr>
            <w:tcW w:type="dxa" w:w="73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S5</w:t>
            </w:r>
          </w:p>
        </w:tc>
        <w:tc>
          <w:tcPr>
            <w:tcW w:type="dxa" w:w="187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Web 路线图</w:t>
            </w:r>
          </w:p>
        </w:tc>
        <w:tc>
          <w:tcPr>
            <w:tcW w:type="dxa" w:w="459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https://github.com/momo0410/agent-new/blob/master/docs/WEB_PENTEST_ROADMAP.md</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端点发现、SQLi、OWASP 规则、认证流程与 Web 成功判定。</w:t>
            </w:r>
          </w:p>
        </w:tc>
      </w:tr>
      <w:tr>
        <w:tc>
          <w:tcPr>
            <w:tcW w:type="dxa" w:w="73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S6</w:t>
            </w:r>
          </w:p>
        </w:tc>
        <w:tc>
          <w:tcPr>
            <w:tcW w:type="dxa" w:w="187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渗透报告</w:t>
            </w:r>
          </w:p>
        </w:tc>
        <w:tc>
          <w:tcPr>
            <w:tcW w:type="dxa" w:w="459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https://github.com/momo0410/agent-new/blob/master/PENTEST_REPORT.md</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Metasploitable2 实测结果、成功与疑似成功、失败服务和改进建议。</w:t>
            </w:r>
          </w:p>
        </w:tc>
      </w:tr>
      <w:tr>
        <w:tc>
          <w:tcPr>
            <w:tcW w:type="dxa" w:w="73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S7</w:t>
            </w:r>
          </w:p>
        </w:tc>
        <w:tc>
          <w:tcPr>
            <w:tcW w:type="dxa" w:w="187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当前任务说明</w:t>
            </w:r>
          </w:p>
        </w:tc>
        <w:tc>
          <w:tcPr>
            <w:tcW w:type="dxa" w:w="459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https://github.com/momo0410/agent-new/blob/master/TASK_FOR_CLAUDE.md</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直接利用、Success Judge 和 Done Gate 的当前修复目标。</w:t>
            </w:r>
          </w:p>
        </w:tc>
      </w:tr>
      <w:tr>
        <w:tc>
          <w:tcPr>
            <w:tcW w:type="dxa" w:w="73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S8</w:t>
            </w:r>
          </w:p>
        </w:tc>
        <w:tc>
          <w:tcPr>
            <w:tcW w:type="dxa" w:w="187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后端主入口</w:t>
            </w:r>
          </w:p>
        </w:tc>
        <w:tc>
          <w:tcPr>
            <w:tcW w:type="dxa" w:w="459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https://github.com/momo0410/agent-new/blob/master/src-python/app/main.py</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FastAPI、CORS、WebSocket、本地后端安全边界。</w:t>
            </w:r>
          </w:p>
        </w:tc>
      </w:tr>
      <w:tr>
        <w:tc>
          <w:tcPr>
            <w:tcW w:type="dxa" w:w="737"/>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S9</w:t>
            </w:r>
          </w:p>
        </w:tc>
        <w:tc>
          <w:tcPr>
            <w:tcW w:type="dxa" w:w="1871"/>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前端主入口</w:t>
            </w:r>
          </w:p>
        </w:tc>
        <w:tc>
          <w:tcPr>
            <w:tcW w:type="dxa" w:w="4592"/>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https://github.com/momo0410/agent-new/blob/master/src/main.ts</w:t>
            </w:r>
          </w:p>
        </w:tc>
        <w:tc>
          <w:tcPr>
            <w:tcW w:type="dxa" w:w="2268"/>
            <w:tcMar>
              <w:top w:w="90" w:type="dxa"/>
              <w:start w:w="90" w:type="dxa"/>
              <w:bottom w:w="90" w:type="dxa"/>
              <w:end w:w="90" w:type="dxa"/>
            </w:tcMar>
            <w:vAlign w:val="top"/>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前端单文件规模和模块化现状。</w:t>
            </w:r>
          </w:p>
        </w:tc>
      </w:tr>
      <w:tr>
        <w:tc>
          <w:tcPr>
            <w:tcW w:type="dxa" w:w="737"/>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S10</w:t>
            </w:r>
          </w:p>
        </w:tc>
        <w:tc>
          <w:tcPr>
            <w:tcW w:type="dxa" w:w="1871"/>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CI 工作流</w:t>
            </w:r>
          </w:p>
        </w:tc>
        <w:tc>
          <w:tcPr>
            <w:tcW w:type="dxa" w:w="4592"/>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https://github.com/momo0410/agent-new/tree/master/.github/workflows</w:t>
            </w:r>
          </w:p>
        </w:tc>
        <w:tc>
          <w:tcPr>
            <w:tcW w:type="dxa" w:w="2268"/>
            <w:tcMar>
              <w:top w:w="90" w:type="dxa"/>
              <w:start w:w="90" w:type="dxa"/>
              <w:bottom w:w="90" w:type="dxa"/>
              <w:end w:w="90" w:type="dxa"/>
            </w:tcMar>
            <w:vAlign w:val="top"/>
            <w:shd w:fill="F4F7F9"/>
            <w:tcBorders>
              <w:top w:val="single" w:sz="4" w:color="B6C4CC"/>
              <w:left w:val="single" w:sz="4" w:color="B6C4CC"/>
              <w:bottom w:val="single" w:sz="4" w:color="B6C4CC"/>
              <w:right w:val="single" w:sz="4" w:color="B6C4CC"/>
            </w:tcBorders>
          </w:tcPr>
          <w:p>
            <w:pPr>
              <w:spacing w:after="20" w:line="276" w:lineRule="auto"/>
            </w:pPr>
            <w:r>
              <w:rPr>
                <w:rFonts w:ascii="Noto Sans CJK SC" w:hAnsi="Noto Sans CJK SC" w:eastAsia="Noto Sans CJK SC"/>
                <w:color w:val="263238"/>
                <w:sz w:val="15"/>
              </w:rPr>
              <w:t>测试、安全扫描、Benchmark Gate 和发布流程。</w:t>
            </w:r>
          </w:p>
        </w:tc>
      </w:tr>
    </w:tbl>
    <w:sectPr w:rsidR="00FC693F" w:rsidRPr="0006063C" w:rsidSect="00034616">
      <w:headerReference w:type="default" r:id="rId9"/>
      <w:footerReference w:type="default" r:id="rId10"/>
      <w:pgSz w:w="12240" w:h="15840"/>
      <w:pgMar w:top="1191" w:right="1219" w:bottom="1020" w:left="1219"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5D6B73"/>
        <w:sz w:val="18"/>
      </w:rPr>
      <w:t xml:space="preserve">第 </w:t>
      <w:fldChar w:fldCharType="begin"/>
      <w:instrText xml:space="preserve"> PAGE </w:instrText>
      <w:fldChar w:fldCharType="end"/>
    </w:r>
    <w:r>
      <w:rPr>
        <w:rFonts w:ascii="Noto Sans CJK SC" w:hAnsi="Noto Sans CJK SC" w:eastAsia="Noto Sans CJK SC"/>
        <w:color w:val="5D6B7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5D6B73"/>
        <w:sz w:val="17"/>
      </w:rPr>
      <w:t>SDIT Pentest Agent · 产品需求规格说明书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Noto Sans CJK SC" w:hAnsi="Noto Sans CJK SC" w:eastAsia="Noto Sans CJK SC"/>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erif CJK SC" w:hAnsi="Noto Serif CJK SC" w:eastAsia="Noto Serif CJK SC"/>
      <w:b/>
      <w:bCs/>
      <w:color w:val="14324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Noto Sans CJK SC" w:hAnsi="Noto Sans CJK SC" w:eastAsia="Noto Sans CJK SC"/>
      <w:b/>
      <w:bCs/>
      <w:color w:val="1F5E8C"/>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SC" w:hAnsi="Noto Sans CJK SC" w:eastAsia="Noto Sans CJK SC"/>
      <w:b/>
      <w:bCs/>
      <w:color w:val="148A8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Noto Serif CJK SC" w:hAnsi="Noto Serif CJK SC" w:eastAsia="Noto Serif CJK SC"/>
      <w:b/>
      <w:color w:val="14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Noto Sans CJK SC" w:hAnsi="Noto Sans CJK SC" w:eastAsia="Noto Sans CJK SC"/>
      <w:b w:val="0"/>
      <w:i/>
      <w:iCs/>
      <w:color w:val="5D6B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Noto Sans CJK SC" w:hAnsi="Noto Sans CJK SC" w:eastAsia="Noto Sans CJK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Noto Sans CJK SC" w:hAnsi="Noto Sans CJK SC" w:eastAsia="Noto Sans CJK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60"/>
      <w:jc w:val="center"/>
    </w:pPr>
    <w:rPr>
      <w:rFonts w:ascii="Noto Sans CJK SC" w:hAnsi="Noto Sans CJK SC" w:eastAsia="Noto Sans CJK SC"/>
      <w:i/>
      <w:color w:val="5D6B73"/>
      <w:sz w:val="18"/>
    </w:rPr>
  </w:style>
  <w:style w:type="paragraph" w:customStyle="1" w:styleId="Small">
    <w:name w:val="Small"/>
    <w:rPr>
      <w:rFonts w:ascii="Noto Sans CJK SC" w:hAnsi="Noto Sans CJK SC" w:eastAsia="Noto Sans CJK SC"/>
      <w:color w:val="5D6B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SDIT Pentest Agent 终极目标产品需求规格说明书</dc:title>
  <dc:subject>SDIT Pentest Agent 产品与工程文档</dc:subject>
  <dc:creator>OpenAI</dc:creator>
  <cp:keywords>SDIT, Pentest Agent, PRD, 改善路线图, 自主渗透, 教学</cp:keywords>
  <dc:description>generated by python-docx</dc:description>
  <cp:lastModifiedBy/>
  <cp:revision>1</cp:revision>
  <dcterms:created xsi:type="dcterms:W3CDTF">2013-12-23T23:15:00Z</dcterms:created>
  <dcterms:modified xsi:type="dcterms:W3CDTF">2013-12-23T23:15:00Z</dcterms:modified>
  <cp:category/>
</cp:coreProperties>
</file>