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JÀPPALE SÉNÉGAL</w:t>
      </w:r>
    </w:p>
    <w:p>
      <w:pPr>
        <w:jc w:val="center"/>
      </w:pPr>
      <w:r>
        <w:rPr>
          <w:i/>
          <w:sz w:val="26"/>
        </w:rPr>
        <w:t>Note méthodologique</w:t>
      </w:r>
    </w:p>
    <w:p>
      <w:r>
        <w:rPr>
          <w:b/>
          <w:i w:val="0"/>
          <w:sz w:val="22"/>
        </w:rPr>
        <w:t>Hackathon des 20 ans de l'ANSD - Livrable L6</w:t>
      </w:r>
    </w:p>
    <w:p>
      <w:r>
        <w:rPr>
          <w:b w:val="0"/>
          <w:i w:val="0"/>
          <w:sz w:val="22"/>
        </w:rPr>
      </w:r>
    </w:p>
    <w:p>
      <w:pPr>
        <w:pStyle w:val="Heading1"/>
      </w:pPr>
      <w:r>
        <w:rPr>
          <w:rFonts w:ascii="Calibri" w:hAnsi="Calibri"/>
          <w:color w:val="1F3864"/>
        </w:rPr>
        <w:t>1. Objet du document</w:t>
      </w:r>
    </w:p>
    <w:p>
      <w:r>
        <w:rPr>
          <w:b w:val="0"/>
          <w:i w:val="0"/>
          <w:sz w:val="22"/>
        </w:rPr>
        <w:t>Cette note documente, pour chaque indicateur produit par Jàppale Sénégal : sa définition exacte, la norme officielle à laquelle il se rattache, les données mobilisées, la méthode de calcul, le taux de fiabilité mesuré et les limites connues. Conformément au principe déclaré dans le dossier de soumission, aucun indicateur n'est présenté sans que ces éléments soient explicites - l'objectif est qu'un tiers puisse rejouer et vérifier chaque résultat.</w:t>
      </w:r>
      <w:r>
        <w:t xml:space="preserve"> Un glossaire en termes simples complète cette note : il figure sur la page « Méthode et données » du site et dans le fichier methodologie/GLOSSAIRE.md.</w:t>
      </w:r>
    </w:p>
    <w:p>
      <w:pPr>
        <w:pStyle w:val="Heading1"/>
      </w:pPr>
      <w:r>
        <w:rPr>
          <w:rFonts w:ascii="Calibri" w:hAnsi="Calibri"/>
          <w:color w:val="1F3864"/>
        </w:rPr>
        <w:t>2. Définitions et normes de référence</w:t>
      </w:r>
    </w:p>
    <w:p>
      <w:pPr>
        <w:pStyle w:val="Heading2"/>
      </w:pPr>
      <w:r>
        <w:rPr>
          <w:rFonts w:ascii="Calibri" w:hAnsi="Calibri"/>
        </w:rPr>
        <w:t>2.1 Déficit d'accès aux services de santé</w:t>
      </w:r>
    </w:p>
    <w:p>
      <w:r>
        <w:rPr>
          <w:b w:val="0"/>
          <w:i w:val="0"/>
          <w:sz w:val="22"/>
        </w:rPr>
        <w:t>Le déficit d'accès mesure l'écart entre le nombre de structures de santé théoriquement nécessaires et le nombre de structures réellement recensées, selon des normes officielles.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Type de structure</w:t>
            </w:r>
          </w:p>
        </w:tc>
        <w:tc>
          <w:tcPr>
            <w:tcW w:type="dxa" w:w="2160"/>
          </w:tcPr>
          <w:p>
            <w:r/>
            <w:r>
              <w:rPr>
                <w:b/>
                <w:sz w:val="19"/>
              </w:rPr>
              <w:t>Norme retenue</w:t>
            </w:r>
          </w:p>
        </w:tc>
        <w:tc>
          <w:tcPr>
            <w:tcW w:type="dxa" w:w="2160"/>
          </w:tcPr>
          <w:p>
            <w:r/>
            <w:r>
              <w:rPr>
                <w:b/>
                <w:sz w:val="19"/>
              </w:rPr>
              <w:t>Échelle de calcul</w:t>
            </w:r>
          </w:p>
        </w:tc>
        <w:tc>
          <w:tcPr>
            <w:tcW w:type="dxa" w:w="2160"/>
          </w:tcPr>
          <w:p>
            <w:r/>
            <w:r>
              <w:rPr>
                <w:b/>
                <w:sz w:val="19"/>
              </w:rPr>
              <w:t>Source</w:t>
            </w:r>
          </w:p>
        </w:tc>
      </w:tr>
      <w:tr>
        <w:tc>
          <w:tcPr>
            <w:tcW w:type="dxa" w:w="2160"/>
          </w:tcPr>
          <w:p>
            <w:r/>
            <w:r>
              <w:rPr>
                <w:sz w:val="19"/>
              </w:rPr>
              <w:t>Poste de santé</w:t>
            </w:r>
          </w:p>
        </w:tc>
        <w:tc>
          <w:tcPr>
            <w:tcW w:type="dxa" w:w="2160"/>
          </w:tcPr>
          <w:p>
            <w:r/>
            <w:r>
              <w:rPr>
                <w:sz w:val="19"/>
              </w:rPr>
              <w:t>1 pour 10 000 habitants</w:t>
            </w:r>
          </w:p>
        </w:tc>
        <w:tc>
          <w:tcPr>
            <w:tcW w:type="dxa" w:w="2160"/>
          </w:tcPr>
          <w:p>
            <w:r/>
            <w:r>
              <w:rPr>
                <w:sz w:val="19"/>
              </w:rPr>
              <w:t>Commune</w:t>
            </w:r>
          </w:p>
        </w:tc>
        <w:tc>
          <w:tcPr>
            <w:tcW w:type="dxa" w:w="2160"/>
          </w:tcPr>
          <w:p>
            <w:r/>
            <w:r>
              <w:rPr>
                <w:sz w:val="19"/>
              </w:rPr>
              <w:t>OMS, reprise par le Ministère de la Santé du Sénégal</w:t>
            </w:r>
          </w:p>
        </w:tc>
      </w:tr>
      <w:tr>
        <w:tc>
          <w:tcPr>
            <w:tcW w:type="dxa" w:w="2160"/>
          </w:tcPr>
          <w:p>
            <w:r/>
            <w:r>
              <w:rPr>
                <w:sz w:val="19"/>
              </w:rPr>
              <w:t>Centre de santé</w:t>
            </w:r>
          </w:p>
        </w:tc>
        <w:tc>
          <w:tcPr>
            <w:tcW w:type="dxa" w:w="2160"/>
          </w:tcPr>
          <w:p>
            <w:r/>
            <w:r>
              <w:rPr>
                <w:sz w:val="19"/>
              </w:rPr>
              <w:t>1 pour 50 000 habitants</w:t>
            </w:r>
          </w:p>
        </w:tc>
        <w:tc>
          <w:tcPr>
            <w:tcW w:type="dxa" w:w="2160"/>
          </w:tcPr>
          <w:p>
            <w:r/>
            <w:r>
              <w:rPr>
                <w:sz w:val="19"/>
              </w:rPr>
              <w:t>Département</w:t>
            </w:r>
          </w:p>
        </w:tc>
        <w:tc>
          <w:tcPr>
            <w:tcW w:type="dxa" w:w="2160"/>
          </w:tcPr>
          <w:p>
            <w:r/>
            <w:r>
              <w:rPr>
                <w:sz w:val="19"/>
              </w:rPr>
              <w:t>OMS, reprise par le Ministère de la Santé du Sénégal</w:t>
            </w:r>
          </w:p>
        </w:tc>
      </w:tr>
      <w:tr>
        <w:tc>
          <w:tcPr>
            <w:tcW w:type="dxa" w:w="2160"/>
          </w:tcPr>
          <w:p>
            <w:r/>
            <w:r>
              <w:rPr>
                <w:sz w:val="19"/>
              </w:rPr>
              <w:t>Hôpital</w:t>
            </w:r>
          </w:p>
        </w:tc>
        <w:tc>
          <w:tcPr>
            <w:tcW w:type="dxa" w:w="2160"/>
          </w:tcPr>
          <w:p>
            <w:r/>
            <w:r>
              <w:rPr>
                <w:sz w:val="19"/>
              </w:rPr>
              <w:t>1 pour 150 000 habitants</w:t>
            </w:r>
          </w:p>
        </w:tc>
        <w:tc>
          <w:tcPr>
            <w:tcW w:type="dxa" w:w="2160"/>
          </w:tcPr>
          <w:p>
            <w:r/>
            <w:r>
              <w:rPr>
                <w:sz w:val="19"/>
              </w:rPr>
              <w:t>Département</w:t>
            </w:r>
          </w:p>
        </w:tc>
        <w:tc>
          <w:tcPr>
            <w:tcW w:type="dxa" w:w="2160"/>
          </w:tcPr>
          <w:p>
            <w:r/>
            <w:r>
              <w:rPr>
                <w:sz w:val="19"/>
              </w:rPr>
              <w:t>OMS, reprise par le Ministère de la Santé du Sénégal</w:t>
            </w:r>
          </w:p>
        </w:tc>
      </w:tr>
    </w:tbl>
    <w:p/>
    <w:p>
      <w:r>
        <w:rPr>
          <w:b w:val="0"/>
          <w:i w:val="0"/>
          <w:sz w:val="22"/>
        </w:rPr>
        <w:t>Formule : besoin théorique = arrondi supérieur (population ÷ norme). Déficit = maximum(0, besoin théorique − structures recensées).</w:t>
      </w:r>
    </w:p>
    <w:p>
      <w:pPr>
        <w:pStyle w:val="Heading2"/>
      </w:pPr>
      <w:r>
        <w:rPr>
          <w:rFonts w:ascii="Calibri" w:hAnsi="Calibri"/>
        </w:rPr>
        <w:t>2.1 bis. Correction d'une erreur de granularité territoriale</w:t>
      </w:r>
    </w:p>
    <w:p>
      <w:r>
        <w:rPr>
          <w:b w:val="0"/>
          <w:i/>
          <w:sz w:val="22"/>
        </w:rPr>
        <w:t>Une première version du calcul appliquait les trois normes au niveau de la commune, indépendamment les unes des autres. Cette approche produisait un résultat absurde pour les centres de santé et les hôpitaux : l'arrondi supérieur transforme toute population strictement positive en un besoin théorique d'au moins 1 - y compris pour une commune de 10 000 habitants face à la norme « 1 hôpital pour 150 000 habitants ». Une telle commune se voyait ainsi réclamer son propre hôpital, alors qu'un hôpital dessert par nature un bassin de plusieurs communes.</w:t>
      </w:r>
    </w:p>
    <w:p>
      <w:r>
        <w:rPr>
          <w:b w:val="0"/>
          <w:i w:val="0"/>
          <w:sz w:val="22"/>
        </w:rPr>
        <w:t>Correction retenue : le poste de santé, équipement de proximité, reste calculé à l'échelle de la commune. Le centre de santé et l'hôpital, équipements de bassin, sont désormais calculés à l'échelle du département - le besoin théorique et le déficit sont établis sur la population cumulée du département, puis rattachés à titre informatif à chaque commune qui le compose, sans être additionnés au déficit communal de postes de santé dans le score de priorisation.</w:t>
      </w:r>
    </w:p>
    <w:p>
      <w:r>
        <w:rPr>
          <w:i/>
          <w:color w:val="555555"/>
          <w:sz w:val="20"/>
        </w:rPr>
        <w:t>Exemple avant/après correction, commune de Golf Sud (Guédiawaye), 114 069 habitants : avant correction, un déficit de 1 hôpital lui était attribué en propre. Après correction, l'hôpital Dalal Jamm, réellement situé à Golf Sud, est comptabilisé dans le bilan du département de Guédiawaye (372 708 habitants, 2 hôpitaux recensés, besoin théorique de 3), qui affiche un déficit départemental de 1 hôpital - un résultat qui a du sens à l'échelle où la décision de construire se prend réellement.</w:t>
      </w:r>
    </w:p>
    <w:p>
      <w:pPr>
        <w:pStyle w:val="Heading2"/>
      </w:pPr>
      <w:r>
        <w:rPr>
          <w:rFonts w:ascii="Calibri" w:hAnsi="Calibri"/>
        </w:rPr>
        <w:t>2.2 Tension de capacité en éducation</w:t>
      </w:r>
    </w:p>
    <w:p>
      <w:r>
        <w:rPr>
          <w:i/>
          <w:color w:val="555555"/>
          <w:sz w:val="20"/>
        </w:rPr>
        <w:t>Point de contexte national : cette limite n'est pas isolée à ce projet. Une étude de recherche conduite dans le cadre de l'initiative Giga (UNICEF / Union internationale des télécommunications) sur la cartographie scolaire mondiale rapporte que les partenaires gouvernementaux du Sénégal estiment qu'environ 20 % des géolocalisations d'écoles manquent des données officielles du pays - une lacune documentée au niveau national et international, pas seulement une limite propre à Jàppale Sénégal.</w:t>
      </w:r>
    </w:p>
    <w:p>
      <w:r>
        <w:rPr>
          <w:b w:val="0"/>
          <w:i w:val="0"/>
          <w:sz w:val="22"/>
        </w:rPr>
        <w:t>Contrairement à la santé, aucune norme officielle de densité d'équipements (nombre d'établissements par habitant) n'a été identifiée pour l'éducation secondaire au Sénégal. L'indicateur produit pour ce volet est donc de nature différente : il ne s'agit pas d'un déficit d'équipements, mais d'un simple compte d'établissements recensés (collège, lycée, université) rapporté à la population de la commune.</w:t>
      </w:r>
    </w:p>
    <w:p>
      <w:r>
        <w:rPr>
          <w:b w:val="0"/>
          <w:i/>
          <w:sz w:val="22"/>
        </w:rPr>
        <w:t>Norme connexe identifiée et citable, mais non utilisée pour un calcul de déficit d'équipements : l'effectif normal d'une salle de classe est fixé à 33 élèves (fourchette acceptable : 20 à 45).</w:t>
      </w:r>
    </w:p>
    <w:p>
      <w:r>
        <w:rPr>
          <w:i/>
          <w:color w:val="555555"/>
          <w:sz w:val="20"/>
        </w:rPr>
        <w:t>Source exacte : Livret illustré sur les normes et standards de l'École, Ministère de l'Éducation nationale du Sénégal, édition 2020, section 3.2 (« Les normes en matière d'infrastructures scolaires »), page 29. Document produit avec l'appui des projets USAID GoLD et Passerelles.</w:t>
      </w:r>
    </w:p>
    <w:p>
      <w:pPr>
        <w:pStyle w:val="Heading1"/>
      </w:pPr>
      <w:r>
        <w:rPr>
          <w:rFonts w:ascii="Calibri" w:hAnsi="Calibri"/>
          <w:color w:val="1F3864"/>
        </w:rPr>
        <w:t>3. Sources de données mobilisées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Source</w:t>
            </w:r>
          </w:p>
        </w:tc>
        <w:tc>
          <w:tcPr>
            <w:tcW w:type="dxa" w:w="2880"/>
          </w:tcPr>
          <w:p>
            <w:r/>
            <w:r>
              <w:rPr>
                <w:b/>
                <w:sz w:val="19"/>
              </w:rPr>
              <w:t>Contenu</w:t>
            </w:r>
          </w:p>
        </w:tc>
        <w:tc>
          <w:tcPr>
            <w:tcW w:type="dxa" w:w="2880"/>
          </w:tcPr>
          <w:p>
            <w:r/>
            <w:r>
              <w:rPr>
                <w:b/>
                <w:sz w:val="19"/>
              </w:rPr>
              <w:t>Rôle dans le calcul</w:t>
            </w:r>
          </w:p>
        </w:tc>
      </w:tr>
      <w:tr>
        <w:tc>
          <w:tcPr>
            <w:tcW w:type="dxa" w:w="2880"/>
          </w:tcPr>
          <w:p>
            <w:r/>
            <w:r>
              <w:rPr>
                <w:sz w:val="19"/>
              </w:rPr>
              <w:t>Répertoire des localités RGPH-5 (2023) - ANSD</w:t>
            </w:r>
          </w:p>
        </w:tc>
        <w:tc>
          <w:tcPr>
            <w:tcW w:type="dxa" w:w="2880"/>
          </w:tcPr>
          <w:p>
            <w:r/>
            <w:r>
              <w:rPr>
                <w:sz w:val="19"/>
              </w:rPr>
              <w:t>Population par commune, quartier, village</w:t>
            </w:r>
          </w:p>
        </w:tc>
        <w:tc>
          <w:tcPr>
            <w:tcW w:type="dxa" w:w="2880"/>
          </w:tcPr>
          <w:p>
            <w:r/>
            <w:r>
              <w:rPr>
                <w:sz w:val="19"/>
              </w:rPr>
              <w:t>Référentiel de population, année de référence</w:t>
            </w:r>
          </w:p>
        </w:tc>
      </w:tr>
      <w:tr>
        <w:tc>
          <w:tcPr>
            <w:tcW w:type="dxa" w:w="2880"/>
          </w:tcPr>
          <w:p>
            <w:r/>
            <w:r>
              <w:rPr>
                <w:sz w:val="19"/>
              </w:rPr>
              <w:t>RGPHAE 2013 - ANSD (fichier de projections démographiques)</w:t>
            </w:r>
          </w:p>
        </w:tc>
        <w:tc>
          <w:tcPr>
            <w:tcW w:type="dxa" w:w="2880"/>
          </w:tcPr>
          <w:p>
            <w:r/>
            <w:r>
              <w:rPr>
                <w:sz w:val="19"/>
              </w:rPr>
              <w:t>Population par commune d'arrondissement / communauté rurale, année 2013</w:t>
            </w:r>
          </w:p>
        </w:tc>
        <w:tc>
          <w:tcPr>
            <w:tcW w:type="dxa" w:w="2880"/>
          </w:tcPr>
          <w:p>
            <w:r/>
            <w:r>
              <w:rPr>
                <w:sz w:val="19"/>
              </w:rPr>
              <w:t>Calcul du taux de croissance réel 2013-2023</w:t>
            </w:r>
          </w:p>
        </w:tc>
      </w:tr>
      <w:tr>
        <w:tc>
          <w:tcPr>
            <w:tcW w:type="dxa" w:w="2880"/>
          </w:tcPr>
          <w:p>
            <w:r/>
            <w:r>
              <w:rPr>
                <w:sz w:val="19"/>
              </w:rPr>
              <w:t>Infrastructures santé et éducation géolocalisées - Géo Sénégal / ANSD (2023)</w:t>
            </w:r>
          </w:p>
        </w:tc>
        <w:tc>
          <w:tcPr>
            <w:tcW w:type="dxa" w:w="2880"/>
          </w:tcPr>
          <w:p>
            <w:r/>
            <w:r>
              <w:rPr>
                <w:sz w:val="19"/>
              </w:rPr>
              <w:t>Position (UTM zone 28N), type et commune de rattachement de chaque structure</w:t>
            </w:r>
          </w:p>
        </w:tc>
        <w:tc>
          <w:tcPr>
            <w:tcW w:type="dxa" w:w="2880"/>
          </w:tcPr>
          <w:p>
            <w:r/>
            <w:r>
              <w:rPr>
                <w:sz w:val="19"/>
              </w:rPr>
              <w:t>Référentiel des équipements ; source des coordonnées communales</w:t>
            </w:r>
          </w:p>
        </w:tc>
      </w:tr>
      <w:tr>
        <w:tc>
          <w:tcPr>
            <w:tcW w:type="dxa" w:w="2880"/>
          </w:tcPr>
          <w:p>
            <w:r/>
            <w:r>
              <w:rPr>
                <w:sz w:val="19"/>
              </w:rPr>
              <w:t>Frontières administratives régionales - Natural Earth (domaine public)</w:t>
            </w:r>
          </w:p>
        </w:tc>
        <w:tc>
          <w:tcPr>
            <w:tcW w:type="dxa" w:w="2880"/>
          </w:tcPr>
          <w:p>
            <w:r/>
            <w:r>
              <w:rPr>
                <w:sz w:val="19"/>
              </w:rPr>
              <w:t>Tracé géométrique des 14 régions du Sénégal</w:t>
            </w:r>
          </w:p>
        </w:tc>
        <w:tc>
          <w:tcPr>
            <w:tcW w:type="dxa" w:w="2880"/>
          </w:tcPr>
          <w:p>
            <w:r/>
            <w:r>
              <w:rPr>
                <w:sz w:val="19"/>
              </w:rPr>
              <w:t>Représentation cartographique</w:t>
            </w:r>
          </w:p>
        </w:tc>
      </w:tr>
      <w:tr>
        <w:tc>
          <w:tcPr>
            <w:tcW w:type="dxa" w:w="2880"/>
          </w:tcPr>
          <w:p>
            <w:r/>
            <w:r>
              <w:rPr>
                <w:sz w:val="19"/>
              </w:rPr>
              <w:t>Livret des normes et standards de l'École - Ministère de l'Éducation nationale (2020)</w:t>
            </w:r>
          </w:p>
        </w:tc>
        <w:tc>
          <w:tcPr>
            <w:tcW w:type="dxa" w:w="2880"/>
          </w:tcPr>
          <w:p>
            <w:r/>
            <w:r>
              <w:rPr>
                <w:sz w:val="19"/>
              </w:rPr>
              <w:t>Normes d'infrastructures et d'effectifs scolaires</w:t>
            </w:r>
          </w:p>
        </w:tc>
        <w:tc>
          <w:tcPr>
            <w:tcW w:type="dxa" w:w="2880"/>
          </w:tcPr>
          <w:p>
            <w:r/>
            <w:r>
              <w:rPr>
                <w:sz w:val="19"/>
              </w:rPr>
              <w:t>Référence citée pour la tension de capacité éducation</w:t>
            </w:r>
          </w:p>
        </w:tc>
      </w:tr>
    </w:tbl>
    <w:p/>
    <w:p>
      <w:pPr>
        <w:pStyle w:val="Heading2"/>
      </w:pPr>
      <w:r>
        <w:rPr>
          <w:rFonts w:ascii="Calibri" w:hAnsi="Calibri"/>
        </w:rPr>
        <w:t>Source volontairement écartée</w:t>
      </w:r>
    </w:p>
    <w:p>
      <w:r>
        <w:rPr>
          <w:b w:val="0"/>
          <w:i w:val="0"/>
          <w:sz w:val="22"/>
        </w:rPr>
        <w:t>Les microdonnées individuelles de la plateforme ANADS ne sont pas mobilisées : leur accès est réservé aux organismes du Système statistique national et soumis à autorisation de la Direction générale de l'ANSD. Le projet fonctionne intégralement à partir de données agrégées et publiques.</w:t>
      </w:r>
    </w:p>
    <w:p>
      <w:pPr>
        <w:pStyle w:val="Heading1"/>
      </w:pPr>
      <w:r>
        <w:rPr>
          <w:rFonts w:ascii="Calibri" w:hAnsi="Calibri"/>
          <w:color w:val="1F3864"/>
        </w:rPr>
        <w:t>4. Méthode de rapprochement des données et taux de fiabilité mesurés</w:t>
      </w:r>
    </w:p>
    <w:p>
      <w:r>
        <w:rPr>
          <w:b w:val="0"/>
          <w:i w:val="0"/>
          <w:sz w:val="22"/>
        </w:rPr>
        <w:t>La population (RGPH-5) et les infrastructures (Géo Sénégal) ne partagent pas d'identifiant commun ni de coordonnées géographiques pour la population. Le rapprochement est effectué en deux temps, par le nom administratif : d'abord le département, puis la commune à l'intérieur de ce département, avec une comparaison de similarité textuelle lorsque la correspondance exacte échoue. Sept variantes d'orthographe ont en outre été validées une à une (même département, même nom à une lettre ou un préfixe près) et traitées par une table d'alias : par exemple « Ouro Sidy » dans les infrastructures pour Wouro Sidy dans le recensement.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9"/>
              </w:rPr>
            </w:r>
            <w:r>
              <w:rPr>
                <w:b/>
                <w:sz w:val="19"/>
              </w:rPr>
              <w:t>Rapprochement</w:t>
            </w:r>
          </w:p>
        </w:tc>
        <w:tc>
          <w:tcPr>
            <w:tcW w:type="dxa" w:w="4320"/>
          </w:tcPr>
          <w:p>
            <w:r>
              <w:rPr>
                <w:sz w:val="19"/>
              </w:rPr>
            </w:r>
            <w:r>
              <w:rPr>
                <w:b/>
                <w:sz w:val="19"/>
              </w:rPr>
              <w:t>Résultat mesuré</w:t>
            </w:r>
          </w:p>
        </w:tc>
      </w:tr>
      <w:tr>
        <w:tc>
          <w:tcPr>
            <w:tcW w:type="dxa" w:w="4320"/>
          </w:tcPr>
          <w:p>
            <w:r>
              <w:rPr>
                <w:sz w:val="19"/>
              </w:rPr>
              <w:t>Infrastructures rattachées par correspondance exacte</w:t>
            </w:r>
            <w:r>
              <w:rPr>
                <w:sz w:val="19"/>
              </w:rPr>
            </w:r>
          </w:p>
        </w:tc>
        <w:tc>
          <w:tcPr>
            <w:tcW w:type="dxa" w:w="4320"/>
          </w:tcPr>
          <w:p>
            <w:r>
              <w:rPr>
                <w:sz w:val="19"/>
              </w:rPr>
              <w:t>93,9 % (3 541 sur 3 771)</w:t>
            </w:r>
            <w:r>
              <w:rPr>
                <w:sz w:val="19"/>
              </w:rPr>
            </w:r>
          </w:p>
        </w:tc>
      </w:tr>
      <w:tr>
        <w:tc>
          <w:tcPr>
            <w:tcW w:type="dxa" w:w="4320"/>
          </w:tcPr>
          <w:p>
            <w:r>
              <w:rPr>
                <w:sz w:val="19"/>
              </w:rPr>
              <w:t>Infrastructures rattachées par similarité textuelle, à l'intérieur du département</w:t>
            </w:r>
            <w:r>
              <w:rPr>
                <w:sz w:val="19"/>
              </w:rPr>
            </w:r>
          </w:p>
        </w:tc>
        <w:tc>
          <w:tcPr>
            <w:tcW w:type="dxa" w:w="4320"/>
          </w:tcPr>
          <w:p>
            <w:r>
              <w:rPr>
                <w:sz w:val="19"/>
              </w:rPr>
              <w:t>5,0 % (188 sur 3 771)</w:t>
            </w:r>
            <w:r>
              <w:rPr>
                <w:sz w:val="19"/>
              </w:rPr>
            </w:r>
          </w:p>
        </w:tc>
      </w:tr>
      <w:tr>
        <w:tc>
          <w:tcPr>
            <w:tcW w:type="dxa" w:w="4320"/>
          </w:tcPr>
          <w:p>
            <w:r>
              <w:rPr>
                <w:sz w:val="19"/>
              </w:rPr>
              <w:t>Infrastructures rattachées par la table d'alias validée</w:t>
            </w:r>
            <w:r>
              <w:rPr>
                <w:sz w:val="19"/>
              </w:rPr>
            </w:r>
          </w:p>
        </w:tc>
        <w:tc>
          <w:tcPr>
            <w:tcW w:type="dxa" w:w="4320"/>
          </w:tcPr>
          <w:p>
            <w:r>
              <w:rPr>
                <w:sz w:val="19"/>
              </w:rPr>
              <w:t>1,1 % (42 sur 3 771)</w:t>
            </w:r>
            <w:r>
              <w:rPr>
                <w:sz w:val="19"/>
              </w:rPr>
            </w:r>
          </w:p>
        </w:tc>
      </w:tr>
      <w:tr>
        <w:tc>
          <w:tcPr>
            <w:tcW w:type="dxa" w:w="4320"/>
          </w:tcPr>
          <w:p>
            <w:r>
              <w:rPr>
                <w:sz w:val="19"/>
              </w:rPr>
              <w:t>Communes disposant de coordonnées géographiques (dérivées des infrastructures)</w:t>
            </w:r>
            <w:r>
              <w:rPr>
                <w:sz w:val="19"/>
              </w:rPr>
            </w:r>
          </w:p>
        </w:tc>
        <w:tc>
          <w:tcPr>
            <w:tcW w:type="dxa" w:w="4320"/>
          </w:tcPr>
          <w:p>
            <w:r>
              <w:rPr>
                <w:sz w:val="19"/>
              </w:rPr>
              <w:t>551 sur 553 communes (99,6 %)</w:t>
            </w:r>
            <w:r>
              <w:rPr>
                <w:sz w:val="19"/>
              </w:rPr>
            </w:r>
          </w:p>
        </w:tc>
      </w:tr>
      <w:tr>
        <w:tc>
          <w:tcPr>
            <w:tcW w:type="dxa" w:w="4320"/>
          </w:tcPr>
          <w:p>
            <w:r>
              <w:rPr>
                <w:sz w:val="19"/>
              </w:rPr>
              <w:t>Population 2013 &lt;-&gt; population 2023, pour le calcul de croissance</w:t>
            </w:r>
          </w:p>
        </w:tc>
        <w:tc>
          <w:tcPr>
            <w:tcW w:type="dxa" w:w="4320"/>
          </w:tcPr>
          <w:p>
            <w:r>
              <w:rPr>
                <w:sz w:val="19"/>
              </w:rPr>
              <w:t>529 sur 544 entités (97,2 %), puis 526 après exclusion des zones remaniées (voir section 5)</w:t>
            </w:r>
          </w:p>
        </w:tc>
      </w:tr>
    </w:tbl>
    <w:p/>
    <w:p>
      <w:r>
        <w:rPr>
          <w:i/>
          <w:color w:val="555555"/>
          <w:sz w:val="20"/>
        </w:rPr>
        <w:t>Les 2 communes restées sans coordonnées, Sama Kanta Peulh (4 357 habitants) et Diouboudou (6 959 habitants), n'ont aucune infrastructure rattachée : aucune infrastructure orpheline de nom proche n'existe dans leur département. Il peut s'agir d'une absence réelle de point géolocalisé ou d'une variante de nom que nous n'avons pas pu établir ; elles sont signalées « donnée à confirmer » dans l'interface. Sept autres communes, qui affichaient 0 poste au premier calcul, ont été corrigées par la table d'alias : Wouro Sidy (8 postes), Diender (9), Méry (5), Paos Koto (3), Diokoul Belbouck (4), Ranérou (2) et San Samba (1). Le taux de rattachement mesure la réussite de la procédure, pas son exactitude : quelques rapprochements par similarité peuvent être inexacts.</w:t>
      </w:r>
    </w:p>
    <w:p>
      <w:pPr>
        <w:pStyle w:val="Heading2"/>
      </w:pPr>
      <w:r>
        <w:t>4.1 Recoupements avec des sources indépendantes</w:t>
      </w:r>
    </w:p>
    <w:p>
      <w:r>
        <w:t>Les chiffres clés ont été confrontés, le 30 septembre 2026, à des publications de l'ANSD et du Ministère de la Santé. Les sept recoupements ci-dessous sont reproductibles : les tests du dossier tests/ vérifient ceux qui portent sur nos propres données.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9"/>
              </w:rPr>
            </w:r>
            <w:r>
              <w:rPr>
                <w:b/>
                <w:sz w:val="19"/>
              </w:rPr>
              <w:t>Chiffre</w:t>
            </w:r>
          </w:p>
        </w:tc>
        <w:tc>
          <w:tcPr>
            <w:tcW w:type="dxa" w:w="2160"/>
          </w:tcPr>
          <w:p>
            <w:r>
              <w:rPr>
                <w:sz w:val="19"/>
              </w:rPr>
            </w:r>
            <w:r>
              <w:rPr>
                <w:b/>
                <w:sz w:val="19"/>
              </w:rPr>
              <w:t>Notre valeur</w:t>
            </w:r>
          </w:p>
        </w:tc>
        <w:tc>
          <w:tcPr>
            <w:tcW w:type="dxa" w:w="2160"/>
          </w:tcPr>
          <w:p>
            <w:r>
              <w:rPr>
                <w:sz w:val="19"/>
              </w:rPr>
            </w:r>
            <w:r>
              <w:rPr>
                <w:b/>
                <w:sz w:val="19"/>
              </w:rPr>
              <w:t>Source indépendante</w:t>
            </w:r>
          </w:p>
        </w:tc>
        <w:tc>
          <w:tcPr>
            <w:tcW w:type="dxa" w:w="2160"/>
          </w:tcPr>
          <w:p>
            <w:r>
              <w:rPr>
                <w:sz w:val="19"/>
              </w:rPr>
            </w:r>
            <w:r>
              <w:rPr>
                <w:b/>
                <w:sz w:val="19"/>
              </w:rPr>
              <w:t>Résultat</w:t>
            </w:r>
          </w:p>
        </w:tc>
      </w:tr>
      <w:tr>
        <w:tc>
          <w:tcPr>
            <w:tcW w:type="dxa" w:w="2160"/>
          </w:tcPr>
          <w:p>
            <w:r>
              <w:rPr>
                <w:sz w:val="19"/>
              </w:rPr>
              <w:t>Structure administrative</w:t>
            </w:r>
            <w:r>
              <w:rPr>
                <w:sz w:val="19"/>
              </w:rPr>
            </w:r>
          </w:p>
        </w:tc>
        <w:tc>
          <w:tcPr>
            <w:tcW w:type="dxa" w:w="2160"/>
          </w:tcPr>
          <w:p>
            <w:r>
              <w:rPr>
                <w:sz w:val="19"/>
              </w:rPr>
              <w:t>14 régions, 46 départements, 553 communes</w:t>
            </w:r>
            <w:r>
              <w:rPr>
                <w:sz w:val="19"/>
              </w:rPr>
            </w:r>
          </w:p>
        </w:tc>
        <w:tc>
          <w:tcPr>
            <w:tcW w:type="dxa" w:w="2160"/>
          </w:tcPr>
          <w:p>
            <w:r>
              <w:rPr>
                <w:sz w:val="19"/>
              </w:rPr>
              <w:t>ANSD, Situation économique et sociale 2022-2023</w:t>
            </w:r>
            <w:r>
              <w:rPr>
                <w:sz w:val="19"/>
              </w:rPr>
            </w:r>
          </w:p>
        </w:tc>
        <w:tc>
          <w:tcPr>
            <w:tcW w:type="dxa" w:w="2160"/>
          </w:tcPr>
          <w:p>
            <w:r>
              <w:rPr>
                <w:sz w:val="19"/>
              </w:rPr>
              <w:t>Identique. D'autres sources citent 557 communes (découpage de 2014) : écart de définition, pas d'erreur.</w:t>
            </w:r>
            <w:r>
              <w:rPr>
                <w:sz w:val="19"/>
              </w:rPr>
            </w:r>
          </w:p>
        </w:tc>
      </w:tr>
      <w:tr>
        <w:tc>
          <w:tcPr>
            <w:tcW w:type="dxa" w:w="2160"/>
          </w:tcPr>
          <w:p>
            <w:r>
              <w:rPr>
                <w:sz w:val="19"/>
              </w:rPr>
              <w:t>Population 2023</w:t>
            </w:r>
            <w:r>
              <w:rPr>
                <w:sz w:val="19"/>
              </w:rPr>
            </w:r>
          </w:p>
        </w:tc>
        <w:tc>
          <w:tcPr>
            <w:tcW w:type="dxa" w:w="2160"/>
          </w:tcPr>
          <w:p>
            <w:r>
              <w:rPr>
                <w:sz w:val="19"/>
              </w:rPr>
              <w:t>18 125 122</w:t>
            </w:r>
            <w:r>
              <w:rPr>
                <w:sz w:val="19"/>
              </w:rPr>
            </w:r>
          </w:p>
        </w:tc>
        <w:tc>
          <w:tcPr>
            <w:tcW w:type="dxa" w:w="2160"/>
          </w:tcPr>
          <w:p>
            <w:r>
              <w:rPr>
                <w:sz w:val="19"/>
              </w:rPr>
              <w:t>ANSD, RGPH-5 : 18 126 390</w:t>
            </w:r>
            <w:r>
              <w:rPr>
                <w:sz w:val="19"/>
              </w:rPr>
            </w:r>
          </w:p>
        </w:tc>
        <w:tc>
          <w:tcPr>
            <w:tcW w:type="dxa" w:w="2160"/>
          </w:tcPr>
          <w:p>
            <w:r>
              <w:rPr>
                <w:sz w:val="19"/>
              </w:rPr>
              <w:t>Écart de 1 268 habitants (0,007 %). Treize régions sur quatorze coïncident avec les publications ; Dakar : 1 220 de moins, non expliqué.</w:t>
            </w:r>
            <w:r>
              <w:rPr>
                <w:sz w:val="19"/>
              </w:rPr>
            </w:r>
          </w:p>
        </w:tc>
      </w:tr>
      <w:tr>
        <w:tc>
          <w:tcPr>
            <w:tcW w:type="dxa" w:w="2160"/>
          </w:tcPr>
          <w:p>
            <w:r>
              <w:rPr>
                <w:sz w:val="19"/>
              </w:rPr>
              <w:t>Croissance annuelle 2013-2023</w:t>
            </w:r>
            <w:r>
              <w:rPr>
                <w:sz w:val="19"/>
              </w:rPr>
            </w:r>
          </w:p>
        </w:tc>
        <w:tc>
          <w:tcPr>
            <w:tcW w:type="dxa" w:w="2160"/>
          </w:tcPr>
          <w:p>
            <w:r>
              <w:rPr>
                <w:sz w:val="19"/>
              </w:rPr>
              <w:t>Médiane des communes : 2,94 %</w:t>
            </w:r>
            <w:r>
              <w:rPr>
                <w:sz w:val="19"/>
              </w:rPr>
            </w:r>
          </w:p>
        </w:tc>
        <w:tc>
          <w:tcPr>
            <w:tcW w:type="dxa" w:w="2160"/>
          </w:tcPr>
          <w:p>
            <w:r>
              <w:rPr>
                <w:sz w:val="19"/>
              </w:rPr>
              <w:t>ANSD, RGPH-5 : taux intercensitaire de 2,94 % (2,9 % arrondi)</w:t>
            </w:r>
            <w:r>
              <w:rPr>
                <w:sz w:val="19"/>
              </w:rPr>
            </w:r>
          </w:p>
        </w:tc>
        <w:tc>
          <w:tcPr>
            <w:tcW w:type="dxa" w:w="2160"/>
          </w:tcPr>
          <w:p>
            <w:r>
              <w:rPr>
                <w:sz w:val="19"/>
              </w:rPr>
              <w:t>Concordant.</w:t>
            </w:r>
            <w:r>
              <w:rPr>
                <w:sz w:val="19"/>
              </w:rPr>
            </w:r>
          </w:p>
        </w:tc>
      </w:tr>
      <w:tr>
        <w:tc>
          <w:tcPr>
            <w:tcW w:type="dxa" w:w="2160"/>
          </w:tcPr>
          <w:p>
            <w:r>
              <w:rPr>
                <w:sz w:val="19"/>
              </w:rPr>
              <w:t>Normes de santé</w:t>
            </w:r>
            <w:r>
              <w:rPr>
                <w:sz w:val="19"/>
              </w:rPr>
            </w:r>
          </w:p>
        </w:tc>
        <w:tc>
          <w:tcPr>
            <w:tcW w:type="dxa" w:w="2160"/>
          </w:tcPr>
          <w:p>
            <w:r>
              <w:rPr>
                <w:sz w:val="19"/>
              </w:rPr>
              <w:t>1 poste / 10 000, 1 centre / 50 000, 1 hôpital / 150 000</w:t>
            </w:r>
            <w:r>
              <w:rPr>
                <w:sz w:val="19"/>
              </w:rPr>
            </w:r>
          </w:p>
        </w:tc>
        <w:tc>
          <w:tcPr>
            <w:tcW w:type="dxa" w:w="2160"/>
          </w:tcPr>
          <w:p>
            <w:r>
              <w:rPr>
                <w:sz w:val="19"/>
              </w:rPr>
              <w:t>ANSD, Situation économique et sociale 2005 ; question écrite à l'Assemblée nationale, 2025</w:t>
            </w:r>
            <w:r>
              <w:rPr>
                <w:sz w:val="19"/>
              </w:rPr>
            </w:r>
          </w:p>
        </w:tc>
        <w:tc>
          <w:tcPr>
            <w:tcW w:type="dxa" w:w="2160"/>
          </w:tcPr>
          <w:p>
            <w:r>
              <w:rPr>
                <w:sz w:val="19"/>
              </w:rPr>
              <w:t>Identiques (norme de l'OMS reprise par l'ANSD).</w:t>
            </w:r>
            <w:r>
              <w:rPr>
                <w:sz w:val="19"/>
              </w:rPr>
            </w:r>
          </w:p>
        </w:tc>
      </w:tr>
      <w:tr>
        <w:tc>
          <w:tcPr>
            <w:tcW w:type="dxa" w:w="2160"/>
          </w:tcPr>
          <w:p>
            <w:r>
              <w:rPr>
                <w:sz w:val="19"/>
              </w:rPr>
              <w:t>Population 2013 (base de la croissance)</w:t>
            </w:r>
            <w:r>
              <w:rPr>
                <w:sz w:val="19"/>
              </w:rPr>
            </w:r>
          </w:p>
        </w:tc>
        <w:tc>
          <w:tcPr>
            <w:tcW w:type="dxa" w:w="2160"/>
          </w:tcPr>
          <w:p>
            <w:r>
              <w:rPr>
                <w:sz w:val="19"/>
              </w:rPr>
              <w:t>13 191 802</w:t>
            </w:r>
            <w:r>
              <w:rPr>
                <w:sz w:val="19"/>
              </w:rPr>
            </w:r>
          </w:p>
        </w:tc>
        <w:tc>
          <w:tcPr>
            <w:tcW w:type="dxa" w:w="2160"/>
          </w:tcPr>
          <w:p>
            <w:r>
              <w:rPr>
                <w:sz w:val="19"/>
              </w:rPr>
              <w:t>ANSD : 13 508 715</w:t>
            </w:r>
            <w:r>
              <w:rPr>
                <w:sz w:val="19"/>
              </w:rPr>
            </w:r>
          </w:p>
        </w:tc>
        <w:tc>
          <w:tcPr>
            <w:tcW w:type="dxa" w:w="2160"/>
          </w:tcPr>
          <w:p>
            <w:r>
              <w:rPr>
                <w:sz w:val="19"/>
              </w:rPr>
              <w:t>97,7 % couvert ; 2,3 % manquant (entités non reconnues par notre filtre).</w:t>
            </w:r>
            <w:r>
              <w:rPr>
                <w:sz w:val="19"/>
              </w:rPr>
            </w:r>
          </w:p>
        </w:tc>
      </w:tr>
      <w:tr>
        <w:tc>
          <w:tcPr>
            <w:tcW w:type="dxa" w:w="2160"/>
          </w:tcPr>
          <w:p>
            <w:r>
              <w:rPr>
                <w:sz w:val="19"/>
              </w:rPr>
            </w:r>
            <w:r>
              <w:rPr>
                <w:sz w:val="19"/>
              </w:rPr>
              <w:t>Postes de santé 2023</w:t>
            </w:r>
          </w:p>
        </w:tc>
        <w:tc>
          <w:tcPr>
            <w:tcW w:type="dxa" w:w="2160"/>
          </w:tcPr>
          <w:p>
            <w:r>
              <w:rPr>
                <w:sz w:val="19"/>
              </w:rPr>
            </w:r>
            <w:r>
              <w:rPr>
                <w:sz w:val="19"/>
              </w:rPr>
              <w:t>2 124 (dont 39 centres médico-sociaux)</w:t>
            </w:r>
          </w:p>
        </w:tc>
        <w:tc>
          <w:tcPr>
            <w:tcW w:type="dxa" w:w="2160"/>
          </w:tcPr>
          <w:p>
            <w:r>
              <w:rPr>
                <w:sz w:val="19"/>
              </w:rPr>
            </w:r>
            <w:r>
              <w:rPr>
                <w:sz w:val="19"/>
              </w:rPr>
              <w:t>Ministère de la Santé (brochure) : 1 680</w:t>
            </w:r>
          </w:p>
        </w:tc>
        <w:tc>
          <w:tcPr>
            <w:tcW w:type="dxa" w:w="2160"/>
          </w:tcPr>
          <w:p>
            <w:r>
              <w:rPr>
                <w:sz w:val="19"/>
              </w:rPr>
            </w:r>
            <w:r>
              <w:rPr>
                <w:sz w:val="19"/>
              </w:rPr>
              <w:t>Écart de +26 %, non expliqué : à clarifier avec l'ANSD.</w:t>
            </w:r>
          </w:p>
        </w:tc>
      </w:tr>
      <w:tr>
        <w:tc>
          <w:tcPr>
            <w:tcW w:type="dxa" w:w="2160"/>
          </w:tcPr>
          <w:p>
            <w:r>
              <w:rPr>
                <w:sz w:val="19"/>
              </w:rPr>
            </w:r>
            <w:r>
              <w:rPr>
                <w:sz w:val="19"/>
              </w:rPr>
              <w:t>Centres et hôpitaux 2023</w:t>
            </w:r>
          </w:p>
        </w:tc>
        <w:tc>
          <w:tcPr>
            <w:tcW w:type="dxa" w:w="2160"/>
          </w:tcPr>
          <w:p>
            <w:r>
              <w:rPr>
                <w:sz w:val="19"/>
              </w:rPr>
            </w:r>
            <w:r>
              <w:rPr>
                <w:sz w:val="19"/>
              </w:rPr>
              <w:t>141 centres ; 50 hôpitaux (dont 6 privés)</w:t>
            </w:r>
          </w:p>
        </w:tc>
        <w:tc>
          <w:tcPr>
            <w:tcW w:type="dxa" w:w="2160"/>
          </w:tcPr>
          <w:p>
            <w:r>
              <w:rPr>
                <w:sz w:val="19"/>
              </w:rPr>
            </w:r>
            <w:r>
              <w:rPr>
                <w:sz w:val="19"/>
              </w:rPr>
              <w:t>Ministère de la Santé (brochure) : 147 centres ; 49 hôpitaux</w:t>
            </w:r>
          </w:p>
        </w:tc>
        <w:tc>
          <w:tcPr>
            <w:tcW w:type="dxa" w:w="2160"/>
          </w:tcPr>
          <w:p>
            <w:r>
              <w:rPr>
                <w:sz w:val="19"/>
              </w:rPr>
            </w:r>
            <w:r>
              <w:rPr>
                <w:sz w:val="19"/>
              </w:rPr>
              <w:t>Ordres de grandeur concordants.</w:t>
            </w:r>
          </w:p>
        </w:tc>
      </w:tr>
    </w:tbl>
    <w:p/>
    <w:p>
      <w:r>
        <w:rPr>
          <w:i/>
          <w:color w:val="555555"/>
          <w:sz w:val="20"/>
        </w:rPr>
        <w:t>Lecture : cinq recoupements confirment nos chiffres. Un point reste ouvert et pèse sur les résultats : si le chiffre du Ministère (1 680 postes) fait foi, les déficits de postes de santé présentés ici sont sous-estimés, pas surestimés.</w:t>
      </w:r>
    </w:p>
    <w:p>
      <w:pPr>
        <w:pStyle w:val="Heading1"/>
      </w:pPr>
      <w:r>
        <w:rPr>
          <w:rFonts w:ascii="Calibri" w:hAnsi="Calibri"/>
          <w:color w:val="1F3864"/>
        </w:rPr>
        <w:t>5. Réconciliation des découpages administratifs 2013-2023</w:t>
      </w:r>
    </w:p>
    <w:p>
      <w:r>
        <w:rPr>
          <w:b w:val="0"/>
          <w:i w:val="0"/>
          <w:sz w:val="22"/>
        </w:rPr>
        <w:t>Le recensement de 2013 a été conduit sur un découpage administratif antérieur à plusieurs réformes territoriales. Trois anomalies de taux de croissance ont été détectées lors du calcul (Keur Massar, Sicap Liberté, Guinaw Rail Nord - toutes situées dans l'agglomération dakaroise) : des taux de croissance négatifs incompatibles avec une expansion urbaine documentée par ailleurs.</w:t>
      </w:r>
    </w:p>
    <w:p>
      <w:r>
        <w:rPr>
          <w:b w:val="0"/>
          <w:i w:val="0"/>
          <w:sz w:val="22"/>
        </w:rPr>
        <w:t>Investigation : le décret n° 2021-687 du 28 mai 2021 a érigé Keur Massar en département, en redécoupant les communes des départements de Keur Massar, Guédiawaye, Pikine et Rufisque (création notamment de Keur Massar Nord et Keur Massar Sud). L'ancienne commune de 2013 se trouve donc démembrée entre plusieurs communes de 2023, ce que le rapprochement par nom ne peut reconstituer automatiquement.</w:t>
      </w:r>
    </w:p>
    <w:p>
      <w:r>
        <w:rPr>
          <w:b w:val="0"/>
          <w:i w:val="0"/>
          <w:sz w:val="22"/>
        </w:rPr>
        <w:t>Traitement retenu : les 3 communes concernées sont exclues du calcul de taux de croissance propre et reçoivent le taux médian national (2,94 % par an) en valeur de repli. Cette médiane des taux communaux concorde avec le taux intercensitaire national retenu par l'ANSD dans son rapport définitif (2,94 %). Elles conservent leurs indicateurs de déficit santé et éducation 2023, non affectés par cette limite.</w:t>
      </w:r>
    </w:p>
    <w:p>
      <w:pPr>
        <w:pStyle w:val="Heading1"/>
      </w:pPr>
      <w:r>
        <w:rPr>
          <w:rFonts w:ascii="Calibri" w:hAnsi="Calibri"/>
          <w:color w:val="1F3864"/>
        </w:rPr>
        <w:t>6. Calcul du déficit 2023 et du scénario 2033</w:t>
      </w:r>
    </w:p>
    <w:p>
      <w:r>
        <w:rPr>
          <w:b w:val="0"/>
          <w:i w:val="0"/>
          <w:sz w:val="22"/>
        </w:rPr>
        <w:t>Le scénario 2033 applique le taux de croissance annuel mesuré (2013-2023) à la population 2023, sur 10 ans supplémentaires, puis recalcule le déficit selon les mêmes normes officielles.</w:t>
      </w:r>
    </w:p>
    <w:p>
      <w:r>
        <w:rPr>
          <w:b w:val="0"/>
          <w:i w:val="0"/>
          <w:sz w:val="22"/>
        </w:rPr>
        <w:t>Trois règles encadrent ce calcul, reprises du dossier de soumission :</w:t>
      </w:r>
    </w:p>
    <w:p>
      <w:pPr>
        <w:pStyle w:val="ListBullet"/>
      </w:pPr>
      <w:r>
        <w:rPr>
          <w:sz w:val="22"/>
        </w:rPr>
        <w:t>Le résultat est qualifié de scénario au fil de l'eau, jamais de prévision démographique officielle.</w:t>
      </w:r>
    </w:p>
    <w:p>
      <w:pPr>
        <w:pStyle w:val="ListBullet"/>
      </w:pPr>
      <w:r>
        <w:rPr>
          <w:sz w:val="22"/>
        </w:rPr>
        <w:t>Les projections officielles de l'ANSD, lorsqu'elles existent à l'échelle communale, doivent être utilisées en priorité sur un scénario construit par l'équipe - non disponibles à ce jour pour ce niveau de détail.</w:t>
      </w:r>
    </w:p>
    <w:p>
      <w:pPr>
        <w:pStyle w:val="ListBullet"/>
      </w:pPr>
      <w:r>
        <w:rPr>
          <w:sz w:val="22"/>
        </w:rPr>
        <w:t>Les limites d'un prolongement de tendance sont affichées avec le résultat, en particulier pour les taux de croissance extrêmes.</w:t>
      </w:r>
    </w:p>
    <w:p>
      <w:r>
        <w:rPr>
          <w:b w:val="0"/>
          <w:i/>
          <w:sz w:val="22"/>
        </w:rPr>
        <w:t>Cas limite identifié : la commune de Sangalkam affiche un taux mesuré de +25 %/an (croissance réelle et documentée sur la période observée). Correction appliquée : le taux mesuré n'est appliqué à taux plein que sur les 5 premières années de la projection ; les 5 années suivantes sont ramenées progressivement vers le taux médian national (2,94 %/an). Résultat : la population 2033 de Sangalkam passe de 1 033 377 (extrapolation linéaire brute) à 651 121 (projection amortie) - toujours une forte croissance, mais mécaniquement plus défendable devant un démographe.</w:t>
      </w:r>
    </w:p>
    <w:p>
      <w:pPr>
        <w:pStyle w:val="Heading2"/>
      </w:pPr>
      <w:r>
        <w:rPr>
          <w:rFonts w:ascii="Calibri" w:hAnsi="Calibri"/>
        </w:rPr>
        <w:t>6.1 Indicateur combiné santé et éducation</w:t>
      </w:r>
    </w:p>
    <w:p>
      <w:r>
        <w:rPr>
          <w:b w:val="0"/>
          <w:i w:val="0"/>
          <w:sz w:val="22"/>
        </w:rPr>
        <w:t>À la demande d'une relecture critique du projet, un indicateur combiné a été construit pour répondre à une limite identifiée : traiter santé et éducation comme deux volets isolés masque les communes en tension sur les deux à la fois. Méthode retenue : chaque commune reçoit un rang percentile (0 à 100) sur le déficit de postes de santé et un rang percentile sur la tension éducation (population par établissement) ; le score combiné est leur moyenne simple, à poids égal - un choix de simplicité assumé, pas calibré sur des préférences de décideurs réels.</w:t>
      </w:r>
    </w:p>
    <w:p>
      <w:r>
        <w:rPr>
          <w:i/>
          <w:color w:val="555555"/>
          <w:sz w:val="20"/>
        </w:rPr>
        <w:t>Point de vigilance appliqué : les 2 communes dont le rapprochement de données reste non confirmé (cf. section 4) sont exclues de ce classement combiné, pour ne pas laisser une commune mal appariée apparaître artificiellement en tête. Lors d'un premier calcul, sept communes mal appariées (postes affichés à 0) remontaient ainsi en tête ; elles sont désormais correctement rattachées grâce à la table d'alias.</w:t>
      </w:r>
    </w:p>
    <w:p>
      <w:pPr>
        <w:pStyle w:val="Heading2"/>
      </w:pPr>
      <w:r>
        <w:rPr>
          <w:rFonts w:ascii="Calibri" w:hAnsi="Calibri"/>
        </w:rPr>
        <w:t>6.2 Sensibilité au rayon de chalandise de l'algorithme</w:t>
      </w:r>
    </w:p>
    <w:p>
      <w:r>
        <w:rPr>
          <w:b w:val="0"/>
          <w:i w:val="0"/>
          <w:sz w:val="22"/>
        </w:rPr>
        <w:t>Le rayon de 15 km utilisé pour estimer le chevauchement géographique entre deux emplacements (section 7) est un paramètre estimé, non mesuré sur des données réelles de déplacement au Sénégal. Test de sensibilité (rayons de 5 à 25 km, budget de 10 structures) : les trois premiers choix (Touba, Keur Massar Nord, Mbour) sont identiques à tous les rayons. Le reste de la sélection en dépend davantage : 6 choix sur 10 sont communs avec la sélection à 15 km pour un rayon de 5 km, 8 sur 10 à 10 km, et 10 sur 10 à 20 et 25 km. À 25 structures, l'accord va de 17 sur 25 (5 km) à 22 sur 25 (10 km). Les trois premiers choix sont donc robustes ; l'ordre des suivants dépend de cette hypothèse, à valider un jour avec une donnée de mobilité.</w:t>
      </w:r>
    </w:p>
    <w:p>
      <w:pPr>
        <w:pStyle w:val="Heading1"/>
      </w:pPr>
      <w:r>
        <w:rPr>
          <w:rFonts w:ascii="Calibri" w:hAnsi="Calibri"/>
          <w:color w:val="1F3864"/>
        </w:rPr>
        <w:t>7. Algorithme de sélection sous contrainte budgétaire</w:t>
      </w:r>
    </w:p>
    <w:p>
      <w:r>
        <w:rPr>
          <w:b w:val="0"/>
          <w:i w:val="0"/>
          <w:sz w:val="22"/>
        </w:rPr>
        <w:t>Problème traité : sélectionner un nombre donné d'emplacements (structures finançables) maximisant la population nouvellement desservie, sans compter deux fois la population des zones où deux emplacements sélectionnés se trouvent proches l'un de l'autre.</w:t>
      </w:r>
    </w:p>
    <w:p>
      <w:pPr>
        <w:pStyle w:val="Heading2"/>
      </w:pPr>
      <w:r>
        <w:rPr>
          <w:rFonts w:ascii="Calibri" w:hAnsi="Calibri"/>
        </w:rPr>
        <w:t>7.1 Méthode</w:t>
      </w:r>
    </w:p>
    <w:p>
      <w:r>
        <w:rPr>
          <w:b w:val="0"/>
          <w:i w:val="0"/>
          <w:sz w:val="22"/>
        </w:rPr>
        <w:t>Algorithme glouton : à chaque tour, sélection de la commune au gain marginal le plus élevé, le gain de chaque candidat restant étant réduit en fonction de sa distance géographique réelle (formule de haversine) aux communes déjà sélectionnées. Rayon de chalandise retenu : 15 km, au-delà duquel le chevauchement est considéré nul ; décroissance linéaire du taux de chevauchement entre 0 et 15 km.</w:t>
      </w:r>
    </w:p>
    <w:p>
      <w:pPr>
        <w:pStyle w:val="Heading2"/>
      </w:pPr>
      <w:r>
        <w:rPr>
          <w:rFonts w:ascii="Calibri" w:hAnsi="Calibri"/>
        </w:rPr>
        <w:t>7.2 Historique et correction d'une erreur de méthode</w:t>
      </w:r>
    </w:p>
    <w:p>
      <w:r>
        <w:rPr>
          <w:b w:val="0"/>
          <w:i w:val="0"/>
          <w:sz w:val="22"/>
        </w:rPr>
        <w:t>Une première version de l'algorithme approximait le chevauchement géographique au niveau du département (faute de coordonnées communales disponibles à ce stade du projet). Cette approximation produisait, à certains budgets, un résultat glouton légèrement inférieur au tri naïf - anomalie documentée et corrigée dès que les coordonnées réelles des infrastructures ont permis un calcul de distance exact.</w:t>
      </w:r>
    </w:p>
    <w:p>
      <w:r>
        <w:rPr>
          <w:i/>
          <w:color w:val="555555"/>
          <w:sz w:val="20"/>
        </w:rPr>
        <w:t>Une seconde erreur, de comparaison cette fois, a été identifiée et corrigée : la méthode naïve de référence était évaluée sur des valeurs brutes non corrigées du chevauchement, ce qui la faisait apparaître artificiellement plus performante par double comptage de population. Les deux méthodes sont désormais évaluées selon la même règle de non-double-comptage.</w:t>
      </w:r>
    </w:p>
    <w:p>
      <w:r>
        <w:rPr>
          <w:i/>
          <w:color w:val="555555"/>
          <w:sz w:val="20"/>
        </w:rPr>
        <w:t>Une troisième erreur, découverte lors du recoupement des chiffres : les gains de chaque commune étaient mémorisés par nom de commune. Deux communes portant le même nom (Médina Gounass, à Vélingara et à Guédiawaye) s'écrasaient l'une l'autre, si bien que la plus peuplée (91 085 habitants, 8 postes manquants) n'apparaissait dans aucune sélection. Corrigé dans l'algorithme Python et dans l'interface : elle est désormais retenue à partir de 10 structures.</w:t>
      </w:r>
    </w:p>
    <w:p>
      <w:pPr>
        <w:pStyle w:val="Heading2"/>
      </w:pPr>
      <w:r>
        <w:rPr>
          <w:rFonts w:ascii="Calibri" w:hAnsi="Calibri"/>
        </w:rPr>
        <w:t>7.3 Résultat de l'analyse de sensibilité</w:t>
      </w:r>
    </w:p>
    <w:p>
      <w:r>
        <w:rPr>
          <w:b w:val="0"/>
          <w:i w:val="0"/>
          <w:sz w:val="22"/>
        </w:rPr>
        <w:t>Comparaison glouton / tri naïf, population 2023, à budget croissant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sz w:val="19"/>
              </w:rPr>
              <w:t>Budget (structures)</w:t>
            </w:r>
          </w:p>
        </w:tc>
        <w:tc>
          <w:tcPr>
            <w:tcW w:type="dxa" w:w="2160"/>
          </w:tcPr>
          <w:p>
            <w:r>
              <w:rPr>
                <w:sz w:val="19"/>
              </w:rPr>
            </w:r>
            <w:r>
              <w:rPr>
                <w:b/>
                <w:sz w:val="19"/>
              </w:rPr>
              <w:t>Couverture glouton (hab.)</w:t>
            </w:r>
          </w:p>
        </w:tc>
        <w:tc>
          <w:tcPr>
            <w:tcW w:type="dxa" w:w="2160"/>
          </w:tcPr>
          <w:p>
            <w:r>
              <w:rPr>
                <w:sz w:val="19"/>
              </w:rPr>
            </w:r>
            <w:r>
              <w:rPr>
                <w:b/>
                <w:sz w:val="19"/>
              </w:rPr>
              <w:t>Couverture naïve (hab.)</w:t>
            </w:r>
          </w:p>
        </w:tc>
        <w:tc>
          <w:tcPr>
            <w:tcW w:type="dxa" w:w="2160"/>
          </w:tcPr>
          <w:p>
            <w:r>
              <w:rPr>
                <w:sz w:val="19"/>
              </w:rPr>
            </w:r>
            <w:r>
              <w:rPr>
                <w:b/>
                <w:sz w:val="19"/>
              </w:rPr>
              <w:t>Écart</w:t>
            </w:r>
          </w:p>
        </w:tc>
      </w:tr>
      <w:tr>
        <w:tc>
          <w:tcPr>
            <w:tcW w:type="dxa" w:w="2160"/>
          </w:tcPr>
          <w:p>
            <w:r>
              <w:rPr>
                <w:sz w:val="19"/>
              </w:rPr>
              <w:t>3</w:t>
            </w:r>
            <w:r>
              <w:rPr>
                <w:sz w:val="19"/>
              </w:rPr>
            </w:r>
          </w:p>
        </w:tc>
        <w:tc>
          <w:tcPr>
            <w:tcW w:type="dxa" w:w="2160"/>
          </w:tcPr>
          <w:p>
            <w:r>
              <w:rPr>
                <w:sz w:val="19"/>
              </w:rPr>
              <w:t>1 105 978</w:t>
            </w:r>
            <w:r>
              <w:rPr>
                <w:sz w:val="19"/>
              </w:rPr>
            </w:r>
          </w:p>
        </w:tc>
        <w:tc>
          <w:tcPr>
            <w:tcW w:type="dxa" w:w="2160"/>
          </w:tcPr>
          <w:p>
            <w:r>
              <w:rPr>
                <w:sz w:val="19"/>
              </w:rPr>
              <w:t>1 105 978</w:t>
            </w:r>
            <w:r>
              <w:rPr>
                <w:sz w:val="19"/>
              </w:rPr>
            </w:r>
          </w:p>
        </w:tc>
        <w:tc>
          <w:tcPr>
            <w:tcW w:type="dxa" w:w="2160"/>
          </w:tcPr>
          <w:p>
            <w:r>
              <w:rPr>
                <w:sz w:val="19"/>
              </w:rPr>
              <w:t>+0,0 %</w:t>
            </w:r>
            <w:r>
              <w:rPr>
                <w:sz w:val="19"/>
              </w:rPr>
            </w:r>
          </w:p>
        </w:tc>
      </w:tr>
      <w:tr>
        <w:tc>
          <w:tcPr>
            <w:tcW w:type="dxa" w:w="2160"/>
          </w:tcPr>
          <w:p>
            <w:r>
              <w:rPr>
                <w:sz w:val="19"/>
              </w:rPr>
              <w:t>5</w:t>
            </w:r>
            <w:r>
              <w:rPr>
                <w:sz w:val="19"/>
              </w:rPr>
            </w:r>
          </w:p>
        </w:tc>
        <w:tc>
          <w:tcPr>
            <w:tcW w:type="dxa" w:w="2160"/>
          </w:tcPr>
          <w:p>
            <w:r>
              <w:rPr>
                <w:sz w:val="19"/>
              </w:rPr>
              <w:t>1 302 094</w:t>
            </w:r>
            <w:r>
              <w:rPr>
                <w:sz w:val="19"/>
              </w:rPr>
            </w:r>
          </w:p>
        </w:tc>
        <w:tc>
          <w:tcPr>
            <w:tcW w:type="dxa" w:w="2160"/>
          </w:tcPr>
          <w:p>
            <w:r>
              <w:rPr>
                <w:sz w:val="19"/>
              </w:rPr>
              <w:t>1 245 171</w:t>
            </w:r>
            <w:r>
              <w:rPr>
                <w:sz w:val="19"/>
              </w:rPr>
            </w:r>
          </w:p>
        </w:tc>
        <w:tc>
          <w:tcPr>
            <w:tcW w:type="dxa" w:w="2160"/>
          </w:tcPr>
          <w:p>
            <w:r>
              <w:rPr>
                <w:sz w:val="19"/>
              </w:rPr>
              <w:t>+4,6 %</w:t>
            </w:r>
            <w:r>
              <w:rPr>
                <w:sz w:val="19"/>
              </w:rPr>
            </w:r>
          </w:p>
        </w:tc>
      </w:tr>
      <w:tr>
        <w:tc>
          <w:tcPr>
            <w:tcW w:type="dxa" w:w="2160"/>
          </w:tcPr>
          <w:p>
            <w:r>
              <w:rPr>
                <w:sz w:val="19"/>
              </w:rPr>
              <w:t>10</w:t>
            </w:r>
            <w:r>
              <w:rPr>
                <w:sz w:val="19"/>
              </w:rPr>
            </w:r>
          </w:p>
        </w:tc>
        <w:tc>
          <w:tcPr>
            <w:tcW w:type="dxa" w:w="2160"/>
          </w:tcPr>
          <w:p>
            <w:r>
              <w:rPr>
                <w:sz w:val="19"/>
              </w:rPr>
              <w:t>1 595 049</w:t>
            </w:r>
            <w:r>
              <w:rPr>
                <w:sz w:val="19"/>
              </w:rPr>
            </w:r>
          </w:p>
        </w:tc>
        <w:tc>
          <w:tcPr>
            <w:tcW w:type="dxa" w:w="2160"/>
          </w:tcPr>
          <w:p>
            <w:r>
              <w:rPr>
                <w:sz w:val="19"/>
              </w:rPr>
              <w:t>1 371 193</w:t>
            </w:r>
            <w:r>
              <w:rPr>
                <w:sz w:val="19"/>
              </w:rPr>
            </w:r>
          </w:p>
        </w:tc>
        <w:tc>
          <w:tcPr>
            <w:tcW w:type="dxa" w:w="2160"/>
          </w:tcPr>
          <w:p>
            <w:r>
              <w:rPr>
                <w:sz w:val="19"/>
              </w:rPr>
              <w:t>+16,3 %</w:t>
            </w:r>
            <w:r>
              <w:rPr>
                <w:sz w:val="19"/>
              </w:rPr>
            </w:r>
          </w:p>
        </w:tc>
      </w:tr>
      <w:tr>
        <w:tc>
          <w:tcPr>
            <w:tcW w:type="dxa" w:w="2160"/>
          </w:tcPr>
          <w:p>
            <w:r>
              <w:rPr>
                <w:sz w:val="19"/>
              </w:rPr>
              <w:t>15</w:t>
            </w:r>
            <w:r>
              <w:rPr>
                <w:sz w:val="19"/>
              </w:rPr>
            </w:r>
          </w:p>
        </w:tc>
        <w:tc>
          <w:tcPr>
            <w:tcW w:type="dxa" w:w="2160"/>
          </w:tcPr>
          <w:p>
            <w:r>
              <w:rPr>
                <w:sz w:val="19"/>
              </w:rPr>
              <w:t>1 754 664</w:t>
            </w:r>
            <w:r>
              <w:rPr>
                <w:sz w:val="19"/>
              </w:rPr>
            </w:r>
          </w:p>
        </w:tc>
        <w:tc>
          <w:tcPr>
            <w:tcW w:type="dxa" w:w="2160"/>
          </w:tcPr>
          <w:p>
            <w:r>
              <w:rPr>
                <w:sz w:val="19"/>
              </w:rPr>
              <w:t>1 535 935</w:t>
            </w:r>
            <w:r>
              <w:rPr>
                <w:sz w:val="19"/>
              </w:rPr>
            </w:r>
          </w:p>
        </w:tc>
        <w:tc>
          <w:tcPr>
            <w:tcW w:type="dxa" w:w="2160"/>
          </w:tcPr>
          <w:p>
            <w:r>
              <w:rPr>
                <w:sz w:val="19"/>
              </w:rPr>
              <w:t>+14,2 %</w:t>
            </w:r>
            <w:r>
              <w:rPr>
                <w:sz w:val="19"/>
              </w:rPr>
            </w:r>
          </w:p>
        </w:tc>
      </w:tr>
      <w:tr>
        <w:tc>
          <w:tcPr>
            <w:tcW w:type="dxa" w:w="2160"/>
          </w:tcPr>
          <w:p>
            <w:r>
              <w:rPr>
                <w:sz w:val="19"/>
              </w:rPr>
              <w:t>25</w:t>
            </w:r>
            <w:r>
              <w:rPr>
                <w:sz w:val="19"/>
              </w:rPr>
            </w:r>
          </w:p>
        </w:tc>
        <w:tc>
          <w:tcPr>
            <w:tcW w:type="dxa" w:w="2160"/>
          </w:tcPr>
          <w:p>
            <w:r>
              <w:rPr>
                <w:sz w:val="19"/>
              </w:rPr>
              <w:t>1 967 238</w:t>
            </w:r>
            <w:r>
              <w:rPr>
                <w:sz w:val="19"/>
              </w:rPr>
            </w:r>
          </w:p>
        </w:tc>
        <w:tc>
          <w:tcPr>
            <w:tcW w:type="dxa" w:w="2160"/>
          </w:tcPr>
          <w:p>
            <w:r>
              <w:rPr>
                <w:sz w:val="19"/>
              </w:rPr>
              <w:t>1 600 573</w:t>
            </w:r>
            <w:r>
              <w:rPr>
                <w:sz w:val="19"/>
              </w:rPr>
            </w:r>
          </w:p>
        </w:tc>
        <w:tc>
          <w:tcPr>
            <w:tcW w:type="dxa" w:w="2160"/>
          </w:tcPr>
          <w:p>
            <w:r>
              <w:rPr>
                <w:sz w:val="19"/>
              </w:rPr>
              <w:t>+22,9 %</w:t>
            </w:r>
            <w:r>
              <w:rPr>
                <w:sz w:val="19"/>
              </w:rPr>
            </w:r>
          </w:p>
        </w:tc>
      </w:tr>
    </w:tbl>
    <w:p/>
    <w:p>
      <w:r>
        <w:rPr>
          <w:i/>
          <w:color w:val="555555"/>
          <w:sz w:val="20"/>
        </w:rPr>
        <w:t>Correction issue de la relecture critique interne : une première version d'un indicateur complémentaire, l'accessibilité de bassin, comptait les postes de santé de chaque commune voisine en entier pour chaque commune qui s'en trouvait proche - ce qui revenait à compter certains postes plusieurs fois. La version corrigée répartit la capacité de chaque poste entre toutes les communes qui s'appuient dessus, au prorata de la distance, avec une vérification de conservation (le total distribué égale exactement le nombre de postes réels recensés). Cette correction inverse plusieurs résultats : une zone dense n'apparaît plus mécaniquement mieux desservie, puisque plusieurs communes peuvent se disputer les mêmes postes.</w:t>
      </w:r>
    </w:p>
    <w:p>
      <w:r>
        <w:rPr>
          <w:b w:val="0"/>
          <w:i w:val="0"/>
          <w:sz w:val="22"/>
        </w:rPr>
        <w:t>Sur les cinq budgets testés, la méthode gloutonne n'est jamais inférieure au tri naïf : la garantie théorique attendue pour ce type de problème (fonction de couverture sous-modulaire et monotone) est vérifiée empiriquement sur des données réelles. L'écart est nul à 3 structures (les deux méthodes retiennent les mêmes communes) et croît avec le budget. Ces valeurs sont des estimations, calculées avec la même règle pour les deux méthodes.</w:t>
      </w:r>
    </w:p>
    <w:p>
      <w:r>
        <w:rPr>
          <w:sz w:val="22"/>
        </w:rPr>
        <w:t>Lecture économique, à couverture égale (script tests/analyse_economie_structures.py) : pour desservir au moins autant d'habitants qu'un classement simple, l'algorithme demande 6 structures au lieu de 10, 9 au lieu de 15 et 11 au lieu de 25, soit de 40 à 56 % de structures en moins. Hypothèses : le coût est supposé identique pour chaque structure (aucun chiffre en francs CFA n'est avancé), et la population desservie est une estimation du modèle. C'est un résultat de modélisation, pas une mesure de terrain.</w:t>
      </w:r>
    </w:p>
    <w:p>
      <w:pPr>
        <w:pStyle w:val="Heading1"/>
      </w:pPr>
      <w:r>
        <w:rPr>
          <w:rFonts w:ascii="Calibri" w:hAnsi="Calibri"/>
          <w:color w:val="1F3864"/>
        </w:rPr>
        <w:t>8. Limites méthodologiques déclarées</w:t>
      </w:r>
    </w:p>
    <w:p>
      <w:pPr>
        <w:pStyle w:val="ListBullet"/>
      </w:pPr>
      <w:r>
        <w:rPr>
          <w:sz w:val="22"/>
        </w:rPr>
        <w:t>Le rapprochement entre population et infrastructures rattache 3 771 infrastructures sur 3 771 (93,9 % par correspondance exacte, 5,0 % par similarité textuelle, 1,1 % par table d'alias validée) ; 551 communes sur 553 (99,6 %) disposent de coordonnées et les 2 autres sont signalées « à confirmer » dans l'interface. Ce taux mesure la réussite de la procédure, pas son exactitude.</w:t>
      </w:r>
    </w:p>
    <w:p>
      <w:pPr>
        <w:pStyle w:val="ListBullet"/>
      </w:pPr>
      <w:r>
        <w:rPr>
          <w:sz w:val="22"/>
        </w:rPr>
        <w:t>Les données d'éducation mobilisées couvrent le secondaire (collèges et lycées, publics et privés : 1 342 établissements). L'enseignement supérieur est présenté à part : 25 campus d'universités publiques et 23 espaces numériques de l'Université numérique Cheikh Hamidou Kane, d'après l'étiquette « publique » de la source, non vérifiée campus par campus ; les chantiers ne sont pas comptés. Le primaire n'est pas représenté dans ces couches.</w:t>
      </w:r>
    </w:p>
    <w:p>
      <w:pPr>
        <w:pStyle w:val="ListBullet"/>
      </w:pPr>
      <w:r>
        <w:rPr>
          <w:sz w:val="22"/>
        </w:rPr>
        <w:t>L'indicateur éducation est un simple constat de capacité, pas un déficit normé comme en santé, faute de norme officielle de densité identifiée à ce jour.</w:t>
      </w:r>
    </w:p>
    <w:p>
      <w:pPr>
        <w:pStyle w:val="ListBullet"/>
      </w:pPr>
      <w:r>
        <w:rPr>
          <w:sz w:val="22"/>
        </w:rPr>
        <w:t>Le taux de croissance 2013-2023 n'a pu être mesuré que pour 526 communes sur 553. Pour les 27 autres (dont des communes affectées par le redécoupage de 2021), le taux médian national est utilisé en valeur de repli et le scénario 2033 est indicatif ; l'interface le signale.</w:t>
      </w:r>
    </w:p>
    <w:p>
      <w:pPr>
        <w:pStyle w:val="ListBullet"/>
      </w:pPr>
      <w:r>
        <w:rPr>
          <w:sz w:val="22"/>
        </w:rPr>
        <w:t>Le scénario 2033 est un prolongement de tendance, pas une prévision démographique officielle ; il est particulièrement fragile pour les communes à très forte croissance mesurée.</w:t>
      </w:r>
    </w:p>
    <w:p>
      <w:pPr>
        <w:pStyle w:val="ListBullet"/>
      </w:pPr>
      <w:r>
        <w:rPr>
          <w:sz w:val="22"/>
        </w:rPr>
        <w:t>L'algorithme de sélection budgétaire raisonne en nombre de structures à coût unitaire supposé uniforme, faute de données de coût disponibles ; son résultat est une proposition d'ordre de priorité, non une décision - il ne modélise ni le foncier, ni les arbitrages politiques.</w:t>
      </w:r>
    </w:p>
    <w:p>
      <w:pPr>
        <w:pStyle w:val="ListBullet"/>
      </w:pPr>
      <w:r>
        <w:rPr>
          <w:sz w:val="22"/>
        </w:rPr>
        <w:t>Le rayon de chalandise de 15 km utilisé dans l'algorithme est un paramètre estimé, non mesuré sur le terrain sénégalais. Les trois premiers choix sont stables de 5 à 25 km ; le reste de la sélection en dépend davantage (section 6.2). Cela n'équivaut pas à une validation terrain.</w:t>
      </w:r>
    </w:p>
    <w:p>
      <w:pPr>
        <w:pStyle w:val="ListBullet"/>
      </w:pPr>
      <w:r>
        <w:rPr>
          <w:sz w:val="22"/>
        </w:rPr>
        <w:t>L'algorithme suppose un coût unitaire identique pour chaque structure de santé, faute de données de coût réelles par site.</w:t>
      </w:r>
    </w:p>
    <w:p>
      <w:pPr>
        <w:pStyle w:val="ListBullet"/>
      </w:pPr>
      <w:r>
        <w:rPr>
          <w:sz w:val="22"/>
        </w:rPr>
        <w:t>Aucune donnée de disponibilité foncière n'est mobilisée : une commune peut être désignée prioritaire par le calcul sans qu'un terrain constructible y soit réellement disponible - une vérification de terrain reste indispensable avant toute décision d'implantation.</w:t>
      </w:r>
    </w:p>
    <w:p>
      <w:pPr>
        <w:pStyle w:val="ListBullet"/>
      </w:pPr>
      <w:r>
        <w:rPr>
          <w:sz w:val="22"/>
        </w:rPr>
        <w:t>L'assistant conversationnel (livrable bonus) répond par reconnaissance de mots-clés, pas par compréhension du langage naturel ; une formulation très différente des exemples fournis peut ne pas être reconnue, et le renvoie explicitement à l'utilisateur plutôt que de deviner une réponse.</w:t>
      </w:r>
    </w:p>
    <w:p>
      <w:pPr>
        <w:pStyle w:val="ListBullet"/>
      </w:pPr>
      <w:r>
        <w:rPr>
          <w:sz w:val="22"/>
        </w:rPr>
        <w:t>Dix-sept personnes de profils différents ont donné leur avis sur l'outil, et leurs remarques ont modifié le site. En revanche, aucun utilisateur visé (élu local, ONG, journaliste) ne l'a encore utilisé en situation réelle dans son travail : la proposition de valeur repose sur une hypothèse de besoin, pas sur un retour de terrain.</w:t>
      </w:r>
    </w:p>
    <w:p>
      <w:pPr>
        <w:pStyle w:val="ListBullet"/>
      </w:pPr>
      <w:r>
        <w:rPr>
          <w:sz w:val="22"/>
        </w:rPr>
        <w:t>Le modèle économique commercial (études d'implantation payantes) n'a été validé auprès d'aucune entreprise ni vérifié comme compatible avec les conditions de réutilisation des données de l'ANSD.</w:t>
      </w:r>
    </w:p>
    <w:p>
      <w:pPr>
        <w:pStyle w:val="ListBullet"/>
      </w:pPr>
      <w:r>
        <w:rPr>
          <w:sz w:val="22"/>
        </w:rPr>
        <w:t>L'architecture actuelle (un site statique de cinq pages, sans serveur ni base de données) est adaptée à une démonstration, pas à une mise à jour automatique des données ni à un usage à grande échelle ; une reconstruction avec base de données serait nécessaire pour un déploiement durable (cf. feuille de route).</w:t>
      </w:r>
    </w:p>
    <w:p>
      <w:pPr>
        <w:pStyle w:val="ListBullet"/>
      </w:pPr>
      <w:r>
        <w:rPr>
          <w:sz w:val="22"/>
        </w:rPr>
        <w:t>La couche « postes de santé » de Géo Sénégal compte 2 124 points (2 085 postes de santé et 39 centres médico-sociaux comptés ensemble), contre 1 680 postes en 2023 selon une brochure du Ministère de la Santé. Ce périmètre est à clarifier avec l'ANSD ; si le chiffre du Ministère fait foi, les déficits de postes sont sous-estimés. Les 6 hôpitaux privés sont comptés avec les 44 hôpitaux publics. Test de sensibilité (script tests/analyse_sensibilite_postes.py, hypothèse simple : le même pourcentage de postes en moins dans toutes les communes) : avec le chiffre du Ministère, le déficit national passe de 553 à environ 686 postes et celui de Touba de 75 à 83, mais les dix communes les plus en déficit restent les mêmes et le choix de l'algorithme ne change que d'une commune sur dix. Les niveaux absolus sont donc sensibles à ce point, le classement l'est très peu. La vraie différence n'est sans doute pas uniforme : ce test mesure la robustesse, il ne dit pas le vrai chiffre.</w:t>
      </w:r>
    </w:p>
    <w:p>
      <w:pPr>
        <w:pStyle w:val="ListBullet"/>
      </w:pPr>
      <w:r>
        <w:rPr>
          <w:sz w:val="22"/>
        </w:rPr>
        <w:t>La base de population 2013 utilisée pour mesurer la croissance couvre 13 191 802 habitants, soit 97,7 % du total 2013 cité par l'ANSD (13 508 715).</w:t>
      </w:r>
    </w:p>
    <w:p>
      <w:pPr>
        <w:pStyle w:val="ListBullet"/>
      </w:pPr>
      <w:r>
        <w:rPr>
          <w:sz w:val="22"/>
        </w:rPr>
        <w:t>Le total de population de la base (18 125 122) est inférieur de 1 268 habitants (0,007 %) au total officiel (18 126 390). L'écart provient de Dakar (1 220 habitants) et n'est pas expliqué à ce jour.</w:t>
      </w:r>
    </w:p>
    <w:p>
      <w:pPr>
        <w:pStyle w:val="ListBullet"/>
      </w:pPr>
      <w:r>
        <w:rPr>
          <w:sz w:val="22"/>
        </w:rPr>
        <w:t>Le nombre de communes retenu (553) est celui de l'ANSD dans le cadre du RGPH-5. D'autres publications citent 557 communes (découpage de 2014) ou 558 collectivités. L'écart de 558 vient vraisemblablement des cinq villes (Dakar, Pikine, Guédiawaye, Rufisque, Thiès), collectivités distinctes de leurs communes d'arrondissement : sur 25 départements dont le nombre de collectivités est lisible sur vie-publique.sn, 23 ont exactement le même nombre de communes que notre base, et seuls Dakar et Guédiawaye affichent une collectivité de plus. Les populations coïncident (372 708 habitants à Guédiawaye).</w:t>
      </w:r>
    </w:p>
    <w:p>
      <w:pPr>
        <w:pStyle w:val="ListBullet"/>
      </w:pPr>
      <w:r>
        <w:rPr>
          <w:sz w:val="22"/>
        </w:rPr>
        <w:t>Les déficits de centres de santé et d'hôpitaux sont calculés par département, alors qu'un hôpital dessert aussi les départements voisins. Exemple : les trois hôpitaux de la région de Matam sont tous dans le département de Matam ; Kanel affiche donc 0 hôpital sur 3 requis, alors que l'hôpital d'Ourossogui se trouve à 21 km (à vol d'oiseau) de la commune de Kanel, et à 20 à 94 km des autres communes du département. Par ailleurs, arrondir chaque besoin départemental à l'entier supérieur gonfle le total : 7 hôpitaux requis en additionnant les trois départements de Matam, contre 6 à l'échelle de la région. « 0 hôpital » signifie donc « aucun hôpital dans le département », pas « aucun accès à un hôpital ».</w:t>
      </w:r>
    </w:p>
    <w:p>
      <w:pPr>
        <w:pStyle w:val="ListBullet"/>
      </w:pPr>
      <w:r>
        <w:rPr>
          <w:sz w:val="22"/>
        </w:rPr>
        <w:t>La couche « hôpital » de Géo Sénégal compte 50 structures, dont 6 hôpitaux privés, 6 établissements psychiatriques ou de médecine traditionnelle et 4 annexes d'hôpitaux. Les effectifs départementaux les comptent tous, comme à la source. Pour l'« hôpital le plus proche » affiché sur les fiches, les 6 établissements psychiatriques ou de médecine traditionnelle sont écartés, car ils ne remplacent pas un hôpital général. Sans ce choix, la commune de Médina Gounass (Vélingara) aurait affiché une maison de médecine traditionnelle à 32 km ; l'hôpital général le plus proche, celui de Tambacounda, est à 64 km. Les distances sont à vol d'oiseau, pas par la route.</w:t>
      </w:r>
    </w:p>
    <w:p>
      <w:pPr>
        <w:pStyle w:val="Heading1"/>
      </w:pPr>
      <w:r>
        <w:rPr>
          <w:rFonts w:ascii="Calibri" w:hAnsi="Calibri"/>
          <w:color w:val="1F3864"/>
        </w:rPr>
        <w:t>9. Références bibliographiques</w:t>
      </w:r>
    </w:p>
    <w:p>
      <w:pPr>
        <w:pStyle w:val="ListBullet"/>
      </w:pPr>
      <w:r>
        <w:rPr>
          <w:sz w:val="22"/>
        </w:rPr>
        <w:t>ANSD - Répertoire des localités issu du RGPH-5 (2023), ansd.sn</w:t>
      </w:r>
    </w:p>
    <w:p>
      <w:pPr>
        <w:pStyle w:val="ListBullet"/>
      </w:pPr>
      <w:r>
        <w:rPr>
          <w:sz w:val="22"/>
        </w:rPr>
        <w:t>ANSD - Fichier de projections démographiques par commune, base RGPHAE 2013</w:t>
      </w:r>
    </w:p>
    <w:p>
      <w:pPr>
        <w:pStyle w:val="ListBullet"/>
      </w:pPr>
      <w:r>
        <w:rPr>
          <w:sz w:val="22"/>
        </w:rPr>
        <w:t>ANSD / Géo Sénégal - Infrastructures de santé et d'éducation géolocalisées (2023), geosenegal.gouv.sn</w:t>
      </w:r>
    </w:p>
    <w:p>
      <w:pPr>
        <w:pStyle w:val="ListBullet"/>
      </w:pPr>
      <w:r>
        <w:rPr>
          <w:sz w:val="22"/>
        </w:rPr>
        <w:t>Ministère de la Santé du Sénégal - Décret et annexes de la Carte sanitaire (normes d'implantation des structures de santé)</w:t>
      </w:r>
    </w:p>
    <w:p>
      <w:pPr>
        <w:pStyle w:val="ListBullet"/>
      </w:pPr>
      <w:r>
        <w:rPr>
          <w:sz w:val="22"/>
        </w:rPr>
        <w:t>Ministère de l'Éducation nationale du Sénégal, USAID GoLD, USAID Passerelles - Livret illustré sur les normes et standards de l'École, édition 2020</w:t>
      </w:r>
    </w:p>
    <w:p>
      <w:pPr>
        <w:pStyle w:val="ListBullet"/>
      </w:pPr>
      <w:r>
        <w:rPr>
          <w:sz w:val="22"/>
        </w:rPr>
        <w:t>République du Sénégal - Décret n° 2021-687 du 28 mai 2021 portant création du département de Keur Massar</w:t>
      </w:r>
    </w:p>
    <w:p>
      <w:pPr>
        <w:pStyle w:val="ListBullet"/>
      </w:pPr>
      <w:r>
        <w:rPr>
          <w:sz w:val="22"/>
        </w:rPr>
        <w:t>Natural Earth - Données de frontières administratives, domaine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